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DB7" w:rsidRPr="00CC778D" w:rsidRDefault="00CC778D">
      <w:pPr>
        <w:rPr>
          <w:rFonts w:ascii="Times New Roman" w:hAnsi="Times New Roman" w:cs="Times New Roman"/>
          <w:b/>
        </w:rPr>
      </w:pPr>
      <w:r w:rsidRPr="00CC778D">
        <w:rPr>
          <w:rFonts w:ascii="Times New Roman" w:hAnsi="Times New Roman" w:cs="Times New Roman"/>
          <w:b/>
        </w:rPr>
        <w:t xml:space="preserve">Supplemental Fig. 1. The decision curve for BRI and the composite indexes with reference of </w:t>
      </w:r>
      <w:proofErr w:type="spellStart"/>
      <w:r w:rsidRPr="00CC778D">
        <w:rPr>
          <w:rFonts w:ascii="Times New Roman" w:hAnsi="Times New Roman" w:cs="Times New Roman"/>
          <w:b/>
        </w:rPr>
        <w:t>TyG</w:t>
      </w:r>
      <w:proofErr w:type="spellEnd"/>
    </w:p>
    <w:p w:rsidR="00CC778D" w:rsidRDefault="00CC778D">
      <w:pPr>
        <w:rPr>
          <w:rFonts w:ascii="Times New Roman" w:hAnsi="Times New Roman" w:cs="Times New Roman"/>
        </w:rPr>
      </w:pPr>
      <w:r w:rsidRPr="00CC778D">
        <w:rPr>
          <w:rFonts w:ascii="Times New Roman" w:hAnsi="Times New Roman" w:cs="Times New Roman"/>
        </w:rPr>
        <w:t xml:space="preserve">The decision curves for (A) BRI, (B) </w:t>
      </w:r>
      <w:proofErr w:type="spellStart"/>
      <w:r w:rsidRPr="00CC778D">
        <w:rPr>
          <w:rFonts w:ascii="Times New Roman" w:hAnsi="Times New Roman" w:cs="Times New Roman"/>
        </w:rPr>
        <w:t>TyG&amp;amp</w:t>
      </w:r>
      <w:proofErr w:type="gramStart"/>
      <w:r w:rsidRPr="00CC778D">
        <w:rPr>
          <w:rFonts w:ascii="Times New Roman" w:hAnsi="Times New Roman" w:cs="Times New Roman"/>
        </w:rPr>
        <w:t>;BRI</w:t>
      </w:r>
      <w:proofErr w:type="spellEnd"/>
      <w:proofErr w:type="gramEnd"/>
      <w:r w:rsidRPr="00CC778D">
        <w:rPr>
          <w:rFonts w:ascii="Times New Roman" w:hAnsi="Times New Roman" w:cs="Times New Roman"/>
        </w:rPr>
        <w:t xml:space="preserve">, (C) </w:t>
      </w:r>
      <w:proofErr w:type="spellStart"/>
      <w:r w:rsidRPr="00CC778D">
        <w:rPr>
          <w:rFonts w:ascii="Times New Roman" w:hAnsi="Times New Roman" w:cs="Times New Roman"/>
        </w:rPr>
        <w:t>TyG</w:t>
      </w:r>
      <w:proofErr w:type="spellEnd"/>
      <w:r w:rsidRPr="00CC778D">
        <w:rPr>
          <w:rFonts w:ascii="Times New Roman" w:hAnsi="Times New Roman" w:cs="Times New Roman"/>
        </w:rPr>
        <w:t xml:space="preserve">-BRI, and (D) </w:t>
      </w:r>
      <w:proofErr w:type="spellStart"/>
      <w:r w:rsidRPr="00CC778D">
        <w:rPr>
          <w:rFonts w:ascii="Times New Roman" w:hAnsi="Times New Roman" w:cs="Times New Roman"/>
        </w:rPr>
        <w:t>TyG</w:t>
      </w:r>
      <w:proofErr w:type="spellEnd"/>
      <w:r w:rsidRPr="00CC778D">
        <w:rPr>
          <w:rFonts w:ascii="Times New Roman" w:hAnsi="Times New Roman" w:cs="Times New Roman"/>
        </w:rPr>
        <w:t xml:space="preserve"> + BRI with the reference of </w:t>
      </w:r>
      <w:proofErr w:type="spellStart"/>
      <w:r w:rsidRPr="00CC778D">
        <w:rPr>
          <w:rFonts w:ascii="Times New Roman" w:hAnsi="Times New Roman" w:cs="Times New Roman"/>
        </w:rPr>
        <w:t>TyG</w:t>
      </w:r>
      <w:proofErr w:type="spellEnd"/>
      <w:r w:rsidRPr="00CC778D">
        <w:rPr>
          <w:rFonts w:ascii="Times New Roman" w:hAnsi="Times New Roman" w:cs="Times New Roman"/>
        </w:rPr>
        <w:t xml:space="preserve"> index. The decision curves demonstrated that compared with individual index </w:t>
      </w:r>
      <w:proofErr w:type="spellStart"/>
      <w:r w:rsidRPr="00CC778D">
        <w:rPr>
          <w:rFonts w:ascii="Times New Roman" w:hAnsi="Times New Roman" w:cs="Times New Roman"/>
        </w:rPr>
        <w:t>TyG</w:t>
      </w:r>
      <w:proofErr w:type="spellEnd"/>
      <w:r w:rsidRPr="00CC778D">
        <w:rPr>
          <w:rFonts w:ascii="Times New Roman" w:hAnsi="Times New Roman" w:cs="Times New Roman"/>
        </w:rPr>
        <w:t>, using BRI and the complex indexes to predict CVD incident was a little more beneficial to a certain extent.</w:t>
      </w:r>
    </w:p>
    <w:p w:rsidR="00A52B51" w:rsidRDefault="00A52B51">
      <w:pPr>
        <w:rPr>
          <w:rFonts w:ascii="Times New Roman" w:hAnsi="Times New Roman" w:cs="Times New Roman"/>
        </w:rPr>
      </w:pPr>
    </w:p>
    <w:p w:rsidR="00CC778D" w:rsidRDefault="00CC778D">
      <w:pPr>
        <w:rPr>
          <w:rFonts w:ascii="Times New Roman" w:hAnsi="Times New Roman" w:cs="Times New Roman"/>
        </w:rPr>
      </w:pPr>
      <w:r w:rsidRPr="00CC778D">
        <w:rPr>
          <w:rFonts w:ascii="Times New Roman" w:hAnsi="Times New Roman" w:cs="Times New Roman"/>
          <w:noProof/>
          <w:lang w:eastAsia="en-IN"/>
        </w:rPr>
        <w:drawing>
          <wp:inline distT="0" distB="0" distL="0" distR="0">
            <wp:extent cx="5731510" cy="5731510"/>
            <wp:effectExtent l="0" t="0" r="2540" b="2540"/>
            <wp:docPr id="1" name="Picture 1" descr="H:\journals\Springer\SpACE\12933\3092\Stage200\Author\Supplementary\Supplemental 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ournals\Springer\SpACE\12933\3092\Stage200\Author\Supplementary\Supplemental Figure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rsidR="001F2057" w:rsidRDefault="001F2057">
      <w:pPr>
        <w:rPr>
          <w:rFonts w:ascii="Times New Roman" w:hAnsi="Times New Roman" w:cs="Times New Roman"/>
          <w:b/>
        </w:rPr>
      </w:pPr>
      <w:r>
        <w:rPr>
          <w:rFonts w:ascii="Times New Roman" w:hAnsi="Times New Roman" w:cs="Times New Roman"/>
          <w:b/>
        </w:rPr>
        <w:br w:type="page"/>
      </w:r>
    </w:p>
    <w:p w:rsidR="00CC778D" w:rsidRDefault="001F2057">
      <w:pPr>
        <w:rPr>
          <w:rFonts w:ascii="Times New Roman" w:hAnsi="Times New Roman" w:cs="Times New Roman"/>
          <w:b/>
        </w:rPr>
      </w:pPr>
      <w:r w:rsidRPr="001F2057">
        <w:rPr>
          <w:rFonts w:ascii="Times New Roman" w:hAnsi="Times New Roman" w:cs="Times New Roman"/>
          <w:b/>
        </w:rPr>
        <w:lastRenderedPageBreak/>
        <w:t>Supplemental Fig. 2. The decision curve for base model enhanced with the composite indexes with reference of base model</w:t>
      </w:r>
    </w:p>
    <w:p w:rsidR="001F2057" w:rsidRDefault="001F2057">
      <w:pPr>
        <w:rPr>
          <w:rFonts w:ascii="Times New Roman" w:hAnsi="Times New Roman" w:cs="Times New Roman"/>
        </w:rPr>
      </w:pPr>
      <w:r w:rsidRPr="001F2057">
        <w:rPr>
          <w:rFonts w:ascii="Times New Roman" w:hAnsi="Times New Roman" w:cs="Times New Roman"/>
        </w:rPr>
        <w:t xml:space="preserve">The decision curves for base model enhanced with (A) </w:t>
      </w:r>
      <w:proofErr w:type="spellStart"/>
      <w:r w:rsidRPr="001F2057">
        <w:rPr>
          <w:rFonts w:ascii="Times New Roman" w:hAnsi="Times New Roman" w:cs="Times New Roman"/>
        </w:rPr>
        <w:t>TyG&amp;amp</w:t>
      </w:r>
      <w:proofErr w:type="gramStart"/>
      <w:r w:rsidRPr="001F2057">
        <w:rPr>
          <w:rFonts w:ascii="Times New Roman" w:hAnsi="Times New Roman" w:cs="Times New Roman"/>
        </w:rPr>
        <w:t>;BRI</w:t>
      </w:r>
      <w:proofErr w:type="spellEnd"/>
      <w:proofErr w:type="gramEnd"/>
      <w:r w:rsidRPr="001F2057">
        <w:rPr>
          <w:rFonts w:ascii="Times New Roman" w:hAnsi="Times New Roman" w:cs="Times New Roman"/>
        </w:rPr>
        <w:t xml:space="preserve">, (B)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-BRI, and (C) </w:t>
      </w:r>
      <w:proofErr w:type="spellStart"/>
      <w:r w:rsidRPr="001F2057">
        <w:rPr>
          <w:rFonts w:ascii="Times New Roman" w:hAnsi="Times New Roman" w:cs="Times New Roman"/>
        </w:rPr>
        <w:t>TyG</w:t>
      </w:r>
      <w:proofErr w:type="spellEnd"/>
      <w:r w:rsidRPr="001F2057">
        <w:rPr>
          <w:rFonts w:ascii="Times New Roman" w:hAnsi="Times New Roman" w:cs="Times New Roman"/>
        </w:rPr>
        <w:t> + BRI with the reference of base model. The decision curve demonstrated that compared with base model, using base model enhanced with the composite indexes to predict CVD incident was similar beneficial.</w:t>
      </w:r>
    </w:p>
    <w:p w:rsidR="00A52B51" w:rsidRDefault="00A52B51">
      <w:pPr>
        <w:rPr>
          <w:rFonts w:ascii="Times New Roman" w:hAnsi="Times New Roman" w:cs="Times New Roman"/>
        </w:rPr>
      </w:pPr>
    </w:p>
    <w:p w:rsidR="001F2057" w:rsidRDefault="001F2057">
      <w:pPr>
        <w:rPr>
          <w:rFonts w:ascii="Times New Roman" w:hAnsi="Times New Roman" w:cs="Times New Roman"/>
        </w:rPr>
      </w:pPr>
      <w:r w:rsidRPr="001F2057">
        <w:rPr>
          <w:rFonts w:ascii="Times New Roman" w:hAnsi="Times New Roman" w:cs="Times New Roman"/>
          <w:noProof/>
          <w:lang w:eastAsia="en-IN"/>
        </w:rPr>
        <w:drawing>
          <wp:inline distT="0" distB="0" distL="0" distR="0">
            <wp:extent cx="5731510" cy="5731510"/>
            <wp:effectExtent l="0" t="0" r="2540" b="2540"/>
            <wp:docPr id="2" name="Picture 2" descr="H:\journals\Springer\SpACE\12933\3092\Stage200\Author\Supplementary\Supplemental 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journals\Springer\SpACE\12933\3092\Stage200\Author\Supplementary\Supplemental Figure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rsidR="001F2057" w:rsidRDefault="001F2057">
      <w:pPr>
        <w:rPr>
          <w:rFonts w:ascii="Times New Roman" w:hAnsi="Times New Roman" w:cs="Times New Roman"/>
        </w:rPr>
      </w:pPr>
      <w:r>
        <w:rPr>
          <w:rFonts w:ascii="Times New Roman" w:hAnsi="Times New Roman" w:cs="Times New Roman"/>
        </w:rPr>
        <w:br w:type="page"/>
      </w:r>
    </w:p>
    <w:p w:rsidR="001F2057" w:rsidRDefault="001F2057">
      <w:pPr>
        <w:rPr>
          <w:rFonts w:ascii="Times New Roman" w:hAnsi="Times New Roman" w:cs="Times New Roman"/>
          <w:b/>
        </w:rPr>
      </w:pPr>
      <w:r w:rsidRPr="001F2057">
        <w:rPr>
          <w:rFonts w:ascii="Times New Roman" w:hAnsi="Times New Roman" w:cs="Times New Roman"/>
          <w:b/>
        </w:rPr>
        <w:lastRenderedPageBreak/>
        <w:t xml:space="preserve">Supplemental Fig. 3. The calibration curve of </w:t>
      </w:r>
      <w:proofErr w:type="spellStart"/>
      <w:r w:rsidRPr="001F2057">
        <w:rPr>
          <w:rFonts w:ascii="Times New Roman" w:hAnsi="Times New Roman" w:cs="Times New Roman"/>
          <w:b/>
        </w:rPr>
        <w:t>TyG</w:t>
      </w:r>
      <w:proofErr w:type="spellEnd"/>
      <w:r w:rsidRPr="001F2057">
        <w:rPr>
          <w:rFonts w:ascii="Times New Roman" w:hAnsi="Times New Roman" w:cs="Times New Roman"/>
          <w:b/>
        </w:rPr>
        <w:t>, BRI, and the composite indexes for CVD</w:t>
      </w:r>
      <w:bookmarkStart w:id="0" w:name="_GoBack"/>
      <w:bookmarkEnd w:id="0"/>
    </w:p>
    <w:p w:rsidR="001F2057" w:rsidRDefault="001F2057">
      <w:pPr>
        <w:rPr>
          <w:rFonts w:ascii="Times New Roman" w:hAnsi="Times New Roman" w:cs="Times New Roman"/>
        </w:rPr>
      </w:pPr>
      <w:r w:rsidRPr="001F2057">
        <w:rPr>
          <w:rFonts w:ascii="Times New Roman" w:hAnsi="Times New Roman" w:cs="Times New Roman"/>
        </w:rPr>
        <w:t xml:space="preserve">The calibration curves for (A)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 (B) BRI, (C)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-BRI, and (D)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 + BRI. The calibration curves demonstrated that compared to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 other indexes, including BRI,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-BRI, and </w:t>
      </w:r>
      <w:proofErr w:type="spellStart"/>
      <w:r w:rsidRPr="001F2057">
        <w:rPr>
          <w:rFonts w:ascii="Times New Roman" w:hAnsi="Times New Roman" w:cs="Times New Roman"/>
        </w:rPr>
        <w:t>TyG</w:t>
      </w:r>
      <w:proofErr w:type="spellEnd"/>
      <w:r w:rsidRPr="001F2057">
        <w:rPr>
          <w:rFonts w:ascii="Times New Roman" w:hAnsi="Times New Roman" w:cs="Times New Roman"/>
        </w:rPr>
        <w:t> + BRI, show overall better alignment between predicted and observed values. The curves approach the 45-degree reference line more closely, e</w:t>
      </w:r>
      <w:r>
        <w:rPr>
          <w:rFonts w:ascii="Times New Roman" w:hAnsi="Times New Roman" w:cs="Times New Roman"/>
        </w:rPr>
        <w:t xml:space="preserve">specially </w:t>
      </w:r>
      <w:proofErr w:type="spellStart"/>
      <w:r>
        <w:rPr>
          <w:rFonts w:ascii="Times New Roman" w:hAnsi="Times New Roman" w:cs="Times New Roman"/>
        </w:rPr>
        <w:t>TyG</w:t>
      </w:r>
      <w:proofErr w:type="spellEnd"/>
      <w:r>
        <w:rPr>
          <w:rFonts w:ascii="Times New Roman" w:hAnsi="Times New Roman" w:cs="Times New Roman"/>
        </w:rPr>
        <w:t xml:space="preserve">-BRI and </w:t>
      </w:r>
      <w:proofErr w:type="spellStart"/>
      <w:r>
        <w:rPr>
          <w:rFonts w:ascii="Times New Roman" w:hAnsi="Times New Roman" w:cs="Times New Roman"/>
        </w:rPr>
        <w:t>TyG</w:t>
      </w:r>
      <w:proofErr w:type="spellEnd"/>
      <w:r>
        <w:rPr>
          <w:rFonts w:ascii="Times New Roman" w:hAnsi="Times New Roman" w:cs="Times New Roman"/>
        </w:rPr>
        <w:t> + BRI.</w:t>
      </w:r>
    </w:p>
    <w:p w:rsidR="001F2057" w:rsidRDefault="001F2057">
      <w:pPr>
        <w:rPr>
          <w:rFonts w:ascii="Times New Roman" w:hAnsi="Times New Roman" w:cs="Times New Roman"/>
        </w:rPr>
      </w:pPr>
    </w:p>
    <w:p w:rsidR="001F2057" w:rsidRDefault="001F2057">
      <w:pPr>
        <w:rPr>
          <w:rFonts w:ascii="Times New Roman" w:hAnsi="Times New Roman" w:cs="Times New Roman"/>
        </w:rPr>
      </w:pPr>
      <w:r w:rsidRPr="001F2057">
        <w:rPr>
          <w:rFonts w:ascii="Times New Roman" w:hAnsi="Times New Roman" w:cs="Times New Roman"/>
          <w:noProof/>
          <w:lang w:eastAsia="en-IN"/>
        </w:rPr>
        <w:drawing>
          <wp:inline distT="0" distB="0" distL="0" distR="0">
            <wp:extent cx="5731510" cy="4020054"/>
            <wp:effectExtent l="0" t="0" r="2540" b="0"/>
            <wp:docPr id="3" name="Picture 3" descr="H:\journals\Springer\SpACE\12933\3092\Stage200\Author\Supplementary\Supplemental 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journals\Springer\SpACE\12933\3092\Stage200\Author\Supplementary\Supplemental Figure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020054"/>
                    </a:xfrm>
                    <a:prstGeom prst="rect">
                      <a:avLst/>
                    </a:prstGeom>
                    <a:noFill/>
                    <a:ln>
                      <a:noFill/>
                    </a:ln>
                  </pic:spPr>
                </pic:pic>
              </a:graphicData>
            </a:graphic>
          </wp:inline>
        </w:drawing>
      </w:r>
    </w:p>
    <w:p w:rsidR="001F2057" w:rsidRDefault="001F2057">
      <w:pPr>
        <w:rPr>
          <w:rFonts w:ascii="Times New Roman" w:hAnsi="Times New Roman" w:cs="Times New Roman"/>
        </w:rPr>
      </w:pPr>
      <w:r>
        <w:rPr>
          <w:rFonts w:ascii="Times New Roman" w:hAnsi="Times New Roman" w:cs="Times New Roman"/>
        </w:rPr>
        <w:br w:type="page"/>
      </w:r>
    </w:p>
    <w:p w:rsidR="001F2057" w:rsidRPr="001F2057" w:rsidRDefault="001F2057">
      <w:pPr>
        <w:rPr>
          <w:rFonts w:ascii="Times New Roman" w:hAnsi="Times New Roman" w:cs="Times New Roman"/>
          <w:b/>
        </w:rPr>
      </w:pPr>
      <w:r w:rsidRPr="001F2057">
        <w:rPr>
          <w:rFonts w:ascii="Times New Roman" w:hAnsi="Times New Roman" w:cs="Times New Roman"/>
          <w:b/>
        </w:rPr>
        <w:lastRenderedPageBreak/>
        <w:t>Supplemental Fig. 4. The calibration curve of base model and base model enhanced with the composite indexes for CVD</w:t>
      </w:r>
    </w:p>
    <w:p w:rsidR="001F2057" w:rsidRDefault="001F2057">
      <w:pPr>
        <w:rPr>
          <w:rFonts w:ascii="Times New Roman" w:hAnsi="Times New Roman" w:cs="Times New Roman"/>
        </w:rPr>
      </w:pPr>
      <w:r w:rsidRPr="001F2057">
        <w:rPr>
          <w:rFonts w:ascii="Times New Roman" w:hAnsi="Times New Roman" w:cs="Times New Roman"/>
        </w:rPr>
        <w:t xml:space="preserve">The calibration curves for (A) base model and base model enhanced with (B) </w:t>
      </w:r>
      <w:proofErr w:type="spellStart"/>
      <w:r w:rsidRPr="001F2057">
        <w:rPr>
          <w:rFonts w:ascii="Times New Roman" w:hAnsi="Times New Roman" w:cs="Times New Roman"/>
        </w:rPr>
        <w:t>TyG&amp;amp;BRI</w:t>
      </w:r>
      <w:proofErr w:type="spellEnd"/>
      <w:r w:rsidRPr="001F2057">
        <w:rPr>
          <w:rFonts w:ascii="Times New Roman" w:hAnsi="Times New Roman" w:cs="Times New Roman"/>
        </w:rPr>
        <w:t xml:space="preserve">, (C)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-BRI, and (D)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 + BRI. Compared to base model, the models enhanced with </w:t>
      </w:r>
      <w:proofErr w:type="spellStart"/>
      <w:r w:rsidRPr="001F2057">
        <w:rPr>
          <w:rFonts w:ascii="Times New Roman" w:hAnsi="Times New Roman" w:cs="Times New Roman"/>
        </w:rPr>
        <w:t>TyG</w:t>
      </w:r>
      <w:proofErr w:type="spellEnd"/>
      <w:r w:rsidRPr="001F2057">
        <w:rPr>
          <w:rFonts w:ascii="Times New Roman" w:hAnsi="Times New Roman" w:cs="Times New Roman"/>
        </w:rPr>
        <w:t xml:space="preserve">-BRI or </w:t>
      </w:r>
      <w:proofErr w:type="spellStart"/>
      <w:r w:rsidRPr="001F2057">
        <w:rPr>
          <w:rFonts w:ascii="Times New Roman" w:hAnsi="Times New Roman" w:cs="Times New Roman"/>
        </w:rPr>
        <w:t>TyG</w:t>
      </w:r>
      <w:proofErr w:type="spellEnd"/>
      <w:r w:rsidRPr="001F2057">
        <w:rPr>
          <w:rFonts w:ascii="Times New Roman" w:hAnsi="Times New Roman" w:cs="Times New Roman"/>
        </w:rPr>
        <w:t> + BRI perform better across all probability levels, further confirming that the combination of these two indicators enhances the prediction of CVD risk.</w:t>
      </w:r>
    </w:p>
    <w:p w:rsidR="001F2057" w:rsidRDefault="001F2057">
      <w:pPr>
        <w:rPr>
          <w:rFonts w:ascii="Times New Roman" w:hAnsi="Times New Roman" w:cs="Times New Roman"/>
        </w:rPr>
      </w:pPr>
    </w:p>
    <w:p w:rsidR="001F2057" w:rsidRDefault="001F2057">
      <w:pPr>
        <w:rPr>
          <w:rFonts w:ascii="Times New Roman" w:hAnsi="Times New Roman" w:cs="Times New Roman"/>
        </w:rPr>
      </w:pPr>
      <w:r w:rsidRPr="001F2057">
        <w:rPr>
          <w:rFonts w:ascii="Times New Roman" w:hAnsi="Times New Roman" w:cs="Times New Roman"/>
          <w:noProof/>
          <w:lang w:eastAsia="en-IN"/>
        </w:rPr>
        <w:drawing>
          <wp:inline distT="0" distB="0" distL="0" distR="0">
            <wp:extent cx="5731510" cy="4020054"/>
            <wp:effectExtent l="0" t="0" r="2540" b="0"/>
            <wp:docPr id="4" name="Picture 4" descr="H:\journals\Springer\SpACE\12933\3092\Stage200\Author\Supplementary\Supplemental 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journals\Springer\SpACE\12933\3092\Stage200\Author\Supplementary\Supplemental Figure4.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020054"/>
                    </a:xfrm>
                    <a:prstGeom prst="rect">
                      <a:avLst/>
                    </a:prstGeom>
                    <a:noFill/>
                    <a:ln>
                      <a:noFill/>
                    </a:ln>
                  </pic:spPr>
                </pic:pic>
              </a:graphicData>
            </a:graphic>
          </wp:inline>
        </w:drawing>
      </w:r>
    </w:p>
    <w:p w:rsidR="001F2057" w:rsidRDefault="001F2057">
      <w:pPr>
        <w:rPr>
          <w:rFonts w:ascii="Times New Roman" w:hAnsi="Times New Roman" w:cs="Times New Roman"/>
        </w:rPr>
      </w:pPr>
    </w:p>
    <w:p w:rsidR="001F2057" w:rsidRDefault="001F2057">
      <w:pPr>
        <w:rPr>
          <w:rFonts w:ascii="Times New Roman" w:hAnsi="Times New Roman" w:cs="Times New Roman"/>
        </w:rPr>
      </w:pPr>
      <w:r>
        <w:rPr>
          <w:rFonts w:ascii="Times New Roman" w:hAnsi="Times New Roman" w:cs="Times New Roman"/>
        </w:rPr>
        <w:br w:type="page"/>
      </w:r>
    </w:p>
    <w:p w:rsidR="001F2057" w:rsidRDefault="001F2057">
      <w:pPr>
        <w:rPr>
          <w:rFonts w:ascii="Times New Roman" w:hAnsi="Times New Roman" w:cs="Times New Roman"/>
          <w:b/>
        </w:rPr>
      </w:pPr>
      <w:r w:rsidRPr="001F2057">
        <w:rPr>
          <w:rFonts w:ascii="Times New Roman" w:hAnsi="Times New Roman" w:cs="Times New Roman"/>
          <w:b/>
        </w:rPr>
        <w:lastRenderedPageBreak/>
        <w:t>Supplemental Fig. 5. The ROC curve analysis for model validation</w:t>
      </w:r>
    </w:p>
    <w:p w:rsidR="001F2057" w:rsidRPr="001F2057" w:rsidRDefault="001F2057">
      <w:pPr>
        <w:rPr>
          <w:rFonts w:ascii="Times New Roman" w:hAnsi="Times New Roman" w:cs="Times New Roman"/>
        </w:rPr>
      </w:pPr>
      <w:r w:rsidRPr="001F2057">
        <w:rPr>
          <w:rFonts w:ascii="Times New Roman" w:hAnsi="Times New Roman" w:cs="Times New Roman"/>
        </w:rPr>
        <w:t>This figure illustrates the Receiver Operating Characteristic (ROC) curves for assessing the predictive performance of models across different validation methods. Panels A and B show the geographical validation results in Eastern-Central and Western-</w:t>
      </w:r>
      <w:proofErr w:type="spellStart"/>
      <w:r w:rsidRPr="001F2057">
        <w:rPr>
          <w:rFonts w:ascii="Times New Roman" w:hAnsi="Times New Roman" w:cs="Times New Roman"/>
        </w:rPr>
        <w:t>Northeastern</w:t>
      </w:r>
      <w:proofErr w:type="spellEnd"/>
      <w:r w:rsidRPr="001F2057">
        <w:rPr>
          <w:rFonts w:ascii="Times New Roman" w:hAnsi="Times New Roman" w:cs="Times New Roman"/>
        </w:rPr>
        <w:t xml:space="preserve"> provinces, respectively. Panels C present the internal validation results.</w:t>
      </w:r>
    </w:p>
    <w:p w:rsidR="001F2057" w:rsidRDefault="001F2057">
      <w:pPr>
        <w:rPr>
          <w:rFonts w:ascii="Times New Roman" w:hAnsi="Times New Roman" w:cs="Times New Roman"/>
          <w:b/>
        </w:rPr>
      </w:pPr>
    </w:p>
    <w:p w:rsidR="001F2057" w:rsidRDefault="001F2057">
      <w:pPr>
        <w:rPr>
          <w:rFonts w:ascii="Times New Roman" w:hAnsi="Times New Roman" w:cs="Times New Roman"/>
          <w:b/>
        </w:rPr>
      </w:pPr>
      <w:r w:rsidRPr="001F2057">
        <w:rPr>
          <w:rFonts w:ascii="Times New Roman" w:hAnsi="Times New Roman" w:cs="Times New Roman"/>
          <w:b/>
          <w:noProof/>
          <w:lang w:eastAsia="en-IN"/>
        </w:rPr>
        <w:drawing>
          <wp:inline distT="0" distB="0" distL="0" distR="0">
            <wp:extent cx="5486400" cy="4790440"/>
            <wp:effectExtent l="0" t="0" r="0" b="0"/>
            <wp:docPr id="5" name="Picture 5" descr="H:\journals\Springer\SpACE\12933\3092\Stage200\Author\Supplementary\Supplemental 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journals\Springer\SpACE\12933\3092\Stage200\Author\Supplementary\Supplemental Figure5.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4790440"/>
                    </a:xfrm>
                    <a:prstGeom prst="rect">
                      <a:avLst/>
                    </a:prstGeom>
                    <a:noFill/>
                    <a:ln>
                      <a:noFill/>
                    </a:ln>
                  </pic:spPr>
                </pic:pic>
              </a:graphicData>
            </a:graphic>
          </wp:inline>
        </w:drawing>
      </w:r>
    </w:p>
    <w:p w:rsidR="001F2057" w:rsidRDefault="001F2057">
      <w:pPr>
        <w:rPr>
          <w:rFonts w:ascii="Times New Roman" w:hAnsi="Times New Roman" w:cs="Times New Roman"/>
          <w:b/>
        </w:rPr>
      </w:pPr>
      <w:r>
        <w:rPr>
          <w:rFonts w:ascii="Times New Roman" w:hAnsi="Times New Roman" w:cs="Times New Roman"/>
          <w:b/>
        </w:rPr>
        <w:br w:type="page"/>
      </w:r>
    </w:p>
    <w:p w:rsidR="001F2057" w:rsidRDefault="001F2057">
      <w:pPr>
        <w:rPr>
          <w:rFonts w:ascii="Times New Roman" w:hAnsi="Times New Roman" w:cs="Times New Roman"/>
          <w:b/>
        </w:rPr>
      </w:pPr>
      <w:r w:rsidRPr="001F2057">
        <w:rPr>
          <w:rFonts w:ascii="Times New Roman" w:hAnsi="Times New Roman" w:cs="Times New Roman"/>
          <w:b/>
        </w:rPr>
        <w:lastRenderedPageBreak/>
        <w:t>Supplemental Fig. 6. Performance comparison of BRI and BMI in predicting CVD</w:t>
      </w:r>
    </w:p>
    <w:p w:rsidR="001F2057" w:rsidRDefault="001F2057">
      <w:pPr>
        <w:rPr>
          <w:rFonts w:ascii="Times New Roman" w:hAnsi="Times New Roman" w:cs="Times New Roman"/>
        </w:rPr>
      </w:pPr>
      <w:r w:rsidRPr="001F2057">
        <w:rPr>
          <w:rFonts w:ascii="Times New Roman" w:hAnsi="Times New Roman" w:cs="Times New Roman"/>
        </w:rPr>
        <w:t>Receiver operating characteristic curves demonstrates the discriminatory capacity of BRI and BMI for predicting incident CVD. AUC values are reported for each index comparison. ROC, receiver operating characteristic; AUC, area under the curve; BRI, body roundness index; BMI, Body Mass Index; CVD, cardiovascular disease.</w:t>
      </w:r>
    </w:p>
    <w:p w:rsidR="001F2057" w:rsidRDefault="001F2057">
      <w:pPr>
        <w:rPr>
          <w:rFonts w:ascii="Times New Roman" w:hAnsi="Times New Roman" w:cs="Times New Roman"/>
        </w:rPr>
      </w:pPr>
    </w:p>
    <w:p w:rsidR="001F2057" w:rsidRPr="001F2057" w:rsidRDefault="001F2057">
      <w:pPr>
        <w:rPr>
          <w:rFonts w:ascii="Times New Roman" w:hAnsi="Times New Roman" w:cs="Times New Roman"/>
        </w:rPr>
      </w:pPr>
      <w:r w:rsidRPr="001F2057">
        <w:rPr>
          <w:rFonts w:ascii="Times New Roman" w:hAnsi="Times New Roman" w:cs="Times New Roman"/>
          <w:noProof/>
          <w:lang w:eastAsia="en-IN"/>
        </w:rPr>
        <w:drawing>
          <wp:inline distT="0" distB="0" distL="0" distR="0">
            <wp:extent cx="5486400" cy="5486400"/>
            <wp:effectExtent l="0" t="0" r="0" b="0"/>
            <wp:docPr id="6" name="Picture 6" descr="H:\journals\Springer\SpACE\12933\3092\Stage200\Author\Supplementary\Supplemental 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journals\Springer\SpACE\12933\3092\Stage200\Author\Supplementary\Supplemental Figure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sectPr w:rsidR="001F2057" w:rsidRPr="001F20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78D"/>
    <w:rsid w:val="0008021A"/>
    <w:rsid w:val="000944FD"/>
    <w:rsid w:val="001D38CD"/>
    <w:rsid w:val="001F2057"/>
    <w:rsid w:val="002C2D63"/>
    <w:rsid w:val="00411DB7"/>
    <w:rsid w:val="004268DD"/>
    <w:rsid w:val="004C4612"/>
    <w:rsid w:val="006D7539"/>
    <w:rsid w:val="009E039B"/>
    <w:rsid w:val="00A45BED"/>
    <w:rsid w:val="00A52B51"/>
    <w:rsid w:val="00B93186"/>
    <w:rsid w:val="00CC778D"/>
    <w:rsid w:val="00D6217B"/>
    <w:rsid w:val="00DB3704"/>
    <w:rsid w:val="00E71D34"/>
    <w:rsid w:val="00ED7DAC"/>
    <w:rsid w:val="00EE6952"/>
    <w:rsid w:val="00F95A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B8FD6-7370-49DD-AE9E-BD6BC17F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Lakshmi Shanmugasundram</dc:creator>
  <cp:keywords/>
  <dc:description/>
  <cp:lastModifiedBy>Sakthi Lakshmi Shanmugasundram</cp:lastModifiedBy>
  <cp:revision>3</cp:revision>
  <dcterms:created xsi:type="dcterms:W3CDTF">2026-01-29T10:25:00Z</dcterms:created>
  <dcterms:modified xsi:type="dcterms:W3CDTF">2026-01-29T10:31:00Z</dcterms:modified>
</cp:coreProperties>
</file>