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uerpodetexto"/>
        <w:bidi w:val="0"/>
        <w:spacing w:lineRule="auto" w:line="309" w:before="0" w:after="160"/>
        <w:ind w:left="720" w:right="0" w:hanging="0"/>
        <w:rPr/>
      </w:pPr>
      <w:bookmarkStart w:id="0" w:name="docs-internal-guid-66e2a750-7fff-3eed-d2"/>
      <w:bookmarkEnd w:id="0"/>
      <w:r>
        <w:rPr>
          <w:caps w:val="false"/>
          <w:smallCaps w:val="false"/>
          <w:strike w:val="false"/>
          <w:dstrike w:val="false"/>
          <w:color w:val="1F4E79"/>
          <w:u w:val="none"/>
          <w:effect w:val="none"/>
          <w:shd w:fill="auto" w:val="clear"/>
        </w:rPr>
        <w:drawing>
          <wp:inline distT="0" distB="0" distL="0" distR="0">
            <wp:extent cx="5734050" cy="5000625"/>
            <wp:effectExtent l="0" t="0" r="0" b="0"/>
            <wp:docPr id="1" name="Imagen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aps w:val="false"/>
          <w:smallCaps w:val="false"/>
          <w:strike w:val="false"/>
          <w:dstrike w:val="false"/>
          <w:color w:val="1F4E79"/>
          <w:u w:val="none"/>
          <w:effect w:val="none"/>
          <w:shd w:fill="auto" w:val="clear"/>
        </w:rPr>
        <w:drawing>
          <wp:inline distT="0" distB="0" distL="0" distR="0">
            <wp:extent cx="5762625" cy="4972050"/>
            <wp:effectExtent l="0" t="0" r="0" b="0"/>
            <wp:docPr id="2" name="Imagen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uerpodetexto"/>
        <w:bidi w:val="0"/>
        <w:spacing w:lineRule="auto" w:line="276" w:before="0" w:after="140"/>
        <w:jc w:val="left"/>
        <w:rPr/>
      </w:pPr>
      <w:r>
        <w:rPr/>
        <w:br/>
      </w: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6"/>
          <w:u w:val="none"/>
          <w:effect w:val="none"/>
          <w:shd w:fill="auto" w:val="clear"/>
        </w:rPr>
        <w:t xml:space="preserve">Supplementary Figure 1.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6"/>
          <w:u w:val="none"/>
          <w:effect w:val="none"/>
          <w:shd w:fill="auto" w:val="clear"/>
        </w:rPr>
        <w:t xml:space="preserve">Heatmap with the correlation between the principal components of prepubertal DNA methylation and potential counfounders. Before (left) and after (right) to denoise by batch variable. </w:t>
      </w:r>
    </w:p>
    <w:sectPr>
      <w:type w:val="nextPage"/>
      <w:pgSz w:orient="landscape" w:w="23811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altName w:val="serif"/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s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s-ES" w:eastAsia="zh-CN" w:bidi="hi-IN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LibreOffice/7.3.7.2$Linux_X86_64 LibreOffice_project/30$Build-2</Application>
  <AppVersion>15.0000</AppVersion>
  <Pages>1</Pages>
  <Words>28</Words>
  <Characters>179</Characters>
  <CharactersWithSpaces>208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2025-11-21T12:21:02Z</dcterms:created>
  <dc:creator/>
  <dc:description/>
  <dc:language>es-ES</dc:language>
  <cp:lastModifiedBy/>
  <dcterms:modified xsi:type="dcterms:W3CDTF">2025-11-21T12:23:24Z</dcterms:modified>
  <cp:revision>1</cp:revision>
  <dc:subject/>
  <dc:title/>
</cp:coreProperties>
</file>