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0D45D">
      <w:pPr>
        <w:widowControl/>
        <w:spacing w:before="240" w:after="240" w:line="240" w:lineRule="auto"/>
        <w:jc w:val="center"/>
        <w:rPr>
          <w:rFonts w:ascii="Times New Roman" w:hAnsi="Times New Roman" w:eastAsia="宋体" w:cs="Times New Roman"/>
          <w:b w:val="0"/>
          <w:bCs/>
          <w:kern w:val="0"/>
          <w:sz w:val="24"/>
          <w:lang w:val="en-US" w:eastAsia="en-US"/>
          <w14:ligatures w14:val="none"/>
        </w:rPr>
      </w:pPr>
      <w:r>
        <w:rPr>
          <w:rFonts w:ascii="Times New Roman" w:hAnsi="Times New Roman" w:eastAsia="宋体" w:cs="Times New Roman"/>
          <w:b/>
          <w:bCs w:val="0"/>
          <w:kern w:val="0"/>
          <w:sz w:val="24"/>
          <w:lang w:val="en-US" w:eastAsia="en-US"/>
          <w14:ligatures w14:val="none"/>
        </w:rPr>
        <w:t xml:space="preserve">Supplementary Table </w:t>
      </w:r>
      <w:r>
        <w:rPr>
          <w:rFonts w:hint="eastAsia" w:ascii="Times New Roman" w:hAnsi="Times New Roman" w:eastAsia="宋体" w:cs="Times New Roman"/>
          <w:b/>
          <w:bCs w:val="0"/>
          <w:kern w:val="0"/>
          <w:sz w:val="24"/>
          <w:lang w:val="en-US" w:eastAsia="zh-CN"/>
          <w14:ligatures w14:val="none"/>
        </w:rPr>
        <w:t>S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 w:val="0"/>
          <w:kern w:val="0"/>
          <w:sz w:val="24"/>
          <w:lang w:val="en-US" w:eastAsia="en-US"/>
          <w14:ligatures w14:val="none"/>
        </w:rPr>
        <w:t xml:space="preserve">3. </w:t>
      </w:r>
      <w:r>
        <w:rPr>
          <w:rFonts w:ascii="Times New Roman" w:hAnsi="Times New Roman" w:eastAsia="宋体" w:cs="Times New Roman"/>
          <w:b w:val="0"/>
          <w:bCs/>
          <w:kern w:val="0"/>
          <w:sz w:val="24"/>
          <w:lang w:val="en-US" w:eastAsia="en-US"/>
          <w14:ligatures w14:val="none"/>
        </w:rPr>
        <w:t>List of excluded studies, with reasons for exclusion after full text reading.</w:t>
      </w:r>
    </w:p>
    <w:tbl>
      <w:tblPr>
        <w:tblStyle w:val="4"/>
        <w:tblW w:w="1561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3046"/>
        <w:gridCol w:w="2112"/>
      </w:tblGrid>
      <w:tr w14:paraId="430B83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bottom w:val="single" w:color="auto" w:sz="6" w:space="0"/>
            </w:tcBorders>
            <w:vAlign w:val="center"/>
          </w:tcPr>
          <w:p w14:paraId="636987A8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</w:p>
        </w:tc>
        <w:tc>
          <w:tcPr>
            <w:tcW w:w="13046" w:type="dxa"/>
            <w:tcBorders>
              <w:bottom w:val="single" w:color="auto" w:sz="6" w:space="0"/>
            </w:tcBorders>
            <w:vAlign w:val="center"/>
          </w:tcPr>
          <w:p w14:paraId="458FB8AF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References</w:t>
            </w:r>
          </w:p>
        </w:tc>
        <w:tc>
          <w:tcPr>
            <w:tcW w:w="2112" w:type="dxa"/>
            <w:tcBorders>
              <w:bottom w:val="single" w:color="auto" w:sz="6" w:space="0"/>
            </w:tcBorders>
            <w:vAlign w:val="center"/>
          </w:tcPr>
          <w:p w14:paraId="35ACD8F2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Reason for exclusion</w:t>
            </w:r>
          </w:p>
        </w:tc>
      </w:tr>
      <w:tr w14:paraId="773EED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1AC08384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</w:t>
            </w:r>
          </w:p>
        </w:tc>
        <w:tc>
          <w:tcPr>
            <w:tcW w:w="13046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2BB11EFD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 of body mass index combined with triglyceride-glucose index in cardiovascular disease risk: a prospective cohort study</w:t>
            </w:r>
          </w:p>
        </w:tc>
        <w:tc>
          <w:tcPr>
            <w:tcW w:w="2112" w:type="dxa"/>
            <w:tcBorders>
              <w:top w:val="single" w:color="auto" w:sz="6" w:space="0"/>
              <w:tl2br w:val="nil"/>
              <w:tr2bl w:val="nil"/>
            </w:tcBorders>
          </w:tcPr>
          <w:p w14:paraId="44FE9FA2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No available data</w:t>
            </w:r>
          </w:p>
        </w:tc>
      </w:tr>
      <w:tr w14:paraId="23F229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3B25ED5B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345AD363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AU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Assessing the impact of insulin resistance trajectories on cardiovascular disease risk using longitudinal targeted maximum likelihood estimation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14:paraId="2FD5DC61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42243A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714C51A5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3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1C305778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Triglyceride-glucose Index and Its combination with obesity indicators mediating the association between 2-hydroxyfluorene and the prevalence of cardiovascular disease: Evidence from the NHANES (2005-2018)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14:paraId="09CF22A4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25D0B1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208D2C42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4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02EEFA46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The nutritional metabolic risk index as a predictor of all-cause and cardiovascular mortality: A national cohort study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14:paraId="2ABF901D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7C4DC1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12B6FED0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5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5231A73C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AU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The associations of triglyceride glucose and its derived indexes with 10-year cardiovascular disease risk in a Chinese community-based population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14:paraId="55E99032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AU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The full text is not available</w:t>
            </w:r>
          </w:p>
        </w:tc>
      </w:tr>
      <w:tr w14:paraId="551FD0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</w:tcPr>
          <w:p w14:paraId="22899EAE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6</w:t>
            </w:r>
          </w:p>
        </w:tc>
        <w:tc>
          <w:tcPr>
            <w:tcW w:w="13046" w:type="dxa"/>
            <w:tcBorders>
              <w:tl2br w:val="nil"/>
              <w:tr2bl w:val="nil"/>
            </w:tcBorders>
          </w:tcPr>
          <w:p w14:paraId="4E045410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The association of triglyceride-glucose index and related parameters with hypertension and cardiovascular risk: a cross-sectional study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14:paraId="1719D57D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73FD74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</w:tcPr>
          <w:p w14:paraId="467544B9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7</w:t>
            </w:r>
          </w:p>
        </w:tc>
        <w:tc>
          <w:tcPr>
            <w:tcW w:w="13046" w:type="dxa"/>
            <w:tcBorders>
              <w:tl2br w:val="nil"/>
              <w:tr2bl w:val="nil"/>
            </w:tcBorders>
          </w:tcPr>
          <w:p w14:paraId="4090E7F9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Study on the relationship between insulin resistance and cardiovascular disease risk based on a coal mining population in Northern Shaanxi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14:paraId="12201620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0D8086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</w:tcPr>
          <w:p w14:paraId="7F366417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8</w:t>
            </w:r>
          </w:p>
        </w:tc>
        <w:tc>
          <w:tcPr>
            <w:tcW w:w="13046" w:type="dxa"/>
            <w:tcBorders>
              <w:tl2br w:val="nil"/>
              <w:tr2bl w:val="nil"/>
            </w:tcBorders>
          </w:tcPr>
          <w:p w14:paraId="5D78EE57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Predictive properties of novel anthropometric and biochemical indexes for prediction of cardiovascular risk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14:paraId="45225F85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569E67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336079F9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9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0D9A2913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 between the cumulative average triglyceride glucose-body mass index and cardiovascular disease incidence among the middle-aged and older population: a prospective nationwide cohort study in China</w:t>
            </w:r>
          </w:p>
        </w:tc>
        <w:tc>
          <w:tcPr>
            <w:tcW w:w="2112" w:type="dxa"/>
            <w:tcBorders>
              <w:tl2br w:val="nil"/>
              <w:tr2bl w:val="nil"/>
            </w:tcBorders>
          </w:tcPr>
          <w:p w14:paraId="2DDF621B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4D6B1B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</w:tcPr>
          <w:p w14:paraId="05ED5816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10</w:t>
            </w:r>
          </w:p>
        </w:tc>
        <w:tc>
          <w:tcPr>
            <w:tcW w:w="13046" w:type="dxa"/>
            <w:tcBorders>
              <w:tl2br w:val="nil"/>
              <w:tr2bl w:val="nil"/>
            </w:tcBorders>
          </w:tcPr>
          <w:p w14:paraId="16075A1B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THE ASSOCIATION OF TRIGLYCERIDE-GLUCOSE INDEX AND RELATED PARAMETERS WITH HYPERTENSION AND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CARDIOVASCULAR RISK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33187C73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The full text is not available</w:t>
            </w:r>
          </w:p>
        </w:tc>
      </w:tr>
      <w:tr w14:paraId="1B86A4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</w:tcPr>
          <w:p w14:paraId="4A5162A5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11</w:t>
            </w:r>
          </w:p>
        </w:tc>
        <w:tc>
          <w:tcPr>
            <w:tcW w:w="13046" w:type="dxa"/>
            <w:tcBorders>
              <w:tl2br w:val="nil"/>
              <w:tr2bl w:val="nil"/>
            </w:tcBorders>
          </w:tcPr>
          <w:p w14:paraId="1A3839B6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Associations of triglyceride glucose-body mass index with short-term mortality in critically ill patients with ischemic stroke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2F423F64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486CDAB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</w:tcPr>
          <w:p w14:paraId="17725B37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12</w:t>
            </w:r>
          </w:p>
        </w:tc>
        <w:tc>
          <w:tcPr>
            <w:tcW w:w="13046" w:type="dxa"/>
            <w:tcBorders>
              <w:tl2br w:val="nil"/>
              <w:tr2bl w:val="nil"/>
            </w:tcBorders>
          </w:tcPr>
          <w:p w14:paraId="4FA55775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Comparison of Changes In Triglyceride-Glucose-Related Indices for Predicting the Risk of Stroke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19220029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The full text is not available</w:t>
            </w:r>
          </w:p>
        </w:tc>
      </w:tr>
      <w:tr w14:paraId="79E263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130EA22D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13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7E6C35EA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Synergistic effects of triglyceride-glucose index and body mass index combined with depression in predicting stroke events: a study based on two national cohorts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33706513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331F9E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7D1941B1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14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00F19B28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The predictive value of estimated glucose disposal rate and its association with myocardial infarction, heart failure, atrial fibrillation and ischemic stroke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4CFA230E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40FB76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5F0C0EAF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15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6BC7843B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 comprehensive analysis of stroke risk factors and development of a predictive model using machine learning approaches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6C9C3DCB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7DA098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09EAD55D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16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438AA9D7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Combined effect of triglyceride glucose-body mass index and hypertension on new-onset stroke: evidence from the China health and retirement longitudinal study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110811D3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wrong study design</w:t>
            </w:r>
          </w:p>
        </w:tc>
      </w:tr>
      <w:tr w14:paraId="632F04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150B3AB1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17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245A07AD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 between triglyceride glucose-body mass index and 365-day mortality in patients with critical coronary heart disease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6AD75D9B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277E76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1DC0691A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18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543BAC11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Predicting the presence and severity of coronary artery disease using surrogate markers of insulin resistance: A cross-sectional study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798CBEBE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0754FB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39A7740B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19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6BFFC6D1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Comparative study of triglyceride glucose index and coronary heart disease risk in middle aged and elderly Chinese and British populations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681BA34F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7B2630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6E85156C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20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4444A3A9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Triglyceride Glucose Index, and Its Modified Indices as Reliable Alternative Markers for Insulin Resistance in Men with Acute Coronary Syndrome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0293CCD8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The full text is not available</w:t>
            </w:r>
          </w:p>
        </w:tc>
      </w:tr>
      <w:tr w14:paraId="427211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0324E9F0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21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11730C4F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Integration of Hematologic and Metabolic Biomarkers for Outcome Prediction in Acute Coronary Syndromes Without ST Elevation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3A2F44E0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683995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2D052219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22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04F2284C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The Correlation Between Triglyceride-Glucose-Body Mass Index, and the Risk of Silent Myocardial Infarction: Construction of a Predictive Model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38F9F505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623823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0434191D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23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25EA0268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Triglyceride-glucose body mass index predicts prognosis in patients with ST-elevation myocardial infarction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5DB41FE3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201ED8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1EBE7ADF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24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5F95F295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 cross-sectional study of factors associated with carotid atherosclerosis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0C7C859F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367BAD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5A68CD2F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25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2B7607AC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Comparison of seven surrogate insulin resistance indexes for predicting the prevalence of carotid atherosclerosis in normal-weight individuals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01946F3A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3B5843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41C79858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26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2129E955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Triglyceride Glucose-Waist Circumference Better Predicts Coronary Calcium Progression Compared with Other Indices of Insulin Resistance: A Longitudinal Observational Study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212C4B7A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645CD8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4416674C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27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0937D090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 between triglyceride glucose-body mass index and the trajectory of cardio-renal-metabolic multimorbidity: insights from multi-state modelling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2A85A6CD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0738E4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5739FD32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28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5B75AB28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Associations between triglyceride-glucose index combined with waist circumference and heart failure in individuals with different body mass indices: a cross-sectional study using NHANES 2011-2020 data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66B34A5E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0CFCF0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2CB107FE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29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3090DCED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Insulin resistance markers HOMA-IR, TyG and TyG-BMI index in relation to heart failure risk: NHANES 2011-2016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1E8C71F8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6CD193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475FDBE6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30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49EC60A4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The novel triglyceride-glucose-weighted adjusted waist index as a supplementary diagnostic tool for heart failure: evidence of improved reclassification beyond traditional TyG-related indices from a cross-sectional study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1541D5BA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09F240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69310987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31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2742FB7E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Comparative study on the predictive value of TG/HDL-C, TyG and TyG-BMI indices for 5-year mortality in critically ill patients with chronic heart failure: a retrospective study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39C59513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69E172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0518E70C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32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0A4F222F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The association of triglyceride-glucose and triglyceride-glucose related indices with the risk of heart disease in a national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11229406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7E80AC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36985D4C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33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38CD3B59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 of triglyceride glucose index and triglyceride glucose-body mass index with sudden cardiac arrest in the general population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24290551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1BC629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10E788A5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34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6040A11D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 between Triglyceride-Glucose indices and ischemic stroke risk across different glucose metabolism statuses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274B6B18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wrong study design</w:t>
            </w:r>
          </w:p>
        </w:tc>
      </w:tr>
      <w:tr w14:paraId="0308B1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3FB2ECBA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35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096132D0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 Between Different Insulin Resistance Indices and Heart Failure in US Adults With Diabetes Mellitus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1BB608A4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7BDE5E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191183C8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36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70A66844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TyG-BMI and hypertension in Normoglycemia subjects in Japan: A cross-sectional study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3E918071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5E8992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24D88E5F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37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23C916E7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Correlation between triglyceride glucose index combined with different obesity indexes and new-onset ischemic stroke in 10 years among prediabetes individuals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1EDEE5E3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298172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5CAE221F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38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7C0904B0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Associations between TyG-BMI and normal-high blood pressure values and hypertension: cross-sectional evidence from a non-diabetic population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7B9BE276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34BFD9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6AB96073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39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422AB062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Multiple triglyceride-derived metabolic indices and incident cardiovascular outcomes in patients with type 2 diabetes and coronary heart disease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2D2C981B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5C4DC4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66246894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40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76D416AA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 between triglyceride glucose-body mass index and heart failure in subjects with diabetes mellitus or prediabetes mellitus: a cross-sectional study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0DF2406B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64594D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68E75AE3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41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0F5A02BA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The association between triglyceride-glucose index and related parameters and risk of cardiovascular disease in American adults under different glucose metabolic states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78BCAC89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3C7256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4CEA4330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42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439ED49D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Prediction of Hypertension Risk in Patients with Fatty Liver Disease Using the Triglyceride-Glucose-Body Mass Index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51F3F184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5AFD6B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48833DF7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43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06ADDD09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 of triglyceride-glucose related indices with mortality among individuals with MASLD combined with prediabetes or diabetes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46E74AF1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1C42EE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19B939D1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44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13B0521E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The association between triglyceride glucose-waist height ratio index and cardiometabolic multimorbidity among Chinese middle-aged and older adults: a national prospective cohort study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4854C51F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6B23D6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3FFEDFEC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45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6320F3F4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TyG-BMI as a predictor of ischemic stroke over 10 years in middle-aged and older adults: findings from the China cardiometabolic disease and cancer cohort (4C) study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792DEA0B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No available data</w:t>
            </w:r>
          </w:p>
        </w:tc>
      </w:tr>
      <w:tr w14:paraId="2A0425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5B5B91CD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46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1C7A6C3F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Associations of different insulin resistance-related indices with the incidence and progression trajectory of cardiometabolic multimorbidity: a prospective cohort study from UK biobank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2478CE9D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67EBF8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3E6A8954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47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2B748173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Comparison of triglyceride-glucose related indices in prediction of cardiometabolic disease incidence among US midlife women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0C23EBEF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  <w:tr w14:paraId="42D1D2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56" w:type="dxa"/>
            <w:tcBorders>
              <w:tl2br w:val="nil"/>
              <w:tr2bl w:val="nil"/>
            </w:tcBorders>
            <w:vAlign w:val="center"/>
          </w:tcPr>
          <w:p w14:paraId="4535949A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  <w:t>48</w:t>
            </w:r>
          </w:p>
        </w:tc>
        <w:tc>
          <w:tcPr>
            <w:tcW w:w="13046" w:type="dxa"/>
            <w:tcBorders>
              <w:tl2br w:val="nil"/>
              <w:tr2bl w:val="nil"/>
            </w:tcBorders>
            <w:vAlign w:val="center"/>
          </w:tcPr>
          <w:p w14:paraId="42695D5E">
            <w:pPr>
              <w:widowControl/>
              <w:snapToGrid w:val="0"/>
              <w:spacing w:before="240" w:after="240" w:line="240" w:lineRule="auto"/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zh-CN" w:eastAsia="en-US"/>
                <w14:ligatures w14:val="none"/>
              </w:rPr>
              <w:t>Association of triglyceride glucose index and its combination of obesity indices with prehypertension in lean individuals: A cross-sectional study of Chinese adults</w:t>
            </w:r>
          </w:p>
        </w:tc>
        <w:tc>
          <w:tcPr>
            <w:tcW w:w="2112" w:type="dxa"/>
            <w:tcBorders>
              <w:tl2br w:val="nil"/>
              <w:tr2bl w:val="nil"/>
            </w:tcBorders>
            <w:vAlign w:val="center"/>
          </w:tcPr>
          <w:p w14:paraId="17FEA3C5">
            <w:pPr>
              <w:widowControl/>
              <w:snapToGrid w:val="0"/>
              <w:spacing w:before="240" w:after="240" w:line="240" w:lineRule="auto"/>
              <w:rPr>
                <w:rFonts w:hint="eastAsia" w:ascii="Times New Roman" w:hAnsi="Times New Roman" w:eastAsia="宋体" w:cs="Times New Roman"/>
                <w:kern w:val="0"/>
                <w:sz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val="zh-CN" w:eastAsia="zh-CN"/>
                <w14:ligatures w14:val="none"/>
              </w:rPr>
              <w:t>Different outcome measures</w:t>
            </w:r>
          </w:p>
        </w:tc>
      </w:tr>
    </w:tbl>
    <w:p w14:paraId="02CC04A8">
      <w:pPr>
        <w:widowControl/>
        <w:spacing w:before="240" w:after="240" w:line="240" w:lineRule="auto"/>
        <w:rPr>
          <w:rFonts w:ascii="Times New Roman" w:hAnsi="Times New Roman" w:eastAsia="宋体" w:cs="Times New Roman"/>
          <w:kern w:val="0"/>
          <w:sz w:val="24"/>
          <w:lang w:val="en-AU" w:eastAsia="en-US"/>
          <w14:ligatures w14:val="none"/>
        </w:rPr>
        <w:sectPr>
          <w:pgSz w:w="16838" w:h="11906" w:orient="landscape"/>
          <w:pgMar w:top="720" w:right="720" w:bottom="720" w:left="7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7044F674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C651183"/>
    <w:rsid w:val="1EDE6B56"/>
    <w:rsid w:val="29FB2B5A"/>
    <w:rsid w:val="31B76A0B"/>
    <w:rsid w:val="3B2865A5"/>
    <w:rsid w:val="3F2D62FF"/>
    <w:rsid w:val="429B7DFE"/>
    <w:rsid w:val="48D13C35"/>
    <w:rsid w:val="4BB94F3A"/>
    <w:rsid w:val="62BC00D7"/>
    <w:rsid w:val="62F7680F"/>
    <w:rsid w:val="776B21E2"/>
    <w:rsid w:val="7CFC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GB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qFormat/>
    <w:uiPriority w:val="39"/>
    <w:pPr>
      <w:spacing w:after="0" w:line="240" w:lineRule="auto"/>
    </w:pPr>
    <w:rPr>
      <w:rFonts w:ascii="Cambria" w:hAnsi="Cambria"/>
      <w:kern w:val="0"/>
      <w:szCs w:val="22"/>
      <w:lang w:eastAsia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_00000000-0000-0000-0000-000000000001_"/>
    <w:unhideWhenUsed/>
    <w:qFormat/>
    <w:uiPriority w:val="99"/>
    <w:pPr>
      <w:widowControl w:val="0"/>
      <w:autoSpaceDE w:val="0"/>
      <w:autoSpaceDN w:val="0"/>
      <w:adjustRightInd w:val="0"/>
      <w:spacing w:beforeLines="0" w:afterLines="0" w:line="360" w:lineRule="auto"/>
    </w:pPr>
    <w:rPr>
      <w:rFonts w:hint="default" w:asciiTheme="minorHAnsi" w:hAnsiTheme="minorHAnsi" w:eastAsiaTheme="minorEastAsia" w:cstheme="minorBidi"/>
      <w:sz w:val="24"/>
      <w:szCs w:val="24"/>
    </w:rPr>
  </w:style>
  <w:style w:type="paragraph" w:customStyle="1" w:styleId="6">
    <w:name w:val="_00000000-0000-0000-0000-000000000010_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Theme="minorHAnsi" w:hAnsiTheme="minorHAnsi" w:eastAsiaTheme="minorEastAsia" w:cstheme="minorBidi"/>
      <w:sz w:val="24"/>
      <w:szCs w:val="24"/>
    </w:rPr>
  </w:style>
  <w:style w:type="character" w:customStyle="1" w:styleId="7">
    <w:name w:val="_00000000-0000-0000-0000-000000000002_"/>
    <w:unhideWhenUsed/>
    <w:qFormat/>
    <w:uiPriority w:val="99"/>
    <w:rPr>
      <w:rFonts w:hint="eastAsia" w:ascii="Arial" w:hAnsi="Arial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6</Pages>
  <Words>1096</Words>
  <Characters>7169</Characters>
  <Lines>0</Lines>
  <Paragraphs>0</Paragraphs>
  <TotalTime>45</TotalTime>
  <ScaleCrop>false</ScaleCrop>
  <LinksUpToDate>false</LinksUpToDate>
  <CharactersWithSpaces>8118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2025-12-30T07:31:00Z</dcterms:created>
  <dc:creator>老师</dc:creator>
  <cp:lastModifiedBy>老师</cp:lastModifiedBy>
  <dcterms:modified xsi:type="dcterms:W3CDTF">2026-01-13T15:26:25Z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D81F57ADA8EC4427871038D5D45F0817_11</vt:lpwstr>
  </property>
  <property fmtid="{D5CDD505-2E9C-101B-9397-08002B2CF9AE}" pid="4" name="KSOTemplateDocerSaveRecord">
    <vt:lpwstr>eyJoZGlkIjoiZjgyMjhlNzQ1NGJiZWU5ZmY2NjBhOThjYjdhOWIzNWMiLCJ1c2VySWQiOiIxMTAxNjkxMTQwIn0=</vt:lpwstr>
  </property>
</Properties>
</file>