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009CF">
      <w:pP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  <w:t xml:space="preserve">Supplemental </w:t>
      </w: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</w:rPr>
        <w:t>Table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/>
        </w:rPr>
        <w:t>Bilateral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thoracic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skeletal 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>muscle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groups 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on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/>
        </w:rPr>
        <w:t>CMR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>according</w:t>
      </w:r>
      <w:r>
        <w:rPr>
          <w:rFonts w:hint="default" w:ascii="Times New Roman" w:hAnsi="Times New Roman" w:eastAsia="宋体" w:cs="Times New Roman"/>
          <w:spacing w:val="16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>to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diabetes in HFpEF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patients.</w:t>
      </w:r>
    </w:p>
    <w:p w14:paraId="2AB33A49">
      <w:pP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</w:p>
    <w:p w14:paraId="4297E5E0">
      <w:pP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</w:p>
    <w:tbl>
      <w:tblPr>
        <w:tblStyle w:val="7"/>
        <w:tblW w:w="8492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5"/>
        <w:gridCol w:w="2072"/>
        <w:gridCol w:w="2027"/>
        <w:gridCol w:w="1088"/>
      </w:tblGrid>
      <w:tr w14:paraId="5E133774">
        <w:trPr>
          <w:trHeight w:val="394" w:hRule="atLeast"/>
          <w:jc w:val="center"/>
        </w:trPr>
        <w:tc>
          <w:tcPr>
            <w:tcW w:w="330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A3BC42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72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6A7CC8C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non-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T2DM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(n=194)</w:t>
            </w:r>
          </w:p>
        </w:tc>
        <w:tc>
          <w:tcPr>
            <w:tcW w:w="2027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0CB924E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T2DM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(n=87)</w:t>
            </w:r>
          </w:p>
        </w:tc>
        <w:tc>
          <w:tcPr>
            <w:tcW w:w="1088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ED5FFC6">
            <w:pPr>
              <w:pStyle w:val="8"/>
              <w:spacing w:line="240" w:lineRule="auto"/>
              <w:ind w:firstLine="196" w:firstLineChars="10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3"/>
                <w:sz w:val="20"/>
                <w:szCs w:val="20"/>
              </w:rPr>
              <w:t>value</w:t>
            </w:r>
          </w:p>
        </w:tc>
      </w:tr>
      <w:tr w14:paraId="42A56068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471D56CF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erratus anterior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AF84528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3.47 (2.75, 4.59)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2C543A32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3.83 (2.87, 5.09)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028944F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0.418</w:t>
            </w:r>
          </w:p>
        </w:tc>
      </w:tr>
      <w:tr w14:paraId="2216FF6C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7AE1532E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rapezius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6B95D4F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2.91 (2.27, 3.87)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F26973B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2.85 (2.21, 3.71)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E0A068B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0.664</w:t>
            </w:r>
          </w:p>
        </w:tc>
      </w:tr>
      <w:tr w14:paraId="6F1B30B3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543A67D3">
            <w:pPr>
              <w:pStyle w:val="8"/>
              <w:spacing w:before="92" w:line="240" w:lineRule="auto"/>
              <w:ind w:left="40" w:leftChars="0"/>
              <w:rPr>
                <w:rFonts w:hint="eastAsia" w:ascii="Times New Roman" w:hAnsi="Times New Roman" w:eastAsia="Arial" w:cs="Times New Roman"/>
                <w:spacing w:val="-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eriscapular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A91BB49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20.41 (14.82, 26.76)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C5C1414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18.75 (14.48, 23.65)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159769D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0.089</w:t>
            </w:r>
          </w:p>
        </w:tc>
      </w:tr>
      <w:tr w14:paraId="4B439E56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0A4CB97C">
            <w:pPr>
              <w:pStyle w:val="8"/>
              <w:spacing w:before="92" w:line="240" w:lineRule="auto"/>
              <w:ind w:left="40" w:leftChars="0"/>
              <w:rPr>
                <w:rFonts w:hint="eastAsia" w:ascii="Times New Roman" w:hAnsi="Times New Roman" w:eastAsia="Arial" w:cs="Times New Roman"/>
                <w:spacing w:val="-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ectoralis major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168434A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12.98 (9.57, 17.85)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2408AEA8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12.71 (9.63, 15.37)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5400418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0.486</w:t>
            </w:r>
          </w:p>
        </w:tc>
      </w:tr>
      <w:tr w14:paraId="7138A66F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247526A5">
            <w:pPr>
              <w:pStyle w:val="8"/>
              <w:spacing w:before="92" w:line="240" w:lineRule="auto"/>
              <w:ind w:left="40" w:leftChars="0"/>
              <w:rPr>
                <w:rFonts w:hint="eastAsia" w:ascii="Times New Roman" w:hAnsi="Times New Roman" w:eastAsia="Arial" w:cs="Times New Roman"/>
                <w:spacing w:val="-1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ectoralis minor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2B6B293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2.93 (2.03, 3.74)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A12DFD8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2.59 (2.10, 3.15)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D0F1191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0"/>
                <w:szCs w:val="20"/>
                <w:lang w:val="en-US" w:eastAsia="zh-CN" w:bidi="ar-SA"/>
              </w:rPr>
              <w:t>0.035</w:t>
            </w:r>
          </w:p>
        </w:tc>
      </w:tr>
      <w:tr w14:paraId="53F1C220">
        <w:trPr>
          <w:trHeight w:val="395" w:hRule="atLeast"/>
          <w:jc w:val="center"/>
        </w:trPr>
        <w:tc>
          <w:tcPr>
            <w:tcW w:w="3305" w:type="dxa"/>
            <w:shd w:val="clear" w:color="auto" w:fill="auto"/>
            <w:vAlign w:val="top"/>
          </w:tcPr>
          <w:p w14:paraId="4FDBDF6C">
            <w:pPr>
              <w:pStyle w:val="8"/>
              <w:spacing w:before="92" w:line="240" w:lineRule="auto"/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araspinal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muscle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index, cm²/m²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2F6DB65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7.72 (5.49, 10.79)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19F9B264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7.00 (5.14, 9.34)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C1D8269">
            <w:pPr>
              <w:pStyle w:val="8"/>
              <w:spacing w:line="240" w:lineRule="auto"/>
              <w:ind w:left="390" w:leftChars="0"/>
              <w:jc w:val="both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0.062</w:t>
            </w:r>
          </w:p>
        </w:tc>
      </w:tr>
      <w:tr w14:paraId="2DA9B833">
        <w:trPr>
          <w:trHeight w:val="395" w:hRule="atLeast"/>
          <w:jc w:val="center"/>
        </w:trPr>
        <w:tc>
          <w:tcPr>
            <w:tcW w:w="330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2E77B3F">
            <w:pPr>
              <w:pStyle w:val="8"/>
              <w:spacing w:before="92" w:line="240" w:lineRule="auto"/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</w:p>
        </w:tc>
        <w:tc>
          <w:tcPr>
            <w:tcW w:w="20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2BF1D6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087C82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53B57A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29B20F22">
      <w:pP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</w:p>
    <w:p w14:paraId="013781C0">
      <w:pP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Data are presented as mean±SD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or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media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(Q1,Q3)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. </w:t>
      </w:r>
    </w:p>
    <w:p w14:paraId="55CBC81F">
      <w:pP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Bilateral skeletal muscle area (cm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>²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) were indexed by body surface area (BSA, m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>²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).</w:t>
      </w:r>
    </w:p>
    <w:p w14:paraId="2E28EA6E"/>
    <w:p w14:paraId="265FED58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43184264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394B2F0B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65B46752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63A39CE1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498D07A7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77947BDB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0BD81E2E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2A98C95D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1E902A91">
      <w:pP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  <w:t xml:space="preserve">Supplemental </w:t>
      </w: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</w:rPr>
        <w:t>Table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  <w:t>2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>ardiac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function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and remodeling parameters 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>on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CMR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>according</w:t>
      </w:r>
      <w:r>
        <w:rPr>
          <w:rFonts w:hint="default" w:ascii="Times New Roman" w:hAnsi="Times New Roman" w:eastAsia="宋体" w:cs="Times New Roman"/>
          <w:spacing w:val="16"/>
          <w:sz w:val="26"/>
          <w:szCs w:val="26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</w:rPr>
        <w:t>to</w:t>
      </w:r>
      <w: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diabetes</w:t>
      </w:r>
      <w:r>
        <w:rPr>
          <w:rFonts w:hint="default" w:ascii="Times New Roman" w:hAnsi="Times New Roman" w:eastAsia="宋体" w:cs="Times New Roman"/>
          <w:spacing w:val="-2"/>
          <w:sz w:val="26"/>
          <w:szCs w:val="26"/>
          <w:lang w:val="en-US" w:eastAsia="zh-CN"/>
        </w:rPr>
        <w:t xml:space="preserve"> in HFpEF patients.</w:t>
      </w:r>
    </w:p>
    <w:p w14:paraId="10D7D1C9">
      <w:pP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</w:p>
    <w:tbl>
      <w:tblPr>
        <w:tblStyle w:val="7"/>
        <w:tblW w:w="8319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0"/>
        <w:gridCol w:w="2406"/>
        <w:gridCol w:w="2355"/>
        <w:gridCol w:w="1088"/>
      </w:tblGrid>
      <w:tr w14:paraId="2524EEEF">
        <w:trPr>
          <w:trHeight w:val="394" w:hRule="atLeast"/>
          <w:jc w:val="center"/>
        </w:trPr>
        <w:tc>
          <w:tcPr>
            <w:tcW w:w="2470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B36EF7F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0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8BB3D91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non-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T2DM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(n=194)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63C0E33">
            <w:pPr>
              <w:pStyle w:val="8"/>
              <w:spacing w:line="240" w:lineRule="auto"/>
              <w:ind w:firstLine="392" w:firstLineChars="20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T2DM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(n=87)</w:t>
            </w:r>
          </w:p>
        </w:tc>
        <w:tc>
          <w:tcPr>
            <w:tcW w:w="1088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47C650E">
            <w:pPr>
              <w:pStyle w:val="8"/>
              <w:spacing w:line="240" w:lineRule="auto"/>
              <w:ind w:firstLine="294" w:firstLineChars="15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3"/>
                <w:sz w:val="20"/>
                <w:szCs w:val="20"/>
              </w:rPr>
              <w:t>value</w:t>
            </w:r>
          </w:p>
        </w:tc>
      </w:tr>
      <w:tr w14:paraId="7EB9F379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76C9F94A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LVEF,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%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53BDA5A6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61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C936DB4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59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CBFDB0E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0.111</w:t>
            </w:r>
          </w:p>
        </w:tc>
      </w:tr>
      <w:tr w14:paraId="0675EF7D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27384FAA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LVM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index,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g/m²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720B390A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57.86 (44.23, 80.03)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63A2F35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54.94 (46.10, 78.09)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2E31480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0.815</w:t>
            </w:r>
          </w:p>
        </w:tc>
      </w:tr>
      <w:tr w14:paraId="051D022C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2FC6F457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LVEDV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index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,mL/m²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4C1DF04D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81.44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21.81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848AC56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73.44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18.43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A614262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0"/>
                <w:szCs w:val="20"/>
                <w:lang w:val="en-US" w:eastAsia="zh-CN" w:bidi="ar-SA"/>
              </w:rPr>
              <w:t>0.005</w:t>
            </w:r>
          </w:p>
        </w:tc>
      </w:tr>
      <w:tr w14:paraId="342967D9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10DA8356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LVESV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index,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mL/m²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48C8D006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29.77 (23.73, 37.36)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D7D188E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29.45 (21.62, 35.08)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394E550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0.258</w:t>
            </w:r>
          </w:p>
        </w:tc>
      </w:tr>
      <w:tr w14:paraId="05D6710A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54DB67E9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LVSV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index,</w:t>
            </w:r>
            <w:r>
              <w:rPr>
                <w:rFonts w:hint="eastAsia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mL/m²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7A2CF371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49.60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13.68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AA3D753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43.58±11.83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4C7328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2"/>
                <w:sz w:val="20"/>
                <w:szCs w:val="20"/>
                <w:lang w:val="en-US" w:eastAsia="zh-CN" w:bidi="ar-SA"/>
              </w:rPr>
              <w:t>0.001</w:t>
            </w:r>
          </w:p>
        </w:tc>
      </w:tr>
      <w:tr w14:paraId="103AB702">
        <w:trPr>
          <w:trHeight w:val="395" w:hRule="atLeast"/>
          <w:jc w:val="center"/>
        </w:trPr>
        <w:tc>
          <w:tcPr>
            <w:tcW w:w="2470" w:type="dxa"/>
            <w:shd w:val="clear" w:color="auto" w:fill="auto"/>
            <w:vAlign w:val="top"/>
          </w:tcPr>
          <w:p w14:paraId="1AA30821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eastAsia="宋体" w:cs="Times New Roman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>LVRI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/>
              </w:rPr>
              <w:t>, g/mL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0275A46D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1.32 (1.05, 1.72)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B3310D0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1.26 (0.95, 1.56)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A1E996F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  <w:t>0.084</w:t>
            </w:r>
          </w:p>
        </w:tc>
      </w:tr>
      <w:tr w14:paraId="41B72127">
        <w:trPr>
          <w:trHeight w:val="395" w:hRule="atLeast"/>
          <w:jc w:val="center"/>
        </w:trPr>
        <w:tc>
          <w:tcPr>
            <w:tcW w:w="247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27C93D2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2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94A0A2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3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545643D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5E61EA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5C82A67A">
      <w:pPr>
        <w:rPr>
          <w:rFonts w:hint="eastAsia" w:ascii="Times New Roman" w:hAnsi="Times New Roman" w:eastAsia="宋体" w:cs="Times New Roman"/>
          <w:spacing w:val="-2"/>
          <w:sz w:val="26"/>
          <w:szCs w:val="26"/>
          <w:lang w:val="en-US" w:eastAsia="zh-CN"/>
        </w:rPr>
      </w:pPr>
    </w:p>
    <w:p w14:paraId="10456BF1">
      <w:pP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Data are presented as mean±SD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or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media(Q1,Q3)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.</w:t>
      </w:r>
    </w:p>
    <w:p w14:paraId="08591792">
      <w:pP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LVM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left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ventricular mass,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LVEDV left ventricular end-diastolic volume,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LVESV left ventricular end-systolic volume,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LVSV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left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ventricular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stroke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volume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; above parameters were indexed by body surface area;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LVEF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left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ventricular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ejection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fraction,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0"/>
          <w:szCs w:val="20"/>
          <w:lang w:val="en-US" w:eastAsia="zh-CN"/>
        </w:rPr>
        <w:t>LVRI left ventricular remodeling inde</w:t>
      </w:r>
      <w: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  <w:t>x.</w:t>
      </w:r>
    </w:p>
    <w:p w14:paraId="01D13F97">
      <w:pPr>
        <w:rPr>
          <w:rFonts w:hint="default" w:ascii="Times New Roman" w:hAnsi="Times New Roman" w:eastAsia="宋体" w:cs="Times New Roman"/>
          <w:spacing w:val="-1"/>
          <w:sz w:val="20"/>
          <w:szCs w:val="20"/>
          <w:lang w:val="en-US" w:eastAsia="zh-CN"/>
        </w:rPr>
      </w:pPr>
    </w:p>
    <w:p w14:paraId="010154A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5767EA49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1FF5929E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4770032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549C48EA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054A154E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13E5A8C9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09F38A1F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6E6DFAF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5626E4DC">
      <w:pP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/>
        </w:rPr>
        <w:t xml:space="preserve">Supplemental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/>
        </w:rPr>
        <w:t xml:space="preserve"> 3 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  <w:t>The predictive performance of body composition parameters and pairwise comparisons with body mass index (BMI) using DeLong tests.</w:t>
      </w:r>
    </w:p>
    <w:p w14:paraId="41B2E885">
      <w:pP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</w:pPr>
    </w:p>
    <w:tbl>
      <w:tblPr>
        <w:tblStyle w:val="7"/>
        <w:tblW w:w="12188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084"/>
        <w:gridCol w:w="913"/>
        <w:gridCol w:w="898"/>
        <w:gridCol w:w="850"/>
        <w:gridCol w:w="867"/>
        <w:gridCol w:w="834"/>
        <w:gridCol w:w="798"/>
        <w:gridCol w:w="856"/>
        <w:gridCol w:w="928"/>
        <w:gridCol w:w="892"/>
        <w:gridCol w:w="892"/>
        <w:gridCol w:w="815"/>
      </w:tblGrid>
      <w:tr w14:paraId="19A2E2E8">
        <w:trPr>
          <w:trHeight w:val="192" w:hRule="atLeast"/>
          <w:jc w:val="center"/>
        </w:trPr>
        <w:tc>
          <w:tcPr>
            <w:tcW w:w="1561" w:type="dxa"/>
            <w:vMerge w:val="restart"/>
            <w:tcBorders>
              <w:top w:val="single" w:color="000000" w:sz="4" w:space="0"/>
            </w:tcBorders>
            <w:vAlign w:val="top"/>
          </w:tcPr>
          <w:p w14:paraId="431D46D3">
            <w:pPr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745" w:type="dxa"/>
            <w:gridSpan w:val="4"/>
            <w:tcBorders>
              <w:top w:val="single" w:color="000000" w:sz="4" w:space="0"/>
              <w:bottom w:val="nil"/>
            </w:tcBorders>
            <w:vAlign w:val="top"/>
          </w:tcPr>
          <w:p w14:paraId="647B28F0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Composite endpoint</w:t>
            </w:r>
          </w:p>
        </w:tc>
        <w:tc>
          <w:tcPr>
            <w:tcW w:w="3355" w:type="dxa"/>
            <w:gridSpan w:val="4"/>
            <w:tcBorders>
              <w:top w:val="single" w:color="000000" w:sz="4" w:space="0"/>
              <w:bottom w:val="nil"/>
            </w:tcBorders>
            <w:vAlign w:val="top"/>
          </w:tcPr>
          <w:p w14:paraId="0AFAB13B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 xml:space="preserve">HF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rehospitalization</w:t>
            </w:r>
          </w:p>
        </w:tc>
        <w:tc>
          <w:tcPr>
            <w:tcW w:w="3527" w:type="dxa"/>
            <w:gridSpan w:val="4"/>
            <w:tcBorders>
              <w:top w:val="single" w:color="000000" w:sz="4" w:space="0"/>
              <w:bottom w:val="nil"/>
            </w:tcBorders>
            <w:vAlign w:val="top"/>
          </w:tcPr>
          <w:p w14:paraId="058C0C0E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All-cause death</w:t>
            </w:r>
          </w:p>
        </w:tc>
      </w:tr>
      <w:tr w14:paraId="2AB30E10">
        <w:trPr>
          <w:trHeight w:val="192" w:hRule="atLeast"/>
          <w:jc w:val="center"/>
        </w:trPr>
        <w:tc>
          <w:tcPr>
            <w:tcW w:w="1561" w:type="dxa"/>
            <w:vMerge w:val="continue"/>
            <w:tcBorders>
              <w:bottom w:val="single" w:color="000000" w:sz="4" w:space="0"/>
            </w:tcBorders>
            <w:vAlign w:val="top"/>
          </w:tcPr>
          <w:p w14:paraId="055FB2AF">
            <w:pPr>
              <w:pStyle w:val="8"/>
              <w:spacing w:line="240" w:lineRule="auto"/>
              <w:ind w:firstLine="225" w:firstLineChars="150"/>
              <w:rPr>
                <w:color w:val="auto"/>
              </w:rPr>
            </w:pPr>
          </w:p>
        </w:tc>
        <w:tc>
          <w:tcPr>
            <w:tcW w:w="1084" w:type="dxa"/>
            <w:tcBorders>
              <w:top w:val="nil"/>
              <w:bottom w:val="single" w:color="000000" w:sz="4" w:space="0"/>
            </w:tcBorders>
            <w:vAlign w:val="top"/>
          </w:tcPr>
          <w:p w14:paraId="177E8484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AUC</w:t>
            </w:r>
          </w:p>
        </w:tc>
        <w:tc>
          <w:tcPr>
            <w:tcW w:w="913" w:type="dxa"/>
            <w:tcBorders>
              <w:top w:val="nil"/>
              <w:bottom w:val="single" w:color="000000" w:sz="4" w:space="0"/>
            </w:tcBorders>
            <w:vAlign w:val="top"/>
          </w:tcPr>
          <w:p w14:paraId="2649D631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Lower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898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649F53BC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Upper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850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40474019">
            <w:pPr>
              <w:pStyle w:val="8"/>
              <w:spacing w:line="240" w:lineRule="auto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867" w:type="dxa"/>
            <w:tcBorders>
              <w:top w:val="nil"/>
              <w:bottom w:val="single" w:color="000000" w:sz="4" w:space="0"/>
            </w:tcBorders>
            <w:vAlign w:val="top"/>
          </w:tcPr>
          <w:p w14:paraId="5486EDD0">
            <w:pPr>
              <w:pStyle w:val="8"/>
              <w:spacing w:line="24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AUC</w:t>
            </w:r>
          </w:p>
        </w:tc>
        <w:tc>
          <w:tcPr>
            <w:tcW w:w="834" w:type="dxa"/>
            <w:tcBorders>
              <w:top w:val="nil"/>
              <w:bottom w:val="single" w:color="000000" w:sz="4" w:space="0"/>
            </w:tcBorders>
            <w:vAlign w:val="top"/>
          </w:tcPr>
          <w:p w14:paraId="280D6786">
            <w:pPr>
              <w:pStyle w:val="8"/>
              <w:spacing w:line="24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Lower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798" w:type="dxa"/>
            <w:tcBorders>
              <w:top w:val="nil"/>
              <w:bottom w:val="single" w:color="000000" w:sz="4" w:space="0"/>
            </w:tcBorders>
            <w:vAlign w:val="top"/>
          </w:tcPr>
          <w:p w14:paraId="0E8E5640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Upper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856" w:type="dxa"/>
            <w:tcBorders>
              <w:top w:val="nil"/>
              <w:bottom w:val="single" w:color="000000" w:sz="4" w:space="0"/>
            </w:tcBorders>
            <w:vAlign w:val="top"/>
          </w:tcPr>
          <w:p w14:paraId="7B9DB758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928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22F2D180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AUC</w:t>
            </w:r>
          </w:p>
        </w:tc>
        <w:tc>
          <w:tcPr>
            <w:tcW w:w="892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4B4D0327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Lower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892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089515D7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Upper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815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4681E912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</w:tr>
      <w:tr w14:paraId="3A3B288C">
        <w:trPr>
          <w:trHeight w:val="395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43AE3DE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BMI</w:t>
            </w:r>
          </w:p>
        </w:tc>
        <w:tc>
          <w:tcPr>
            <w:tcW w:w="108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3A77EB9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0.54</w:t>
            </w:r>
          </w:p>
        </w:tc>
        <w:tc>
          <w:tcPr>
            <w:tcW w:w="913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1E975FE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0.46</w:t>
            </w:r>
          </w:p>
        </w:tc>
        <w:tc>
          <w:tcPr>
            <w:tcW w:w="898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4308069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85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30A5A3A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reference</w:t>
            </w:r>
          </w:p>
        </w:tc>
        <w:tc>
          <w:tcPr>
            <w:tcW w:w="8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402976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0.52</w:t>
            </w:r>
          </w:p>
        </w:tc>
        <w:tc>
          <w:tcPr>
            <w:tcW w:w="83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AD6AE0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0.43</w:t>
            </w:r>
          </w:p>
        </w:tc>
        <w:tc>
          <w:tcPr>
            <w:tcW w:w="798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22E4237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856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31212FA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reference</w:t>
            </w:r>
          </w:p>
        </w:tc>
        <w:tc>
          <w:tcPr>
            <w:tcW w:w="928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2F2E7C2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892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3B34A25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892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10830E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0.71</w:t>
            </w:r>
          </w:p>
        </w:tc>
        <w:tc>
          <w:tcPr>
            <w:tcW w:w="81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56A4CF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reference</w:t>
            </w:r>
          </w:p>
        </w:tc>
      </w:tr>
      <w:tr w14:paraId="58735511">
        <w:trPr>
          <w:trHeight w:val="395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1C371F4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SMI          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5AFBB6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0.68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2F0B1F4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92FCA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B37E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0.004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EC4952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0.66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19200FC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0E3642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093F8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16CEF3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D5342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3972B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3C5DF8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</w:p>
        </w:tc>
      </w:tr>
      <w:tr w14:paraId="7DEC5D23">
        <w:trPr>
          <w:trHeight w:val="395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2E1E73C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99" w:leftChars="0" w:right="0" w:rightChars="0" w:hanging="99" w:hangingChars="5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  <w:t>ParaATi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3038A8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0.56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393EF2A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1CD0B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8D9E9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F9DC25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160EEB0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0.51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6D86A6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0C05B3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B0E2D8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AE3DB8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919E3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F17FAB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</w:tr>
      <w:tr w14:paraId="2DFCA3D4">
        <w:trPr>
          <w:trHeight w:val="407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1EE4183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  <w:t>VATi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7F8889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06441E5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5234A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87DCD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24AC1A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0.52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525168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0.43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791ED5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1145A7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2CA4D75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04B63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FD338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en-US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0.81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960C40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</w:p>
        </w:tc>
      </w:tr>
      <w:tr w14:paraId="064DC48E">
        <w:trPr>
          <w:trHeight w:val="168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373459E9">
            <w:pPr>
              <w:pStyle w:val="8"/>
              <w:spacing w:before="92" w:line="240" w:lineRule="auto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/>
              </w:rPr>
              <w:t>SATi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1FDF3B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0.51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32EEFEB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76A65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26D01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147CD7C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0.56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47E0155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70F0A5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B2AA43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7D657F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6B406F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F3FF0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DEE316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280ECF6">
        <w:trPr>
          <w:trHeight w:val="395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3D59916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100" w:leftChars="0" w:right="0" w:rightChars="0" w:hanging="100" w:hangingChars="50"/>
              <w:jc w:val="both"/>
              <w:rPr>
                <w:rFonts w:hint="default" w:ascii="Times New Roman" w:hAnsi="Times New Roman" w:cs="Times New Roman" w:eastAsiaTheme="minorEastAsia"/>
                <w:color w:val="auto"/>
                <w:spacing w:val="-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ara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AT-VAT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F1D1C0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0.66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750A7A7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77DD8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8E25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0.014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F3BD5F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7BC2DE4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0.51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A1948E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0.68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5B6E91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F3BCD5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EE0766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7A6459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0.82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C8E998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0.074</w:t>
            </w:r>
          </w:p>
        </w:tc>
      </w:tr>
      <w:tr w14:paraId="25253D15">
        <w:trPr>
          <w:trHeight w:val="395" w:hRule="atLeast"/>
          <w:jc w:val="center"/>
        </w:trPr>
        <w:tc>
          <w:tcPr>
            <w:tcW w:w="1561" w:type="dxa"/>
            <w:shd w:val="clear" w:color="auto" w:fill="auto"/>
            <w:vAlign w:val="top"/>
          </w:tcPr>
          <w:p w14:paraId="256BE3E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auto"/>
                <w:spacing w:val="-1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ara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AT-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muscle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1FFA2E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1506929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24272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9D30F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0.012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32A285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0.66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931103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92D122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0.74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8EC029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0.010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F8C89E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9BB9F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E26192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0.73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9E0085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FCFC7B9">
        <w:trPr>
          <w:trHeight w:val="395" w:hRule="atLeast"/>
          <w:jc w:val="center"/>
        </w:trPr>
        <w:tc>
          <w:tcPr>
            <w:tcW w:w="156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8DEBD92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DBAC36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268798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F9C324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0A66270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0872B2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B1672D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0DE62A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6F7C79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9534E7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D0014A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D44860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6CBD5EC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6398349F">
      <w:pPr>
        <w:rPr>
          <w:color w:val="auto"/>
        </w:rPr>
      </w:pPr>
    </w:p>
    <w:p w14:paraId="2A391833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Note: </w:t>
      </w:r>
      <w:r>
        <w:rPr>
          <w:rFonts w:hint="default" w:ascii="Times New Roman" w:hAnsi="Times New Roman" w:eastAsia="宋体" w:cs="Times New Roman"/>
          <w:color w:val="auto"/>
          <w:spacing w:val="-1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 indicated the lower limit and the upper limit of 95% confidence interval of AUC.</w:t>
      </w:r>
    </w:p>
    <w:p w14:paraId="42B1ECEF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      Pairwise comparisons of AUCs were conducted using DeLong tests between body composition parameters and body mass index (BMI).</w:t>
      </w:r>
    </w:p>
    <w:p w14:paraId="73C4704A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3A51EAC2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4311B076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1A2931E1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2DA3340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20D1F7E4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3D6134B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688755DC">
      <w:pPr>
        <w:rPr>
          <w:rFonts w:hint="default" w:ascii="Times New Roman" w:hAnsi="Times New Roman" w:eastAsia="宋体" w:cs="Times New Roman"/>
          <w:b/>
          <w:bCs/>
          <w:color w:val="FF0000"/>
          <w:spacing w:val="-2"/>
          <w:sz w:val="26"/>
          <w:szCs w:val="26"/>
          <w:lang w:val="en-US"/>
        </w:rPr>
      </w:pPr>
    </w:p>
    <w:p w14:paraId="3E24B9DC">
      <w:pP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/>
        </w:rPr>
        <w:t xml:space="preserve">Supplemental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</w:rPr>
        <w:t>Table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/>
        </w:rPr>
        <w:t xml:space="preserve"> 4 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  <w:t>The predictive performance of body composition parameters for composite endpoints in the HFpEF population with no statin use or no SGLT-2i use.</w:t>
      </w:r>
    </w:p>
    <w:p w14:paraId="17FA9D9B">
      <w:pP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</w:pPr>
    </w:p>
    <w:tbl>
      <w:tblPr>
        <w:tblStyle w:val="7"/>
        <w:tblW w:w="12109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5"/>
        <w:gridCol w:w="2187"/>
        <w:gridCol w:w="1064"/>
        <w:gridCol w:w="2277"/>
        <w:gridCol w:w="1141"/>
        <w:gridCol w:w="2398"/>
        <w:gridCol w:w="1127"/>
      </w:tblGrid>
      <w:tr w14:paraId="04C9ADE8">
        <w:trPr>
          <w:trHeight w:val="192" w:hRule="atLeast"/>
          <w:jc w:val="center"/>
        </w:trPr>
        <w:tc>
          <w:tcPr>
            <w:tcW w:w="1915" w:type="dxa"/>
            <w:vMerge w:val="restart"/>
            <w:tcBorders>
              <w:top w:val="single" w:color="000000" w:sz="4" w:space="0"/>
            </w:tcBorders>
            <w:vAlign w:val="top"/>
          </w:tcPr>
          <w:p w14:paraId="6E6B82B6">
            <w:pPr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3251" w:type="dxa"/>
            <w:gridSpan w:val="2"/>
            <w:tcBorders>
              <w:top w:val="single" w:color="000000" w:sz="4" w:space="0"/>
              <w:bottom w:val="nil"/>
            </w:tcBorders>
            <w:vAlign w:val="top"/>
          </w:tcPr>
          <w:p w14:paraId="6F7397B6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Model 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 xml:space="preserve">*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169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418" w:type="dxa"/>
            <w:gridSpan w:val="2"/>
            <w:tcBorders>
              <w:top w:val="single" w:color="000000" w:sz="4" w:space="0"/>
              <w:bottom w:val="nil"/>
            </w:tcBorders>
            <w:vAlign w:val="top"/>
          </w:tcPr>
          <w:p w14:paraId="64D6CD46">
            <w:pPr>
              <w:pStyle w:val="8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Model 2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 xml:space="preserve">†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236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bottom w:val="nil"/>
            </w:tcBorders>
            <w:vAlign w:val="top"/>
          </w:tcPr>
          <w:p w14:paraId="3F5BE09D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Model 3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vertAlign w:val="superscript"/>
                <w:lang w:val="en-US" w:eastAsia="zh-CN"/>
              </w:rPr>
              <w:t xml:space="preserve">‡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151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)</w:t>
            </w:r>
          </w:p>
        </w:tc>
      </w:tr>
      <w:tr w14:paraId="25067F75">
        <w:trPr>
          <w:trHeight w:val="192" w:hRule="atLeast"/>
          <w:jc w:val="center"/>
        </w:trPr>
        <w:tc>
          <w:tcPr>
            <w:tcW w:w="1915" w:type="dxa"/>
            <w:vMerge w:val="continue"/>
            <w:tcBorders>
              <w:bottom w:val="single" w:color="000000" w:sz="4" w:space="0"/>
            </w:tcBorders>
            <w:vAlign w:val="top"/>
          </w:tcPr>
          <w:p w14:paraId="6B25CF4F">
            <w:pPr>
              <w:pStyle w:val="8"/>
              <w:spacing w:line="240" w:lineRule="auto"/>
              <w:ind w:firstLine="225" w:firstLineChars="150"/>
              <w:rPr>
                <w:color w:val="auto"/>
              </w:rPr>
            </w:pPr>
          </w:p>
        </w:tc>
        <w:tc>
          <w:tcPr>
            <w:tcW w:w="2187" w:type="dxa"/>
            <w:tcBorders>
              <w:top w:val="nil"/>
              <w:bottom w:val="single" w:color="000000" w:sz="4" w:space="0"/>
            </w:tcBorders>
            <w:vAlign w:val="top"/>
          </w:tcPr>
          <w:p w14:paraId="58FD404B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adjusted HR (95%CI)</w:t>
            </w:r>
          </w:p>
        </w:tc>
        <w:tc>
          <w:tcPr>
            <w:tcW w:w="1064" w:type="dxa"/>
            <w:tcBorders>
              <w:top w:val="nil"/>
              <w:bottom w:val="single" w:color="000000" w:sz="4" w:space="0"/>
            </w:tcBorders>
            <w:vAlign w:val="top"/>
          </w:tcPr>
          <w:p w14:paraId="3728C00E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2277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77B1393D">
            <w:pPr>
              <w:pStyle w:val="8"/>
              <w:spacing w:line="240" w:lineRule="auto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adjusted HR (95%CI)</w:t>
            </w:r>
          </w:p>
        </w:tc>
        <w:tc>
          <w:tcPr>
            <w:tcW w:w="1141" w:type="dxa"/>
            <w:tcBorders>
              <w:top w:val="nil"/>
              <w:bottom w:val="single" w:color="000000" w:sz="4" w:space="0"/>
            </w:tcBorders>
            <w:shd w:val="clear" w:color="auto" w:fill="auto"/>
            <w:vAlign w:val="top"/>
          </w:tcPr>
          <w:p w14:paraId="5FAA99C3">
            <w:pPr>
              <w:pStyle w:val="8"/>
              <w:spacing w:line="240" w:lineRule="auto"/>
              <w:jc w:val="center"/>
              <w:rPr>
                <w:rFonts w:hint="eastAsia" w:ascii="Times New Roman" w:hAnsi="Times New Roman" w:eastAsia="Arial" w:cs="Times New Roman"/>
                <w:b/>
                <w:bCs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  <w:tc>
          <w:tcPr>
            <w:tcW w:w="2398" w:type="dxa"/>
            <w:tcBorders>
              <w:top w:val="nil"/>
              <w:bottom w:val="single" w:color="000000" w:sz="4" w:space="0"/>
            </w:tcBorders>
            <w:vAlign w:val="top"/>
          </w:tcPr>
          <w:p w14:paraId="08D8C9F3">
            <w:pPr>
              <w:pStyle w:val="8"/>
              <w:spacing w:line="24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adjusted HR (95%CI)</w:t>
            </w:r>
          </w:p>
        </w:tc>
        <w:tc>
          <w:tcPr>
            <w:tcW w:w="1127" w:type="dxa"/>
            <w:tcBorders>
              <w:top w:val="nil"/>
              <w:bottom w:val="single" w:color="000000" w:sz="4" w:space="0"/>
            </w:tcBorders>
            <w:vAlign w:val="top"/>
          </w:tcPr>
          <w:p w14:paraId="7800F50A">
            <w:pPr>
              <w:pStyle w:val="8"/>
              <w:spacing w:line="24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P-value</w:t>
            </w:r>
          </w:p>
        </w:tc>
      </w:tr>
      <w:tr w14:paraId="550EB545">
        <w:trPr>
          <w:trHeight w:val="395" w:hRule="atLeast"/>
          <w:jc w:val="center"/>
        </w:trPr>
        <w:tc>
          <w:tcPr>
            <w:tcW w:w="1915" w:type="dxa"/>
            <w:shd w:val="clear" w:color="auto" w:fill="auto"/>
            <w:vAlign w:val="top"/>
          </w:tcPr>
          <w:p w14:paraId="10996C5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BMI</w:t>
            </w:r>
          </w:p>
        </w:tc>
        <w:tc>
          <w:tcPr>
            <w:tcW w:w="218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FAD378A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0.916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06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1F0CCF5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0.982</w:t>
            </w:r>
          </w:p>
        </w:tc>
        <w:tc>
          <w:tcPr>
            <w:tcW w:w="227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1B308CD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0.963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1.028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41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105A0B0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0.26</w:t>
            </w:r>
          </w:p>
        </w:tc>
        <w:tc>
          <w:tcPr>
            <w:tcW w:w="2398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5981FAC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0.982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0.897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1.075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2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6020F1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0.691</w:t>
            </w:r>
          </w:p>
        </w:tc>
      </w:tr>
      <w:tr w14:paraId="2CBE5FD0">
        <w:trPr>
          <w:trHeight w:val="395" w:hRule="atLeast"/>
          <w:jc w:val="center"/>
        </w:trPr>
        <w:tc>
          <w:tcPr>
            <w:tcW w:w="1915" w:type="dxa"/>
            <w:shd w:val="clear" w:color="auto" w:fill="auto"/>
            <w:vAlign w:val="top"/>
          </w:tcPr>
          <w:p w14:paraId="68DA192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SMI          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5F46C7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0.983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0.968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5F9C81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0.023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797BB1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0.968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1EA5BD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0.001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190D14A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0.982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0.967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0.997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6B2A2E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0.02</w:t>
            </w:r>
          </w:p>
        </w:tc>
      </w:tr>
      <w:tr w14:paraId="61FD2603">
        <w:trPr>
          <w:trHeight w:val="395" w:hRule="atLeast"/>
          <w:jc w:val="center"/>
        </w:trPr>
        <w:tc>
          <w:tcPr>
            <w:tcW w:w="1915" w:type="dxa"/>
            <w:shd w:val="clear" w:color="auto" w:fill="auto"/>
            <w:vAlign w:val="top"/>
          </w:tcPr>
          <w:p w14:paraId="4FAEBBD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100" w:leftChars="0" w:right="0" w:rightChars="0" w:hanging="100" w:hangingChars="5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ara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AT-VAT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D035125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1.048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1.014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1.084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828D15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0.006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157E6C2B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1.053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1.025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1.082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CE3AB5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0956B11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1.044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1.007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1.083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6B4916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0.02</w:t>
            </w:r>
          </w:p>
        </w:tc>
      </w:tr>
      <w:tr w14:paraId="023ECAAF">
        <w:trPr>
          <w:trHeight w:val="395" w:hRule="atLeast"/>
          <w:jc w:val="center"/>
        </w:trPr>
        <w:tc>
          <w:tcPr>
            <w:tcW w:w="1915" w:type="dxa"/>
            <w:shd w:val="clear" w:color="auto" w:fill="auto"/>
            <w:vAlign w:val="top"/>
          </w:tcPr>
          <w:p w14:paraId="07D1449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ara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AT-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muscle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660358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2.445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1.562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3.828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4F46959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4FAB93B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1.703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1.29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2.247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D34AE3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  <w:tc>
          <w:tcPr>
            <w:tcW w:w="2398" w:type="dxa"/>
            <w:shd w:val="clear" w:color="auto" w:fill="auto"/>
            <w:vAlign w:val="center"/>
          </w:tcPr>
          <w:p w14:paraId="32CE0B3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2.71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1.664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4.415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1FC525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&lt;0.001</w:t>
            </w:r>
          </w:p>
        </w:tc>
      </w:tr>
      <w:tr w14:paraId="070B27BD">
        <w:trPr>
          <w:trHeight w:val="395" w:hRule="atLeast"/>
          <w:jc w:val="center"/>
        </w:trPr>
        <w:tc>
          <w:tcPr>
            <w:tcW w:w="191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A20B90F">
            <w:pPr>
              <w:pStyle w:val="8"/>
              <w:spacing w:before="92" w:line="240" w:lineRule="auto"/>
              <w:ind w:left="40" w:leftChars="0"/>
              <w:rPr>
                <w:rFonts w:hint="default"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218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8F60D8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A46B6E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0D9CDD5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4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D68DC9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3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758278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E234EC">
            <w:pPr>
              <w:pStyle w:val="8"/>
              <w:spacing w:line="240" w:lineRule="auto"/>
              <w:ind w:left="390" w:leftChars="0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 w14:paraId="31589241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</w:p>
    <w:p w14:paraId="1933BAB9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>Note: multivariate Cox regression analysis adjusted for age, sex, log NT-proBNP, eGFR and LVEF.</w:t>
      </w:r>
    </w:p>
    <w:p w14:paraId="1766C1A9">
      <w:pPr>
        <w:ind w:firstLine="476" w:firstLineChars="200"/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>model 1: HFpEF population with no use of statin.</w:t>
      </w:r>
    </w:p>
    <w:p w14:paraId="07A8265B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b/>
          <w:bCs/>
          <w:color w:val="auto"/>
          <w:spacing w:val="-2"/>
          <w:sz w:val="24"/>
          <w:szCs w:val="24"/>
          <w:vertAlign w:val="superscript"/>
          <w:lang w:val="en-US" w:eastAsia="zh-CN"/>
        </w:rPr>
        <w:t>†</w:t>
      </w: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model 2: HFpEF population with no use of SGLT-2i. </w:t>
      </w:r>
    </w:p>
    <w:p w14:paraId="0B28211B">
      <w:pPr>
        <w:ind w:firstLine="472" w:firstLineChars="200"/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pacing w:val="-2"/>
          <w:sz w:val="24"/>
          <w:szCs w:val="24"/>
          <w:vertAlign w:val="superscript"/>
          <w:lang w:val="en-US" w:eastAsia="zh-CN"/>
        </w:rPr>
        <w:t>‡</w:t>
      </w: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>model 3: HFpEF population with no use of statin or SGLT-2i.</w:t>
      </w:r>
    </w:p>
    <w:p w14:paraId="13AC2E78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2544282E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69595B24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0DB8A361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262036A5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3EDD762F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3925DDD8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7A5902B4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74DB791B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079E35F5">
      <w:pPr>
        <w:rPr>
          <w:rFonts w:hint="default" w:ascii="Times New Roman" w:hAnsi="Times New Roman" w:eastAsia="宋体" w:cs="Times New Roman"/>
          <w:b/>
          <w:bCs/>
          <w:spacing w:val="-2"/>
          <w:sz w:val="26"/>
          <w:szCs w:val="26"/>
          <w:lang w:val="en-US"/>
        </w:rPr>
      </w:pPr>
    </w:p>
    <w:p w14:paraId="7843FD9F">
      <w:pP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/>
        </w:rPr>
        <w:t xml:space="preserve">Supplemental </w:t>
      </w:r>
      <w:r>
        <w:rPr>
          <w:rFonts w:hint="default" w:ascii="Times New Roman Bold" w:hAnsi="Times New Roman Bold" w:eastAsia="宋体" w:cs="Times New Roman Bold"/>
          <w:b/>
          <w:bCs/>
          <w:color w:val="auto"/>
          <w:spacing w:val="-2"/>
          <w:sz w:val="26"/>
          <w:szCs w:val="26"/>
        </w:rPr>
        <w:t xml:space="preserve">Table </w:t>
      </w:r>
      <w:r>
        <w:rPr>
          <w:rFonts w:hint="default" w:ascii="Times New Roman Bold" w:hAnsi="Times New Roman Bold" w:eastAsia="宋体" w:cs="Times New Roman Bold"/>
          <w:b/>
          <w:bCs/>
          <w:color w:val="auto"/>
          <w:spacing w:val="-2"/>
          <w:sz w:val="26"/>
          <w:szCs w:val="26"/>
          <w:lang w:val="en-US"/>
        </w:rPr>
        <w:t>5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-2"/>
          <w:sz w:val="26"/>
          <w:szCs w:val="2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>Prediction perfo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rmance 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of BMI </w:t>
      </w:r>
      <w: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its </w:t>
      </w:r>
      <w: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>tertiles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>for adverse outcomes</w:t>
      </w:r>
      <w:r>
        <w:rPr>
          <w:rFonts w:hint="default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  <w:t xml:space="preserve"> between T2DM and non-T2DM patients.</w:t>
      </w:r>
    </w:p>
    <w:p w14:paraId="04DBEDFE">
      <w:pPr>
        <w:rPr>
          <w:rFonts w:hint="eastAsia" w:ascii="Times New Roman" w:hAnsi="Times New Roman" w:eastAsia="宋体" w:cs="Times New Roman"/>
          <w:color w:val="auto"/>
          <w:spacing w:val="-2"/>
          <w:sz w:val="26"/>
          <w:szCs w:val="26"/>
          <w:lang w:val="en-US" w:eastAsia="zh-CN"/>
        </w:rPr>
      </w:pPr>
    </w:p>
    <w:tbl>
      <w:tblPr>
        <w:tblStyle w:val="4"/>
        <w:tblW w:w="98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2060"/>
        <w:gridCol w:w="762"/>
        <w:gridCol w:w="2414"/>
        <w:gridCol w:w="753"/>
        <w:gridCol w:w="2176"/>
        <w:gridCol w:w="708"/>
      </w:tblGrid>
      <w:tr w14:paraId="38333971">
        <w:trPr>
          <w:trHeight w:val="340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AA2FD03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8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2CE39E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  Composite endpoint</w:t>
            </w:r>
          </w:p>
        </w:tc>
        <w:tc>
          <w:tcPr>
            <w:tcW w:w="31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B61793E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Heart failure rehospitalization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E770BE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All-cause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death</w:t>
            </w:r>
          </w:p>
        </w:tc>
      </w:tr>
      <w:tr w14:paraId="457DCDB6">
        <w:trPr>
          <w:trHeight w:val="385" w:hRule="atLeast"/>
          <w:jc w:val="center"/>
        </w:trPr>
        <w:tc>
          <w:tcPr>
            <w:tcW w:w="9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8CC062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410F5BE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Adjusted HR (95%CI)</w:t>
            </w:r>
          </w:p>
        </w:tc>
        <w:tc>
          <w:tcPr>
            <w:tcW w:w="7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1AE63CF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P-value</w:t>
            </w:r>
          </w:p>
        </w:tc>
        <w:tc>
          <w:tcPr>
            <w:tcW w:w="24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30AC768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Adjusted HR (95%CI)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318318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P-value</w:t>
            </w:r>
          </w:p>
        </w:tc>
        <w:tc>
          <w:tcPr>
            <w:tcW w:w="21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BA55319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Adjusted HR (95%CI)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AE41947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P-value</w:t>
            </w:r>
          </w:p>
        </w:tc>
      </w:tr>
      <w:tr w14:paraId="07AD1A79">
        <w:trPr>
          <w:trHeight w:val="293" w:hRule="atLeast"/>
          <w:jc w:val="center"/>
        </w:trPr>
        <w:tc>
          <w:tcPr>
            <w:tcW w:w="9811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C1F027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Non-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T2DM</w:t>
            </w:r>
          </w:p>
        </w:tc>
      </w:tr>
      <w:tr w14:paraId="6D418B84">
        <w:trPr>
          <w:trHeight w:val="293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53EEA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5520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2.157(1.096,4.244)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84D4F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0.026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64E46F7D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2.019(0.986,4.135)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D28756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0.055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995E79D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4.802(0.469,49.152)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C6DE290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0.186</w:t>
            </w:r>
          </w:p>
        </w:tc>
      </w:tr>
      <w:tr w14:paraId="098E1DAA">
        <w:trPr>
          <w:trHeight w:val="281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AB595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154540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84A985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7C1F2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9290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43DC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24A0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EE404E9">
        <w:trPr>
          <w:trHeight w:val="293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D5A4C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2CE10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1.194(0.530,2.691)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60E3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0.668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46A6CD09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1.108(0.448,2.741)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268859F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0.825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771B053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3.109(0.295,32.817)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00E30564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0.345</w:t>
            </w:r>
          </w:p>
        </w:tc>
      </w:tr>
      <w:tr w14:paraId="2B02F455">
        <w:trPr>
          <w:trHeight w:val="293" w:hRule="atLeast"/>
          <w:jc w:val="center"/>
        </w:trPr>
        <w:tc>
          <w:tcPr>
            <w:tcW w:w="9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DF8D6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T2DM</w:t>
            </w:r>
          </w:p>
        </w:tc>
      </w:tr>
      <w:tr w14:paraId="7E0AAA5E">
        <w:trPr>
          <w:trHeight w:val="287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0CAEE2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FEE2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1.691(0.568,5.035)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5631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0.345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A5E89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0.903(0.170,4.787)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E6703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0.904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FC11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2.356(0.423,13.122)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1B997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0.328</w:t>
            </w:r>
          </w:p>
        </w:tc>
      </w:tr>
      <w:tr w14:paraId="57EF8B0A">
        <w:trPr>
          <w:trHeight w:val="293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2B99ED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87C6A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05B54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5C167446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99C8525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E1F881A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1(Ref)  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30A9AFF7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DF57361">
        <w:trPr>
          <w:trHeight w:val="293" w:hRule="atLeast"/>
          <w:jc w:val="center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18BC2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Q3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0B3EF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3.098(1.156,8.302)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B56BD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0.025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6AEFF03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3.335(1.044,10.656)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1822C097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0"/>
                <w:szCs w:val="20"/>
                <w:lang w:val="en-US" w:eastAsia="zh-CN"/>
              </w:rPr>
              <w:t>0.042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358D21E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2.046(0.374,11.194)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14:paraId="717139BC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0.409</w:t>
            </w:r>
          </w:p>
        </w:tc>
      </w:tr>
      <w:tr w14:paraId="4E61D5CD">
        <w:trPr>
          <w:trHeight w:val="290" w:hRule="atLeast"/>
          <w:jc w:val="center"/>
        </w:trPr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88F777F">
            <w:pPr>
              <w:pStyle w:val="3"/>
              <w:keepNext w:val="0"/>
              <w:keepLines w:val="0"/>
              <w:widowControl/>
              <w:suppressLineNumbers w:val="0"/>
              <w:kinsoku w:val="0"/>
              <w:wordWrap/>
              <w:overflowPunct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B3BFAAF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0B776DC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784E1C0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5496941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2DBD098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939D554">
            <w:pPr>
              <w:pStyle w:val="3"/>
              <w:keepNext w:val="0"/>
              <w:keepLines w:val="0"/>
              <w:widowControl/>
              <w:suppressLineNumbers w:val="0"/>
              <w:kinsoku/>
              <w:wordWrap/>
              <w:overflowPunct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652878EF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</w:p>
    <w:p w14:paraId="0DE7D28A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  <w:t xml:space="preserve">Note: adjusted for age, sex, log NT-proBNP, eGFR and LVEF. </w:t>
      </w:r>
    </w:p>
    <w:p w14:paraId="4409522F">
      <w:pPr>
        <w:rPr>
          <w:rFonts w:hint="default" w:ascii="Times New Roman" w:hAnsi="Times New Roman" w:eastAsia="宋体" w:cs="Times New Roman"/>
          <w:color w:val="auto"/>
          <w:spacing w:val="-1"/>
          <w:sz w:val="20"/>
          <w:szCs w:val="20"/>
          <w:lang w:val="en-US" w:eastAsia="zh-CN"/>
        </w:rPr>
      </w:pPr>
    </w:p>
    <w:p w14:paraId="3A336D2C">
      <w:pPr>
        <w:rPr>
          <w:rFonts w:hint="default" w:ascii="Times New Roman" w:hAnsi="Times New Roman" w:eastAsia="宋体" w:cs="Times New Roman"/>
          <w:color w:val="FF0000"/>
          <w:spacing w:val="-1"/>
          <w:sz w:val="20"/>
          <w:szCs w:val="2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50F36"/>
    <w:rsid w:val="07EB27F4"/>
    <w:rsid w:val="0BFA81A7"/>
    <w:rsid w:val="0F4F34A8"/>
    <w:rsid w:val="0FF72676"/>
    <w:rsid w:val="16F5216F"/>
    <w:rsid w:val="17DFE042"/>
    <w:rsid w:val="1A7F9BBB"/>
    <w:rsid w:val="1B5FD8A4"/>
    <w:rsid w:val="1BDE5428"/>
    <w:rsid w:val="1EF60FA5"/>
    <w:rsid w:val="1F7FED44"/>
    <w:rsid w:val="1FBB4CE8"/>
    <w:rsid w:val="1FE3E8DD"/>
    <w:rsid w:val="1FED3CA7"/>
    <w:rsid w:val="1FFB8765"/>
    <w:rsid w:val="1FFEE8E9"/>
    <w:rsid w:val="264E61ED"/>
    <w:rsid w:val="2DDB4DC2"/>
    <w:rsid w:val="2EDF4BE3"/>
    <w:rsid w:val="2FDF2AE9"/>
    <w:rsid w:val="32DF77E4"/>
    <w:rsid w:val="32F34092"/>
    <w:rsid w:val="33BF5BA7"/>
    <w:rsid w:val="37DAA3D6"/>
    <w:rsid w:val="3AFC4696"/>
    <w:rsid w:val="3B67AEB1"/>
    <w:rsid w:val="3B9F458D"/>
    <w:rsid w:val="3BD5BB4E"/>
    <w:rsid w:val="3D55C32E"/>
    <w:rsid w:val="3EDD7FA1"/>
    <w:rsid w:val="3EEC5FDE"/>
    <w:rsid w:val="3F1F3868"/>
    <w:rsid w:val="3F3FCE78"/>
    <w:rsid w:val="3F679725"/>
    <w:rsid w:val="3F7957E4"/>
    <w:rsid w:val="3F7F04BD"/>
    <w:rsid w:val="3F7F3A15"/>
    <w:rsid w:val="3FEFBB66"/>
    <w:rsid w:val="3FF53F17"/>
    <w:rsid w:val="3FF745FA"/>
    <w:rsid w:val="3FF90AB2"/>
    <w:rsid w:val="3FFB152D"/>
    <w:rsid w:val="3FFD319D"/>
    <w:rsid w:val="3FFF3A47"/>
    <w:rsid w:val="463E38A9"/>
    <w:rsid w:val="4CEBA003"/>
    <w:rsid w:val="4DDF9375"/>
    <w:rsid w:val="4F6F093C"/>
    <w:rsid w:val="55CC998E"/>
    <w:rsid w:val="59FF04D0"/>
    <w:rsid w:val="5AE77C09"/>
    <w:rsid w:val="5BFF6939"/>
    <w:rsid w:val="5BFF7C08"/>
    <w:rsid w:val="5CBEE38D"/>
    <w:rsid w:val="5DF4341C"/>
    <w:rsid w:val="5DFF4FCA"/>
    <w:rsid w:val="5EE7214D"/>
    <w:rsid w:val="5EEB84CF"/>
    <w:rsid w:val="5FB58FF9"/>
    <w:rsid w:val="5FBFE215"/>
    <w:rsid w:val="5FBFF364"/>
    <w:rsid w:val="5FD3B36B"/>
    <w:rsid w:val="5FD88F08"/>
    <w:rsid w:val="5FE84ADD"/>
    <w:rsid w:val="5FEED376"/>
    <w:rsid w:val="5FFE9EF9"/>
    <w:rsid w:val="635FF9AF"/>
    <w:rsid w:val="63AA2B62"/>
    <w:rsid w:val="65FE0385"/>
    <w:rsid w:val="66FF1CB3"/>
    <w:rsid w:val="675F2E6A"/>
    <w:rsid w:val="675F3E80"/>
    <w:rsid w:val="67DF16A6"/>
    <w:rsid w:val="69BFD71F"/>
    <w:rsid w:val="6AFFAE78"/>
    <w:rsid w:val="6DEB1C9F"/>
    <w:rsid w:val="6DFD6210"/>
    <w:rsid w:val="6E6D399C"/>
    <w:rsid w:val="6F7E0549"/>
    <w:rsid w:val="6FB7CB71"/>
    <w:rsid w:val="6FEC50AF"/>
    <w:rsid w:val="6FEE9EED"/>
    <w:rsid w:val="6FFA855C"/>
    <w:rsid w:val="6FFD0861"/>
    <w:rsid w:val="73F5CE02"/>
    <w:rsid w:val="74BB66BA"/>
    <w:rsid w:val="75ADA237"/>
    <w:rsid w:val="75DDBC62"/>
    <w:rsid w:val="75E3F4CE"/>
    <w:rsid w:val="7776008C"/>
    <w:rsid w:val="777BD56A"/>
    <w:rsid w:val="7795A614"/>
    <w:rsid w:val="77BF130F"/>
    <w:rsid w:val="77E9C64A"/>
    <w:rsid w:val="77EB2B4A"/>
    <w:rsid w:val="77FD212E"/>
    <w:rsid w:val="77FFD684"/>
    <w:rsid w:val="78965B0B"/>
    <w:rsid w:val="791F7483"/>
    <w:rsid w:val="799A65BF"/>
    <w:rsid w:val="79F565B1"/>
    <w:rsid w:val="7AEA81D7"/>
    <w:rsid w:val="7BBE1956"/>
    <w:rsid w:val="7BD780E8"/>
    <w:rsid w:val="7BF70FBD"/>
    <w:rsid w:val="7CBC638A"/>
    <w:rsid w:val="7CF7841F"/>
    <w:rsid w:val="7CFD1DE8"/>
    <w:rsid w:val="7D373E4A"/>
    <w:rsid w:val="7D57AA18"/>
    <w:rsid w:val="7D77B027"/>
    <w:rsid w:val="7D7D443E"/>
    <w:rsid w:val="7D9D4DFA"/>
    <w:rsid w:val="7D9FDA66"/>
    <w:rsid w:val="7DAF14D6"/>
    <w:rsid w:val="7DFFD609"/>
    <w:rsid w:val="7E1F5A4F"/>
    <w:rsid w:val="7E6DD1F5"/>
    <w:rsid w:val="7E7C1143"/>
    <w:rsid w:val="7E7EAA4B"/>
    <w:rsid w:val="7ECFFBC4"/>
    <w:rsid w:val="7ED36DFE"/>
    <w:rsid w:val="7F56FC8E"/>
    <w:rsid w:val="7F5C6D52"/>
    <w:rsid w:val="7F7608B8"/>
    <w:rsid w:val="7F77E539"/>
    <w:rsid w:val="7F7DA877"/>
    <w:rsid w:val="7FB7FDB5"/>
    <w:rsid w:val="7FBE401D"/>
    <w:rsid w:val="7FC67711"/>
    <w:rsid w:val="7FCB956A"/>
    <w:rsid w:val="7FCF7FDF"/>
    <w:rsid w:val="7FED1534"/>
    <w:rsid w:val="7FED5121"/>
    <w:rsid w:val="7FEF088D"/>
    <w:rsid w:val="7FF1CE07"/>
    <w:rsid w:val="7FFDFB7B"/>
    <w:rsid w:val="7FFFE758"/>
    <w:rsid w:val="96FE9D8D"/>
    <w:rsid w:val="9759ABDE"/>
    <w:rsid w:val="97F5460B"/>
    <w:rsid w:val="98FF4273"/>
    <w:rsid w:val="99FF7F68"/>
    <w:rsid w:val="9B7FBBC5"/>
    <w:rsid w:val="9BEBED36"/>
    <w:rsid w:val="9BF76023"/>
    <w:rsid w:val="9FF7E53B"/>
    <w:rsid w:val="9FFB50A1"/>
    <w:rsid w:val="AF3B6CA8"/>
    <w:rsid w:val="AFFF37A2"/>
    <w:rsid w:val="B74DC575"/>
    <w:rsid w:val="B7BF56F8"/>
    <w:rsid w:val="B7D9F675"/>
    <w:rsid w:val="B7EDA366"/>
    <w:rsid w:val="B89AF2F1"/>
    <w:rsid w:val="BC0DD9C3"/>
    <w:rsid w:val="BDFE8372"/>
    <w:rsid w:val="BE3F4F10"/>
    <w:rsid w:val="BEFE59B2"/>
    <w:rsid w:val="BF1A1739"/>
    <w:rsid w:val="BFDD1131"/>
    <w:rsid w:val="BFE3778C"/>
    <w:rsid w:val="BFEFCF31"/>
    <w:rsid w:val="BFFA0576"/>
    <w:rsid w:val="BFFCFE70"/>
    <w:rsid w:val="BFFEACDC"/>
    <w:rsid w:val="BFFED74F"/>
    <w:rsid w:val="BFFF1760"/>
    <w:rsid w:val="C6CF2CDE"/>
    <w:rsid w:val="C7CF8405"/>
    <w:rsid w:val="C7FFB8F7"/>
    <w:rsid w:val="C9F675EE"/>
    <w:rsid w:val="CB31580D"/>
    <w:rsid w:val="CBF61D80"/>
    <w:rsid w:val="CDDEEEAC"/>
    <w:rsid w:val="D3FB3279"/>
    <w:rsid w:val="D4789D4A"/>
    <w:rsid w:val="D47DF93C"/>
    <w:rsid w:val="D6E7AD61"/>
    <w:rsid w:val="D79E8944"/>
    <w:rsid w:val="D7E7511F"/>
    <w:rsid w:val="D7FBBF33"/>
    <w:rsid w:val="D7FFBD06"/>
    <w:rsid w:val="DBF7F390"/>
    <w:rsid w:val="DBFAF68C"/>
    <w:rsid w:val="DC119D15"/>
    <w:rsid w:val="DEDAEAD7"/>
    <w:rsid w:val="DEDBF1EC"/>
    <w:rsid w:val="DEFDD5DD"/>
    <w:rsid w:val="DF7BF646"/>
    <w:rsid w:val="DF7E804F"/>
    <w:rsid w:val="DFB5747C"/>
    <w:rsid w:val="DFBB66C8"/>
    <w:rsid w:val="DFFF74B8"/>
    <w:rsid w:val="E16FB35E"/>
    <w:rsid w:val="E7D7D1CF"/>
    <w:rsid w:val="EA7E0224"/>
    <w:rsid w:val="EBF99F14"/>
    <w:rsid w:val="EBFF7FD2"/>
    <w:rsid w:val="EC770F3A"/>
    <w:rsid w:val="EDFA7835"/>
    <w:rsid w:val="EE1F07B3"/>
    <w:rsid w:val="EEB717D1"/>
    <w:rsid w:val="EEF38D92"/>
    <w:rsid w:val="EEF76B4E"/>
    <w:rsid w:val="EFB7920C"/>
    <w:rsid w:val="EFBFD8B6"/>
    <w:rsid w:val="EFC7CEFF"/>
    <w:rsid w:val="EFCBEFD5"/>
    <w:rsid w:val="EFEBBAD3"/>
    <w:rsid w:val="EFFF89D7"/>
    <w:rsid w:val="F0C5D979"/>
    <w:rsid w:val="F31D3AA7"/>
    <w:rsid w:val="F3EE3048"/>
    <w:rsid w:val="F3FFCC92"/>
    <w:rsid w:val="F3FFCF1E"/>
    <w:rsid w:val="F5BBFE99"/>
    <w:rsid w:val="F5DF0409"/>
    <w:rsid w:val="F5FF0838"/>
    <w:rsid w:val="F5FF529C"/>
    <w:rsid w:val="F77E62FF"/>
    <w:rsid w:val="F77F30F6"/>
    <w:rsid w:val="F7DD78A1"/>
    <w:rsid w:val="F7EF8615"/>
    <w:rsid w:val="F7F73A3E"/>
    <w:rsid w:val="F7FF05E0"/>
    <w:rsid w:val="F7FF796B"/>
    <w:rsid w:val="F9F7E732"/>
    <w:rsid w:val="FAFF8CA8"/>
    <w:rsid w:val="FB7D59F1"/>
    <w:rsid w:val="FB7E4D62"/>
    <w:rsid w:val="FB8EA745"/>
    <w:rsid w:val="FBFBED62"/>
    <w:rsid w:val="FBFD386E"/>
    <w:rsid w:val="FBFDCB18"/>
    <w:rsid w:val="FCFFCBB8"/>
    <w:rsid w:val="FD1F8C54"/>
    <w:rsid w:val="FD8C210D"/>
    <w:rsid w:val="FD8EA276"/>
    <w:rsid w:val="FDF50F36"/>
    <w:rsid w:val="FDF99E36"/>
    <w:rsid w:val="FE7D83AD"/>
    <w:rsid w:val="FE7F1256"/>
    <w:rsid w:val="FE7FE58D"/>
    <w:rsid w:val="FE9B41DE"/>
    <w:rsid w:val="FEBFF5D7"/>
    <w:rsid w:val="FEF7002D"/>
    <w:rsid w:val="FEFDB5FF"/>
    <w:rsid w:val="FEFFA517"/>
    <w:rsid w:val="FF5D4B3D"/>
    <w:rsid w:val="FF70BD93"/>
    <w:rsid w:val="FF765FFC"/>
    <w:rsid w:val="FF7F40F2"/>
    <w:rsid w:val="FF7F434A"/>
    <w:rsid w:val="FFA50084"/>
    <w:rsid w:val="FFA7FA30"/>
    <w:rsid w:val="FFCCBFF7"/>
    <w:rsid w:val="FFD7BAE4"/>
    <w:rsid w:val="FFDF4A86"/>
    <w:rsid w:val="FFDF8CA2"/>
    <w:rsid w:val="FFDFF52A"/>
    <w:rsid w:val="FFF8CB2C"/>
    <w:rsid w:val="FFFB689F"/>
    <w:rsid w:val="FFFF118A"/>
    <w:rsid w:val="FF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7"/>
      <w:szCs w:val="17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paragraph" w:customStyle="1" w:styleId="9">
    <w:name w:val="表格"/>
    <w:basedOn w:val="1"/>
    <w:qFormat/>
    <w:uiPriority w:val="0"/>
    <w:pPr>
      <w:spacing w:after="0" w:line="240" w:lineRule="auto"/>
      <w:jc w:val="center"/>
    </w:pPr>
    <w:rPr>
      <w:rFonts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2026-02-14T03:41:00Z</dcterms:created>
  <dc:creator>肖思豫</dc:creator>
  <cp:lastModifiedBy>肖思豫</cp:lastModifiedBy>
  <dcterms:modified xsi:type="dcterms:W3CDTF">2026-03-29T19:43:52Z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7645120413F9A0726EB48669FE522C99_41</vt:lpwstr>
  </property>
</Properties>
</file>