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3FC" w:rsidRPr="00A60A29" w:rsidRDefault="00A60A29">
      <w:pPr>
        <w:spacing w:before="48" w:after="48" w:line="276" w:lineRule="auto"/>
        <w:rPr>
          <w:rFonts w:eastAsia="MS Mincho"/>
          <w:b/>
          <w:bCs/>
          <w:color w:val="000000" w:themeColor="text1"/>
          <w:sz w:val="32"/>
          <w:szCs w:val="32"/>
          <w:lang w:val="en-US"/>
        </w:rPr>
      </w:pPr>
      <w:r w:rsidRPr="00A60A29">
        <w:rPr>
          <w:rFonts w:eastAsia="MS Mincho"/>
          <w:b/>
          <w:bCs/>
          <w:color w:val="000000" w:themeColor="text1"/>
          <w:sz w:val="32"/>
          <w:szCs w:val="32"/>
          <w:lang w:val="en-US"/>
        </w:rPr>
        <w:t>Supplemental Materials to</w:t>
      </w:r>
    </w:p>
    <w:p w:rsidR="004853FC" w:rsidRPr="00A60A29" w:rsidRDefault="00A60A29">
      <w:pPr>
        <w:spacing w:line="360" w:lineRule="auto"/>
        <w:jc w:val="both"/>
        <w:rPr>
          <w:rFonts w:eastAsia="MS Mincho"/>
          <w:b/>
          <w:bCs/>
          <w:color w:val="000000" w:themeColor="text1"/>
          <w:sz w:val="32"/>
          <w:szCs w:val="32"/>
          <w:lang w:val="en-US"/>
        </w:rPr>
      </w:pPr>
      <w:r w:rsidRPr="00A60A29">
        <w:rPr>
          <w:rFonts w:eastAsia="Calibri" w:hint="eastAsia"/>
          <w:b/>
          <w:sz w:val="30"/>
          <w:szCs w:val="30"/>
          <w:lang w:val="en-US"/>
        </w:rPr>
        <w:t>Large-</w:t>
      </w:r>
      <w:r w:rsidRPr="00A60A29">
        <w:rPr>
          <w:rFonts w:hint="eastAsia"/>
          <w:b/>
          <w:sz w:val="30"/>
          <w:szCs w:val="30"/>
          <w:lang w:val="en-US"/>
        </w:rPr>
        <w:t>S</w:t>
      </w:r>
      <w:r w:rsidRPr="00A60A29">
        <w:rPr>
          <w:rFonts w:eastAsia="Calibri" w:hint="eastAsia"/>
          <w:b/>
          <w:sz w:val="30"/>
          <w:szCs w:val="30"/>
          <w:lang w:val="en-US"/>
        </w:rPr>
        <w:t xml:space="preserve">cale </w:t>
      </w:r>
      <w:r w:rsidRPr="00A60A29">
        <w:rPr>
          <w:rFonts w:hint="eastAsia"/>
          <w:b/>
          <w:sz w:val="30"/>
          <w:szCs w:val="30"/>
          <w:lang w:val="en-US"/>
        </w:rPr>
        <w:t>Multi-O</w:t>
      </w:r>
      <w:r w:rsidRPr="00A60A29">
        <w:rPr>
          <w:rFonts w:eastAsia="Calibri" w:hint="eastAsia"/>
          <w:b/>
          <w:sz w:val="30"/>
          <w:szCs w:val="30"/>
          <w:lang w:val="en-US"/>
        </w:rPr>
        <w:t xml:space="preserve">mics </w:t>
      </w:r>
      <w:r w:rsidRPr="00A60A29">
        <w:rPr>
          <w:rFonts w:hint="eastAsia"/>
          <w:b/>
          <w:sz w:val="30"/>
          <w:szCs w:val="30"/>
          <w:lang w:val="en-US"/>
        </w:rPr>
        <w:t>Enhance</w:t>
      </w:r>
      <w:r w:rsidRPr="00A60A29">
        <w:rPr>
          <w:rFonts w:eastAsia="Calibri" w:hint="eastAsia"/>
          <w:b/>
          <w:sz w:val="30"/>
          <w:szCs w:val="30"/>
          <w:lang w:val="en-US"/>
        </w:rPr>
        <w:t xml:space="preserve"> </w:t>
      </w:r>
      <w:r w:rsidRPr="00A60A29">
        <w:rPr>
          <w:rFonts w:hint="eastAsia"/>
          <w:b/>
          <w:sz w:val="30"/>
          <w:szCs w:val="30"/>
          <w:lang w:val="en-US"/>
        </w:rPr>
        <w:t>R</w:t>
      </w:r>
      <w:r w:rsidRPr="00A60A29">
        <w:rPr>
          <w:rFonts w:eastAsia="Calibri" w:hint="eastAsia"/>
          <w:b/>
          <w:sz w:val="30"/>
          <w:szCs w:val="30"/>
          <w:lang w:val="en-US"/>
        </w:rPr>
        <w:t xml:space="preserve">isk </w:t>
      </w:r>
      <w:r w:rsidRPr="00A60A29">
        <w:rPr>
          <w:rFonts w:hint="eastAsia"/>
          <w:b/>
          <w:sz w:val="30"/>
          <w:szCs w:val="30"/>
          <w:lang w:val="en-US"/>
        </w:rPr>
        <w:t>P</w:t>
      </w:r>
      <w:r w:rsidRPr="00A60A29">
        <w:rPr>
          <w:rFonts w:eastAsia="Calibri" w:hint="eastAsia"/>
          <w:b/>
          <w:sz w:val="30"/>
          <w:szCs w:val="30"/>
          <w:lang w:val="en-US"/>
        </w:rPr>
        <w:t xml:space="preserve">rediction for </w:t>
      </w:r>
      <w:r w:rsidRPr="00A60A29">
        <w:rPr>
          <w:rFonts w:hint="eastAsia"/>
          <w:b/>
          <w:sz w:val="30"/>
          <w:szCs w:val="30"/>
          <w:lang w:val="en-US"/>
        </w:rPr>
        <w:t>T</w:t>
      </w:r>
      <w:r w:rsidRPr="00A60A29">
        <w:rPr>
          <w:rFonts w:eastAsia="Calibri" w:hint="eastAsia"/>
          <w:b/>
          <w:sz w:val="30"/>
          <w:szCs w:val="30"/>
          <w:lang w:val="en-US"/>
        </w:rPr>
        <w:t xml:space="preserve">ype 2 </w:t>
      </w:r>
      <w:r w:rsidRPr="00A60A29">
        <w:rPr>
          <w:rFonts w:hint="eastAsia"/>
          <w:b/>
          <w:sz w:val="30"/>
          <w:szCs w:val="30"/>
          <w:lang w:val="en-US"/>
        </w:rPr>
        <w:t>D</w:t>
      </w:r>
      <w:r w:rsidRPr="00A60A29">
        <w:rPr>
          <w:rFonts w:eastAsia="Calibri" w:hint="eastAsia"/>
          <w:b/>
          <w:sz w:val="30"/>
          <w:szCs w:val="30"/>
          <w:lang w:val="en-US"/>
        </w:rPr>
        <w:t>iabetes</w:t>
      </w:r>
    </w:p>
    <w:sdt>
      <w:sdtPr>
        <w:rPr>
          <w:rFonts w:ascii="Times New Roman" w:eastAsia="Times New Roman" w:hAnsi="Times New Roman" w:cs="Times New Roman"/>
          <w:b w:val="0"/>
          <w:bCs w:val="0"/>
          <w:color w:val="auto"/>
          <w:sz w:val="24"/>
          <w:szCs w:val="24"/>
          <w:lang w:val="de-DE" w:eastAsia="zh-CN"/>
        </w:rPr>
        <w:id w:val="1240993099"/>
        <w:docPartObj>
          <w:docPartGallery w:val="Table of Contents"/>
          <w:docPartUnique/>
        </w:docPartObj>
      </w:sdtPr>
      <w:sdtEndPr/>
      <w:sdtContent>
        <w:p w:rsidR="004853FC" w:rsidRPr="00A60A29" w:rsidRDefault="00A60A29">
          <w:pPr>
            <w:pStyle w:val="TOC10"/>
            <w:spacing w:before="48"/>
            <w:rPr>
              <w:rFonts w:ascii="Times New Roman" w:hAnsi="Times New Roman" w:cs="Times New Roman"/>
            </w:rPr>
          </w:pPr>
          <w:r w:rsidRPr="00A60A29">
            <w:rPr>
              <w:rFonts w:ascii="Times New Roman" w:hAnsi="Times New Roman" w:cs="Times New Roman"/>
            </w:rPr>
            <w:t>Table of Contents</w:t>
          </w:r>
        </w:p>
        <w:p w:rsidR="004853FC" w:rsidRPr="00A60A29" w:rsidRDefault="00A60A29">
          <w:pPr>
            <w:pStyle w:val="TOC1"/>
            <w:tabs>
              <w:tab w:val="right" w:leader="dot" w:pos="10466"/>
            </w:tabs>
            <w:spacing w:line="360" w:lineRule="auto"/>
            <w:rPr>
              <w:rFonts w:ascii="Times New Roman" w:hAnsi="Times New Roman" w:cs="Times New Roman"/>
              <w:i w:val="0"/>
            </w:rPr>
          </w:pPr>
          <w:r w:rsidRPr="00A60A29">
            <w:rPr>
              <w:rFonts w:ascii="Times New Roman" w:hAnsi="Times New Roman" w:cs="Times New Roman"/>
              <w:b w:val="0"/>
              <w:bCs w:val="0"/>
              <w:i w:val="0"/>
            </w:rPr>
            <w:fldChar w:fldCharType="begin"/>
          </w:r>
          <w:r w:rsidRPr="00A60A29">
            <w:rPr>
              <w:rFonts w:ascii="Times New Roman" w:hAnsi="Times New Roman" w:cs="Times New Roman"/>
              <w:b w:val="0"/>
              <w:bCs w:val="0"/>
              <w:i w:val="0"/>
            </w:rPr>
            <w:instrText xml:space="preserve"> TOC \o "1-3" \h \z \u </w:instrText>
          </w:r>
          <w:r w:rsidRPr="00A60A29">
            <w:rPr>
              <w:rFonts w:ascii="Times New Roman" w:hAnsi="Times New Roman" w:cs="Times New Roman"/>
              <w:b w:val="0"/>
              <w:bCs w:val="0"/>
              <w:i w:val="0"/>
            </w:rPr>
            <w:fldChar w:fldCharType="separate"/>
          </w:r>
          <w:hyperlink w:anchor="_Toc7060" w:history="1">
            <w:r w:rsidRPr="00A60A29">
              <w:rPr>
                <w:rFonts w:ascii="Times New Roman" w:hAnsi="Times New Roman" w:cs="Times New Roman"/>
                <w:i w:val="0"/>
                <w:lang w:val="en-US"/>
              </w:rPr>
              <w:t>Supplemental Table S</w:t>
            </w:r>
            <w:r w:rsidRPr="00A60A29">
              <w:rPr>
                <w:rFonts w:ascii="Times New Roman" w:eastAsia="SimSun" w:hAnsi="Times New Roman" w:cs="Times New Roman"/>
                <w:i w:val="0"/>
                <w:lang w:val="en-US"/>
              </w:rPr>
              <w:t>1</w:t>
            </w:r>
            <w:r w:rsidRPr="00A60A29">
              <w:rPr>
                <w:rFonts w:ascii="Times New Roman" w:hAnsi="Times New Roman" w:cs="Times New Roman"/>
                <w:i w:val="0"/>
                <w:lang w:val="en-US"/>
              </w:rPr>
              <w:t>.</w:t>
            </w:r>
            <w:r w:rsidRPr="00A60A29">
              <w:rPr>
                <w:rFonts w:ascii="Times New Roman" w:hAnsi="Times New Roman" w:cs="Times New Roman"/>
                <w:b w:val="0"/>
                <w:bCs w:val="0"/>
                <w:i w:val="0"/>
                <w:lang w:val="en-US"/>
              </w:rPr>
              <w:t xml:space="preserve"> Selected multi-omic biomarkers and data sources</w:t>
            </w:r>
            <w:r w:rsidRPr="00A60A29">
              <w:rPr>
                <w:rFonts w:ascii="Times New Roman" w:hAnsi="Times New Roman" w:cs="Times New Roman"/>
                <w:i w:val="0"/>
              </w:rPr>
              <w:tab/>
            </w:r>
            <w:r w:rsidRPr="00A60A29">
              <w:rPr>
                <w:rFonts w:ascii="Times New Roman" w:hAnsi="Times New Roman" w:cs="Times New Roman"/>
                <w:i w:val="0"/>
              </w:rPr>
              <w:fldChar w:fldCharType="begin"/>
            </w:r>
            <w:r w:rsidRPr="00A60A29">
              <w:rPr>
                <w:rFonts w:ascii="Times New Roman" w:hAnsi="Times New Roman" w:cs="Times New Roman"/>
                <w:i w:val="0"/>
              </w:rPr>
              <w:instrText xml:space="preserve"> PAGEREF _Toc7060 \h </w:instrText>
            </w:r>
            <w:r w:rsidRPr="00A60A29">
              <w:rPr>
                <w:rFonts w:ascii="Times New Roman" w:hAnsi="Times New Roman" w:cs="Times New Roman"/>
                <w:i w:val="0"/>
              </w:rPr>
            </w:r>
            <w:r w:rsidRPr="00A60A29">
              <w:rPr>
                <w:rFonts w:ascii="Times New Roman" w:hAnsi="Times New Roman" w:cs="Times New Roman"/>
                <w:i w:val="0"/>
              </w:rPr>
              <w:fldChar w:fldCharType="separate"/>
            </w:r>
            <w:r w:rsidRPr="00A60A29">
              <w:rPr>
                <w:rFonts w:ascii="Times New Roman" w:hAnsi="Times New Roman" w:cs="Times New Roman"/>
                <w:i w:val="0"/>
              </w:rPr>
              <w:t>2</w:t>
            </w:r>
            <w:r w:rsidRPr="00A60A29">
              <w:rPr>
                <w:rFonts w:ascii="Times New Roman" w:hAnsi="Times New Roman" w:cs="Times New Roman"/>
                <w:i w:val="0"/>
              </w:rPr>
              <w:fldChar w:fldCharType="end"/>
            </w:r>
          </w:hyperlink>
        </w:p>
        <w:p w:rsidR="004853FC" w:rsidRPr="00A60A29" w:rsidRDefault="00A60A29">
          <w:pPr>
            <w:pStyle w:val="TOC1"/>
            <w:tabs>
              <w:tab w:val="right" w:leader="dot" w:pos="10466"/>
            </w:tabs>
            <w:spacing w:line="360" w:lineRule="auto"/>
            <w:rPr>
              <w:rFonts w:ascii="Times New Roman" w:hAnsi="Times New Roman" w:cs="Times New Roman"/>
              <w:i w:val="0"/>
            </w:rPr>
          </w:pPr>
          <w:hyperlink w:anchor="_Toc12484" w:history="1">
            <w:r w:rsidRPr="00A60A29">
              <w:rPr>
                <w:rFonts w:ascii="Times New Roman" w:hAnsi="Times New Roman" w:cs="Times New Roman"/>
                <w:i w:val="0"/>
                <w:szCs w:val="22"/>
                <w:lang w:val="en-US"/>
              </w:rPr>
              <w:t xml:space="preserve">Supplemental Table S2. </w:t>
            </w:r>
            <w:r w:rsidRPr="00A60A29">
              <w:rPr>
                <w:rFonts w:ascii="Times New Roman" w:hAnsi="Times New Roman" w:cs="Times New Roman"/>
                <w:b w:val="0"/>
                <w:bCs w:val="0"/>
                <w:i w:val="0"/>
                <w:szCs w:val="22"/>
                <w:lang w:val="en-US"/>
              </w:rPr>
              <w:t>Diagnosis and medication codes used for ascertainment of incident type 2 diabetes in the UK Biobank</w:t>
            </w:r>
            <w:r w:rsidRPr="00A60A29">
              <w:rPr>
                <w:rFonts w:ascii="Times New Roman" w:hAnsi="Times New Roman" w:cs="Times New Roman"/>
                <w:i w:val="0"/>
              </w:rPr>
              <w:tab/>
            </w:r>
            <w:r w:rsidRPr="00A60A29">
              <w:rPr>
                <w:rFonts w:ascii="Times New Roman" w:hAnsi="Times New Roman" w:cs="Times New Roman"/>
                <w:i w:val="0"/>
              </w:rPr>
              <w:fldChar w:fldCharType="begin"/>
            </w:r>
            <w:r w:rsidRPr="00A60A29">
              <w:rPr>
                <w:rFonts w:ascii="Times New Roman" w:hAnsi="Times New Roman" w:cs="Times New Roman"/>
                <w:i w:val="0"/>
              </w:rPr>
              <w:instrText xml:space="preserve"> PAGEREF _Toc12484 \h </w:instrText>
            </w:r>
            <w:r w:rsidRPr="00A60A29">
              <w:rPr>
                <w:rFonts w:ascii="Times New Roman" w:hAnsi="Times New Roman" w:cs="Times New Roman"/>
                <w:i w:val="0"/>
              </w:rPr>
            </w:r>
            <w:r w:rsidRPr="00A60A29">
              <w:rPr>
                <w:rFonts w:ascii="Times New Roman" w:hAnsi="Times New Roman" w:cs="Times New Roman"/>
                <w:i w:val="0"/>
              </w:rPr>
              <w:fldChar w:fldCharType="separate"/>
            </w:r>
            <w:r w:rsidRPr="00A60A29">
              <w:rPr>
                <w:rFonts w:ascii="Times New Roman" w:hAnsi="Times New Roman" w:cs="Times New Roman"/>
                <w:i w:val="0"/>
              </w:rPr>
              <w:t>3</w:t>
            </w:r>
            <w:r w:rsidRPr="00A60A29">
              <w:rPr>
                <w:rFonts w:ascii="Times New Roman" w:hAnsi="Times New Roman" w:cs="Times New Roman"/>
                <w:i w:val="0"/>
              </w:rPr>
              <w:fldChar w:fldCharType="end"/>
            </w:r>
          </w:hyperlink>
        </w:p>
        <w:p w:rsidR="004853FC" w:rsidRPr="00A60A29" w:rsidRDefault="00A60A29">
          <w:pPr>
            <w:pStyle w:val="TOC1"/>
            <w:tabs>
              <w:tab w:val="right" w:leader="dot" w:pos="10466"/>
            </w:tabs>
            <w:spacing w:line="360" w:lineRule="auto"/>
            <w:rPr>
              <w:rFonts w:ascii="Times New Roman" w:hAnsi="Times New Roman" w:cs="Times New Roman"/>
              <w:i w:val="0"/>
            </w:rPr>
          </w:pPr>
          <w:hyperlink w:anchor="_Toc18538" w:history="1">
            <w:r w:rsidRPr="00A60A29">
              <w:rPr>
                <w:rFonts w:ascii="Times New Roman" w:hAnsi="Times New Roman" w:cs="Times New Roman"/>
                <w:i w:val="0"/>
                <w:lang w:val="en-US"/>
              </w:rPr>
              <w:t>Supplemental Table S</w:t>
            </w:r>
            <w:r w:rsidRPr="00A60A29">
              <w:rPr>
                <w:rFonts w:ascii="Times New Roman" w:eastAsia="SimSun" w:hAnsi="Times New Roman" w:cs="Times New Roman"/>
                <w:i w:val="0"/>
                <w:lang w:val="en-US"/>
              </w:rPr>
              <w:t>3</w:t>
            </w:r>
            <w:r w:rsidRPr="00A60A29">
              <w:rPr>
                <w:rFonts w:ascii="Times New Roman" w:hAnsi="Times New Roman" w:cs="Times New Roman"/>
                <w:i w:val="0"/>
                <w:lang w:val="en-US"/>
              </w:rPr>
              <w:t xml:space="preserve">. </w:t>
            </w:r>
            <w:r w:rsidRPr="00A60A29">
              <w:rPr>
                <w:rFonts w:ascii="Times New Roman" w:hAnsi="Times New Roman" w:cs="Times New Roman"/>
                <w:b w:val="0"/>
                <w:bCs w:val="0"/>
                <w:i w:val="0"/>
                <w:lang w:val="en-US"/>
              </w:rPr>
              <w:t>ß-coefficients of the different extensions of the clinical CDRS model with multi-omics data for 10-year prediction of type 2 diabetes</w:t>
            </w:r>
            <w:r w:rsidRPr="00A60A29">
              <w:rPr>
                <w:rFonts w:ascii="Times New Roman" w:hAnsi="Times New Roman" w:cs="Times New Roman"/>
                <w:i w:val="0"/>
              </w:rPr>
              <w:tab/>
            </w:r>
            <w:r w:rsidRPr="00A60A29">
              <w:rPr>
                <w:rFonts w:ascii="Times New Roman" w:hAnsi="Times New Roman" w:cs="Times New Roman"/>
                <w:i w:val="0"/>
              </w:rPr>
              <w:fldChar w:fldCharType="begin"/>
            </w:r>
            <w:r w:rsidRPr="00A60A29">
              <w:rPr>
                <w:rFonts w:ascii="Times New Roman" w:hAnsi="Times New Roman" w:cs="Times New Roman"/>
                <w:i w:val="0"/>
              </w:rPr>
              <w:instrText xml:space="preserve"> PAGEREF _Toc18538 \h </w:instrText>
            </w:r>
            <w:r w:rsidRPr="00A60A29">
              <w:rPr>
                <w:rFonts w:ascii="Times New Roman" w:hAnsi="Times New Roman" w:cs="Times New Roman"/>
                <w:i w:val="0"/>
              </w:rPr>
            </w:r>
            <w:r w:rsidRPr="00A60A29">
              <w:rPr>
                <w:rFonts w:ascii="Times New Roman" w:hAnsi="Times New Roman" w:cs="Times New Roman"/>
                <w:i w:val="0"/>
              </w:rPr>
              <w:fldChar w:fldCharType="separate"/>
            </w:r>
            <w:r w:rsidRPr="00A60A29">
              <w:rPr>
                <w:rFonts w:ascii="Times New Roman" w:hAnsi="Times New Roman" w:cs="Times New Roman"/>
                <w:i w:val="0"/>
              </w:rPr>
              <w:t>5</w:t>
            </w:r>
            <w:r w:rsidRPr="00A60A29">
              <w:rPr>
                <w:rFonts w:ascii="Times New Roman" w:hAnsi="Times New Roman" w:cs="Times New Roman"/>
                <w:i w:val="0"/>
              </w:rPr>
              <w:fldChar w:fldCharType="end"/>
            </w:r>
          </w:hyperlink>
        </w:p>
        <w:p w:rsidR="004853FC" w:rsidRPr="00A60A29" w:rsidRDefault="00A60A29">
          <w:pPr>
            <w:pStyle w:val="TOC1"/>
            <w:tabs>
              <w:tab w:val="right" w:leader="dot" w:pos="10466"/>
            </w:tabs>
            <w:spacing w:line="360" w:lineRule="auto"/>
            <w:rPr>
              <w:rFonts w:ascii="Times New Roman" w:hAnsi="Times New Roman" w:cs="Times New Roman"/>
              <w:i w:val="0"/>
            </w:rPr>
          </w:pPr>
          <w:hyperlink w:anchor="_Toc3398" w:history="1">
            <w:r w:rsidRPr="00A60A29">
              <w:rPr>
                <w:rFonts w:ascii="Times New Roman" w:hAnsi="Times New Roman" w:cs="Times New Roman"/>
                <w:i w:val="0"/>
                <w:lang w:val="en-US"/>
              </w:rPr>
              <w:t>Supplemental Figure S</w:t>
            </w:r>
            <w:r w:rsidRPr="00A60A29">
              <w:rPr>
                <w:rFonts w:ascii="Times New Roman" w:eastAsia="SimSun" w:hAnsi="Times New Roman" w:cs="Times New Roman"/>
                <w:i w:val="0"/>
                <w:lang w:val="en-US"/>
              </w:rPr>
              <w:t>1</w:t>
            </w:r>
            <w:r w:rsidRPr="00A60A29">
              <w:rPr>
                <w:rFonts w:ascii="Times New Roman" w:hAnsi="Times New Roman" w:cs="Times New Roman"/>
                <w:i w:val="0"/>
                <w:lang w:val="en-US"/>
              </w:rPr>
              <w:t>.</w:t>
            </w:r>
            <w:r w:rsidRPr="00A60A29">
              <w:rPr>
                <w:rFonts w:ascii="Times New Roman" w:hAnsi="Times New Roman" w:cs="Times New Roman"/>
                <w:i w:val="0"/>
                <w:lang w:val="en-US"/>
              </w:rPr>
              <w:t xml:space="preserve"> </w:t>
            </w:r>
            <w:r w:rsidRPr="00A60A29">
              <w:rPr>
                <w:rFonts w:ascii="Times New Roman" w:hAnsi="Times New Roman" w:cs="Times New Roman"/>
                <w:b w:val="0"/>
                <w:bCs w:val="0"/>
                <w:i w:val="0"/>
                <w:lang w:val="en-US"/>
              </w:rPr>
              <w:t>Flowchart of participant selection</w:t>
            </w:r>
            <w:r w:rsidRPr="00A60A29">
              <w:rPr>
                <w:rFonts w:ascii="Times New Roman" w:hAnsi="Times New Roman" w:cs="Times New Roman"/>
                <w:i w:val="0"/>
              </w:rPr>
              <w:tab/>
            </w:r>
            <w:r w:rsidRPr="00A60A29">
              <w:rPr>
                <w:rFonts w:ascii="Times New Roman" w:hAnsi="Times New Roman" w:cs="Times New Roman"/>
                <w:i w:val="0"/>
              </w:rPr>
              <w:fldChar w:fldCharType="begin"/>
            </w:r>
            <w:r w:rsidRPr="00A60A29">
              <w:rPr>
                <w:rFonts w:ascii="Times New Roman" w:hAnsi="Times New Roman" w:cs="Times New Roman"/>
                <w:i w:val="0"/>
              </w:rPr>
              <w:instrText xml:space="preserve"> PAGEREF _Toc3398 \h </w:instrText>
            </w:r>
            <w:r w:rsidRPr="00A60A29">
              <w:rPr>
                <w:rFonts w:ascii="Times New Roman" w:hAnsi="Times New Roman" w:cs="Times New Roman"/>
                <w:i w:val="0"/>
              </w:rPr>
            </w:r>
            <w:r w:rsidRPr="00A60A29">
              <w:rPr>
                <w:rFonts w:ascii="Times New Roman" w:hAnsi="Times New Roman" w:cs="Times New Roman"/>
                <w:i w:val="0"/>
              </w:rPr>
              <w:fldChar w:fldCharType="separate"/>
            </w:r>
            <w:r w:rsidRPr="00A60A29">
              <w:rPr>
                <w:rFonts w:ascii="Times New Roman" w:hAnsi="Times New Roman" w:cs="Times New Roman"/>
                <w:i w:val="0"/>
              </w:rPr>
              <w:t>7</w:t>
            </w:r>
            <w:r w:rsidRPr="00A60A29">
              <w:rPr>
                <w:rFonts w:ascii="Times New Roman" w:hAnsi="Times New Roman" w:cs="Times New Roman"/>
                <w:i w:val="0"/>
              </w:rPr>
              <w:fldChar w:fldCharType="end"/>
            </w:r>
          </w:hyperlink>
        </w:p>
        <w:p w:rsidR="004853FC" w:rsidRPr="00A60A29" w:rsidRDefault="00A60A29">
          <w:pPr>
            <w:pStyle w:val="TOC1"/>
            <w:tabs>
              <w:tab w:val="right" w:leader="dot" w:pos="10466"/>
            </w:tabs>
            <w:spacing w:line="360" w:lineRule="auto"/>
            <w:rPr>
              <w:rFonts w:ascii="Times New Roman" w:hAnsi="Times New Roman" w:cs="Times New Roman"/>
              <w:i w:val="0"/>
            </w:rPr>
          </w:pPr>
          <w:hyperlink w:anchor="_Toc9973" w:history="1">
            <w:r w:rsidRPr="00A60A29">
              <w:rPr>
                <w:rFonts w:ascii="Times New Roman" w:hAnsi="Times New Roman" w:cs="Times New Roman"/>
                <w:i w:val="0"/>
                <w:lang w:val="en-US"/>
              </w:rPr>
              <w:t>Supplemental Figure S</w:t>
            </w:r>
            <w:r w:rsidRPr="00A60A29">
              <w:rPr>
                <w:rFonts w:ascii="Times New Roman" w:eastAsia="SimSun" w:hAnsi="Times New Roman" w:cs="Times New Roman"/>
                <w:i w:val="0"/>
                <w:lang w:val="en-US"/>
              </w:rPr>
              <w:t>2</w:t>
            </w:r>
            <w:r w:rsidRPr="00A60A29">
              <w:rPr>
                <w:rFonts w:ascii="Times New Roman" w:hAnsi="Times New Roman" w:cs="Times New Roman"/>
                <w:i w:val="0"/>
                <w:lang w:val="en-US"/>
              </w:rPr>
              <w:t xml:space="preserve">. </w:t>
            </w:r>
            <w:r w:rsidRPr="00A60A29">
              <w:rPr>
                <w:rFonts w:ascii="Times New Roman" w:hAnsi="Times New Roman" w:cs="Times New Roman"/>
                <w:b w:val="0"/>
                <w:bCs w:val="0"/>
                <w:i w:val="0"/>
                <w:lang w:val="en-US"/>
              </w:rPr>
              <w:t xml:space="preserve">Calibration curves of the clinical CDRS model and its multi-omics extensions for 10-year type 2 diabetes risk prediction in the validation set (N </w:t>
            </w:r>
            <w:r w:rsidRPr="00A60A29">
              <w:rPr>
                <w:rFonts w:ascii="Times New Roman" w:hAnsi="Times New Roman" w:cs="Times New Roman"/>
                <w:b w:val="0"/>
                <w:bCs w:val="0"/>
                <w:i w:val="0"/>
                <w:lang w:val="en-US"/>
              </w:rPr>
              <w:t>= 19,732)</w:t>
            </w:r>
            <w:r w:rsidRPr="00A60A29">
              <w:rPr>
                <w:rFonts w:ascii="Times New Roman" w:hAnsi="Times New Roman" w:cs="Times New Roman"/>
                <w:i w:val="0"/>
              </w:rPr>
              <w:tab/>
            </w:r>
            <w:r w:rsidRPr="00A60A29">
              <w:rPr>
                <w:rFonts w:ascii="Times New Roman" w:hAnsi="Times New Roman" w:cs="Times New Roman"/>
                <w:i w:val="0"/>
              </w:rPr>
              <w:fldChar w:fldCharType="begin"/>
            </w:r>
            <w:r w:rsidRPr="00A60A29">
              <w:rPr>
                <w:rFonts w:ascii="Times New Roman" w:hAnsi="Times New Roman" w:cs="Times New Roman"/>
                <w:i w:val="0"/>
              </w:rPr>
              <w:instrText xml:space="preserve"> PAGEREF _Toc9973 \h </w:instrText>
            </w:r>
            <w:r w:rsidRPr="00A60A29">
              <w:rPr>
                <w:rFonts w:ascii="Times New Roman" w:hAnsi="Times New Roman" w:cs="Times New Roman"/>
                <w:i w:val="0"/>
              </w:rPr>
            </w:r>
            <w:r w:rsidRPr="00A60A29">
              <w:rPr>
                <w:rFonts w:ascii="Times New Roman" w:hAnsi="Times New Roman" w:cs="Times New Roman"/>
                <w:i w:val="0"/>
              </w:rPr>
              <w:fldChar w:fldCharType="separate"/>
            </w:r>
            <w:r w:rsidRPr="00A60A29">
              <w:rPr>
                <w:rFonts w:ascii="Times New Roman" w:hAnsi="Times New Roman" w:cs="Times New Roman"/>
                <w:i w:val="0"/>
              </w:rPr>
              <w:t>8</w:t>
            </w:r>
            <w:r w:rsidRPr="00A60A29">
              <w:rPr>
                <w:rFonts w:ascii="Times New Roman" w:hAnsi="Times New Roman" w:cs="Times New Roman"/>
                <w:i w:val="0"/>
              </w:rPr>
              <w:fldChar w:fldCharType="end"/>
            </w:r>
          </w:hyperlink>
        </w:p>
        <w:p w:rsidR="004853FC" w:rsidRPr="00A60A29" w:rsidRDefault="00A60A29">
          <w:pPr>
            <w:pStyle w:val="TOC1"/>
            <w:tabs>
              <w:tab w:val="right" w:leader="dot" w:pos="10466"/>
            </w:tabs>
            <w:spacing w:line="360" w:lineRule="auto"/>
            <w:rPr>
              <w:rFonts w:ascii="Times New Roman" w:hAnsi="Times New Roman" w:cs="Times New Roman"/>
              <w:i w:val="0"/>
            </w:rPr>
          </w:pPr>
          <w:hyperlink w:anchor="_Toc15889" w:history="1">
            <w:r w:rsidRPr="00A60A29">
              <w:rPr>
                <w:rFonts w:ascii="Times New Roman" w:hAnsi="Times New Roman" w:cs="Times New Roman"/>
                <w:i w:val="0"/>
                <w:lang w:val="en-US"/>
              </w:rPr>
              <w:t>Supplemental Figure S</w:t>
            </w:r>
            <w:r w:rsidRPr="00A60A29">
              <w:rPr>
                <w:rFonts w:ascii="Times New Roman" w:eastAsia="SimSun" w:hAnsi="Times New Roman" w:cs="Times New Roman"/>
                <w:i w:val="0"/>
                <w:lang w:val="en-US"/>
              </w:rPr>
              <w:t>3</w:t>
            </w:r>
            <w:r w:rsidRPr="00A60A29">
              <w:rPr>
                <w:rFonts w:ascii="Times New Roman" w:hAnsi="Times New Roman" w:cs="Times New Roman"/>
                <w:i w:val="0"/>
                <w:lang w:val="en-US"/>
              </w:rPr>
              <w:t>.</w:t>
            </w:r>
            <w:r w:rsidRPr="00A60A29">
              <w:rPr>
                <w:rFonts w:ascii="Times New Roman" w:hAnsi="Times New Roman" w:cs="Times New Roman"/>
                <w:bCs w:val="0"/>
                <w:i w:val="0"/>
                <w:lang w:val="en-US"/>
              </w:rPr>
              <w:t xml:space="preserve"> </w:t>
            </w:r>
            <w:r w:rsidRPr="00A60A29">
              <w:rPr>
                <w:rFonts w:ascii="Times New Roman" w:hAnsi="Times New Roman" w:cs="Times New Roman"/>
                <w:b w:val="0"/>
                <w:i w:val="0"/>
                <w:lang w:val="en-US"/>
              </w:rPr>
              <w:t>Subgroup analyses of C-index (95% CI) for type 2 diabetes risk prediction models stratified by age group, BMI</w:t>
            </w:r>
            <w:r w:rsidRPr="00A60A29">
              <w:rPr>
                <w:rFonts w:ascii="Times New Roman" w:hAnsi="Times New Roman" w:cs="Times New Roman"/>
                <w:b w:val="0"/>
                <w:i w:val="0"/>
                <w:lang w:val="en-US"/>
              </w:rPr>
              <w:t xml:space="preserve"> category, pre-diabetes status, and sex</w:t>
            </w:r>
            <w:r w:rsidRPr="00A60A29">
              <w:rPr>
                <w:rFonts w:ascii="Times New Roman" w:hAnsi="Times New Roman" w:cs="Times New Roman"/>
                <w:i w:val="0"/>
              </w:rPr>
              <w:tab/>
            </w:r>
            <w:r w:rsidRPr="00A60A29">
              <w:rPr>
                <w:rFonts w:ascii="Times New Roman" w:hAnsi="Times New Roman" w:cs="Times New Roman"/>
                <w:i w:val="0"/>
              </w:rPr>
              <w:fldChar w:fldCharType="begin"/>
            </w:r>
            <w:r w:rsidRPr="00A60A29">
              <w:rPr>
                <w:rFonts w:ascii="Times New Roman" w:hAnsi="Times New Roman" w:cs="Times New Roman"/>
                <w:i w:val="0"/>
              </w:rPr>
              <w:instrText xml:space="preserve"> PAGEREF _Toc15889 \h </w:instrText>
            </w:r>
            <w:r w:rsidRPr="00A60A29">
              <w:rPr>
                <w:rFonts w:ascii="Times New Roman" w:hAnsi="Times New Roman" w:cs="Times New Roman"/>
                <w:i w:val="0"/>
              </w:rPr>
            </w:r>
            <w:r w:rsidRPr="00A60A29">
              <w:rPr>
                <w:rFonts w:ascii="Times New Roman" w:hAnsi="Times New Roman" w:cs="Times New Roman"/>
                <w:i w:val="0"/>
              </w:rPr>
              <w:fldChar w:fldCharType="separate"/>
            </w:r>
            <w:r w:rsidRPr="00A60A29">
              <w:rPr>
                <w:rFonts w:ascii="Times New Roman" w:hAnsi="Times New Roman" w:cs="Times New Roman"/>
                <w:i w:val="0"/>
              </w:rPr>
              <w:t>9</w:t>
            </w:r>
            <w:r w:rsidRPr="00A60A29">
              <w:rPr>
                <w:rFonts w:ascii="Times New Roman" w:hAnsi="Times New Roman" w:cs="Times New Roman"/>
                <w:i w:val="0"/>
              </w:rPr>
              <w:fldChar w:fldCharType="end"/>
            </w:r>
          </w:hyperlink>
        </w:p>
        <w:p w:rsidR="004853FC" w:rsidRPr="00A60A29" w:rsidRDefault="00A60A29">
          <w:pPr>
            <w:pStyle w:val="TOC1"/>
            <w:tabs>
              <w:tab w:val="right" w:leader="dot" w:pos="10466"/>
            </w:tabs>
            <w:spacing w:line="360" w:lineRule="auto"/>
          </w:pPr>
          <w:hyperlink w:anchor="_Toc13684" w:history="1">
            <w:r w:rsidRPr="00A60A29">
              <w:rPr>
                <w:rFonts w:ascii="Times New Roman" w:hAnsi="Times New Roman" w:cs="Times New Roman"/>
                <w:i w:val="0"/>
                <w:lang w:val="en-US"/>
              </w:rPr>
              <w:t xml:space="preserve">References to </w:t>
            </w:r>
            <w:r w:rsidRPr="00A60A29">
              <w:rPr>
                <w:rFonts w:ascii="Times New Roman" w:hAnsi="Times New Roman" w:cs="Times New Roman"/>
                <w:i w:val="0"/>
                <w:lang w:val="en-US"/>
              </w:rPr>
              <w:t xml:space="preserve">Supplemental </w:t>
            </w:r>
            <w:r w:rsidRPr="00A60A29">
              <w:rPr>
                <w:rFonts w:ascii="Times New Roman" w:eastAsia="SimSun" w:hAnsi="Times New Roman" w:cs="Times New Roman"/>
                <w:i w:val="0"/>
                <w:lang w:val="en-US"/>
              </w:rPr>
              <w:t>Materials</w:t>
            </w:r>
            <w:r w:rsidRPr="00A60A29">
              <w:rPr>
                <w:rFonts w:ascii="Times New Roman" w:hAnsi="Times New Roman" w:cs="Times New Roman"/>
                <w:i w:val="0"/>
              </w:rPr>
              <w:tab/>
            </w:r>
            <w:r w:rsidRPr="00A60A29">
              <w:rPr>
                <w:rFonts w:ascii="Times New Roman" w:hAnsi="Times New Roman" w:cs="Times New Roman"/>
                <w:i w:val="0"/>
              </w:rPr>
              <w:fldChar w:fldCharType="begin"/>
            </w:r>
            <w:r w:rsidRPr="00A60A29">
              <w:rPr>
                <w:rFonts w:ascii="Times New Roman" w:hAnsi="Times New Roman" w:cs="Times New Roman"/>
                <w:i w:val="0"/>
              </w:rPr>
              <w:instrText xml:space="preserve"> PAGEREF _Toc13684 \h </w:instrText>
            </w:r>
            <w:r w:rsidRPr="00A60A29">
              <w:rPr>
                <w:rFonts w:ascii="Times New Roman" w:hAnsi="Times New Roman" w:cs="Times New Roman"/>
                <w:i w:val="0"/>
              </w:rPr>
            </w:r>
            <w:r w:rsidRPr="00A60A29">
              <w:rPr>
                <w:rFonts w:ascii="Times New Roman" w:hAnsi="Times New Roman" w:cs="Times New Roman"/>
                <w:i w:val="0"/>
              </w:rPr>
              <w:fldChar w:fldCharType="separate"/>
            </w:r>
            <w:r w:rsidRPr="00A60A29">
              <w:rPr>
                <w:rFonts w:ascii="Times New Roman" w:hAnsi="Times New Roman" w:cs="Times New Roman"/>
                <w:i w:val="0"/>
              </w:rPr>
              <w:t>10</w:t>
            </w:r>
            <w:r w:rsidRPr="00A60A29">
              <w:rPr>
                <w:rFonts w:ascii="Times New Roman" w:hAnsi="Times New Roman" w:cs="Times New Roman"/>
                <w:i w:val="0"/>
              </w:rPr>
              <w:fldChar w:fldCharType="end"/>
            </w:r>
          </w:hyperlink>
        </w:p>
        <w:p w:rsidR="004853FC" w:rsidRPr="00A60A29" w:rsidRDefault="00A60A29">
          <w:pPr>
            <w:spacing w:line="360" w:lineRule="auto"/>
            <w:ind w:left="2520" w:hangingChars="1050" w:hanging="2520"/>
          </w:pPr>
          <w:r w:rsidRPr="00A60A29">
            <w:rPr>
              <w:iCs/>
            </w:rPr>
            <w:fldChar w:fldCharType="end"/>
          </w:r>
        </w:p>
      </w:sdtContent>
    </w:sdt>
    <w:p w:rsidR="004853FC" w:rsidRPr="00A60A29" w:rsidRDefault="004853FC">
      <w:pPr>
        <w:rPr>
          <w:rFonts w:eastAsiaTheme="minorEastAsia"/>
          <w:lang w:val="en-US"/>
        </w:rPr>
      </w:pPr>
      <w:bookmarkStart w:id="0" w:name="_Toc139038028"/>
    </w:p>
    <w:p w:rsidR="004853FC" w:rsidRPr="00A60A29" w:rsidRDefault="00A60A29">
      <w:pPr>
        <w:rPr>
          <w:rFonts w:eastAsiaTheme="minorEastAsia"/>
          <w:lang w:val="en-US"/>
        </w:rPr>
      </w:pPr>
      <w:r w:rsidRPr="00A60A29">
        <w:rPr>
          <w:rFonts w:ascii="Cambria" w:hAnsi="Cambria"/>
          <w:b/>
          <w:bCs/>
          <w:color w:val="000000" w:themeColor="text1"/>
          <w:lang w:val="en-US"/>
        </w:rPr>
        <w:br w:type="page"/>
      </w:r>
    </w:p>
    <w:p w:rsidR="004853FC" w:rsidRPr="00A60A29" w:rsidRDefault="00A60A29">
      <w:pPr>
        <w:tabs>
          <w:tab w:val="center" w:pos="6979"/>
        </w:tabs>
        <w:spacing w:before="48" w:after="48" w:line="360" w:lineRule="auto"/>
        <w:outlineLvl w:val="0"/>
        <w:rPr>
          <w:lang w:val="en-US"/>
        </w:rPr>
      </w:pPr>
      <w:bookmarkStart w:id="1" w:name="_Toc7060"/>
      <w:bookmarkStart w:id="2" w:name="_Toc22310"/>
      <w:bookmarkStart w:id="3" w:name="_Toc159857109"/>
      <w:bookmarkEnd w:id="0"/>
      <w:r w:rsidRPr="00A60A29">
        <w:rPr>
          <w:b/>
          <w:bCs/>
          <w:color w:val="000000" w:themeColor="text1"/>
          <w:lang w:val="en-US"/>
        </w:rPr>
        <w:lastRenderedPageBreak/>
        <w:t xml:space="preserve">Supplemental </w:t>
      </w:r>
      <w:r w:rsidRPr="00A60A29">
        <w:rPr>
          <w:b/>
          <w:bCs/>
          <w:lang w:val="en-US"/>
        </w:rPr>
        <w:t>Table S</w:t>
      </w:r>
      <w:r w:rsidRPr="00A60A29">
        <w:rPr>
          <w:rFonts w:eastAsia="SimSun" w:hint="eastAsia"/>
          <w:b/>
          <w:bCs/>
          <w:lang w:val="en-US"/>
        </w:rPr>
        <w:t>1</w:t>
      </w:r>
      <w:r w:rsidRPr="00A60A29">
        <w:rPr>
          <w:b/>
          <w:bCs/>
          <w:lang w:val="en-US"/>
        </w:rPr>
        <w:t>.</w:t>
      </w:r>
      <w:r w:rsidRPr="00A60A29">
        <w:rPr>
          <w:lang w:val="en-US"/>
        </w:rPr>
        <w:t xml:space="preserve"> Selected multi-omic biomarkers and data sources</w:t>
      </w:r>
      <w:bookmarkEnd w:id="1"/>
      <w:bookmarkEnd w:id="2"/>
    </w:p>
    <w:tbl>
      <w:tblPr>
        <w:tblStyle w:val="TableGrid"/>
        <w:tblW w:w="0" w:type="auto"/>
        <w:tblLook w:val="04A0" w:firstRow="1" w:lastRow="0" w:firstColumn="1" w:lastColumn="0" w:noHBand="0" w:noVBand="1"/>
      </w:tblPr>
      <w:tblGrid>
        <w:gridCol w:w="1350"/>
        <w:gridCol w:w="4985"/>
        <w:gridCol w:w="4121"/>
      </w:tblGrid>
      <w:tr w:rsidR="004853FC" w:rsidRPr="00A60A29">
        <w:tc>
          <w:tcPr>
            <w:tcW w:w="0" w:type="auto"/>
          </w:tcPr>
          <w:p w:rsidR="004853FC" w:rsidRPr="00A60A29" w:rsidRDefault="00A60A29">
            <w:pPr>
              <w:tabs>
                <w:tab w:val="center" w:pos="6979"/>
              </w:tabs>
              <w:spacing w:before="48" w:after="48" w:line="360" w:lineRule="auto"/>
              <w:rPr>
                <w:rFonts w:eastAsia="SimSun"/>
                <w:b/>
                <w:bCs/>
                <w:lang w:val="en-US"/>
              </w:rPr>
            </w:pPr>
            <w:r w:rsidRPr="00A60A29">
              <w:rPr>
                <w:rFonts w:eastAsia="SimSun" w:hint="eastAsia"/>
                <w:b/>
                <w:bCs/>
                <w:lang w:val="en-US"/>
              </w:rPr>
              <w:t>Omics</w:t>
            </w:r>
          </w:p>
        </w:tc>
        <w:tc>
          <w:tcPr>
            <w:tcW w:w="0" w:type="auto"/>
          </w:tcPr>
          <w:p w:rsidR="004853FC" w:rsidRPr="00A60A29" w:rsidRDefault="00A60A29">
            <w:pPr>
              <w:tabs>
                <w:tab w:val="center" w:pos="6979"/>
              </w:tabs>
              <w:spacing w:before="48" w:after="48" w:line="360" w:lineRule="auto"/>
              <w:jc w:val="center"/>
              <w:rPr>
                <w:rFonts w:eastAsia="SimSun"/>
                <w:b/>
                <w:bCs/>
                <w:lang w:val="en-US"/>
              </w:rPr>
            </w:pPr>
            <w:r w:rsidRPr="00A60A29">
              <w:rPr>
                <w:rFonts w:eastAsia="SimSun"/>
                <w:b/>
                <w:bCs/>
                <w:lang w:val="en-US"/>
              </w:rPr>
              <w:t>Biomarkers</w:t>
            </w:r>
          </w:p>
        </w:tc>
        <w:tc>
          <w:tcPr>
            <w:tcW w:w="0" w:type="auto"/>
          </w:tcPr>
          <w:p w:rsidR="004853FC" w:rsidRPr="00A60A29" w:rsidRDefault="00A60A29">
            <w:pPr>
              <w:tabs>
                <w:tab w:val="center" w:pos="6979"/>
              </w:tabs>
              <w:spacing w:before="48" w:after="48" w:line="360" w:lineRule="auto"/>
              <w:jc w:val="center"/>
              <w:rPr>
                <w:rFonts w:eastAsia="SimSun"/>
                <w:lang w:val="en-US"/>
              </w:rPr>
            </w:pPr>
            <w:r w:rsidRPr="00A60A29">
              <w:rPr>
                <w:rFonts w:eastAsia="SimSun"/>
                <w:b/>
                <w:bCs/>
                <w:lang w:val="en-US"/>
              </w:rPr>
              <w:t>Reference</w:t>
            </w:r>
          </w:p>
        </w:tc>
      </w:tr>
      <w:tr w:rsidR="004853FC" w:rsidRPr="00A60A29">
        <w:tc>
          <w:tcPr>
            <w:tcW w:w="0" w:type="auto"/>
          </w:tcPr>
          <w:p w:rsidR="004853FC" w:rsidRPr="00A60A29" w:rsidRDefault="00A60A29">
            <w:pPr>
              <w:tabs>
                <w:tab w:val="center" w:pos="6979"/>
              </w:tabs>
              <w:spacing w:before="48" w:after="48" w:line="360" w:lineRule="auto"/>
              <w:rPr>
                <w:rFonts w:eastAsia="SimSun"/>
                <w:lang w:val="en-US"/>
              </w:rPr>
            </w:pPr>
            <w:r w:rsidRPr="00A60A29">
              <w:rPr>
                <w:rFonts w:eastAsia="SimSun"/>
                <w:lang w:val="en-US"/>
              </w:rPr>
              <w:t>PRS</w:t>
            </w:r>
          </w:p>
        </w:tc>
        <w:tc>
          <w:tcPr>
            <w:tcW w:w="0" w:type="auto"/>
          </w:tcPr>
          <w:p w:rsidR="004853FC" w:rsidRPr="00A60A29" w:rsidRDefault="00A60A29">
            <w:pPr>
              <w:tabs>
                <w:tab w:val="center" w:pos="6979"/>
              </w:tabs>
              <w:spacing w:before="48" w:after="48" w:line="360" w:lineRule="auto"/>
              <w:jc w:val="center"/>
              <w:rPr>
                <w:rFonts w:eastAsiaTheme="majorEastAsia"/>
                <w:lang w:val="en-US"/>
              </w:rPr>
            </w:pPr>
            <w:r w:rsidRPr="00A60A29">
              <w:rPr>
                <w:rFonts w:eastAsiaTheme="majorEastAsia"/>
                <w:color w:val="000000" w:themeColor="text1"/>
                <w:lang w:val="en-US"/>
              </w:rPr>
              <w:t xml:space="preserve">Standard PRS for </w:t>
            </w:r>
            <w:r w:rsidRPr="00A60A29">
              <w:rPr>
                <w:rFonts w:eastAsiaTheme="majorEastAsia" w:hint="eastAsia"/>
                <w:color w:val="000000" w:themeColor="text1"/>
                <w:lang w:val="en-US"/>
              </w:rPr>
              <w:t>type 2 diabetes</w:t>
            </w:r>
          </w:p>
        </w:tc>
        <w:tc>
          <w:tcPr>
            <w:tcW w:w="4121" w:type="dxa"/>
          </w:tcPr>
          <w:p w:rsidR="004853FC" w:rsidRPr="00A60A29" w:rsidRDefault="00A60A29">
            <w:pPr>
              <w:tabs>
                <w:tab w:val="center" w:pos="6979"/>
              </w:tabs>
              <w:spacing w:before="48" w:after="48" w:line="360" w:lineRule="auto"/>
              <w:rPr>
                <w:lang w:val="en-US"/>
              </w:rPr>
            </w:pPr>
            <w:r w:rsidRPr="00A60A29">
              <w:rPr>
                <w:lang w:val="en-US"/>
              </w:rPr>
              <w:t xml:space="preserve">The standard </w:t>
            </w:r>
            <w:r w:rsidRPr="00A60A29">
              <w:rPr>
                <w:rFonts w:eastAsia="SimSun" w:hint="eastAsia"/>
                <w:lang w:val="en-US"/>
              </w:rPr>
              <w:t>T2</w:t>
            </w:r>
            <w:r w:rsidRPr="00A60A29">
              <w:rPr>
                <w:lang w:val="en-US"/>
              </w:rPr>
              <w:t xml:space="preserve">D-PRS was derived using a genome-wide meta-analysis of </w:t>
            </w:r>
            <w:r w:rsidRPr="00A60A29">
              <w:rPr>
                <w:rFonts w:eastAsia="SimSun" w:hint="eastAsia"/>
                <w:lang w:val="en-US"/>
              </w:rPr>
              <w:t>5</w:t>
            </w:r>
            <w:r w:rsidRPr="00A60A29">
              <w:rPr>
                <w:lang w:val="en-US"/>
              </w:rPr>
              <w:t xml:space="preserve"> external GWAS datasets comprising 1,</w:t>
            </w:r>
            <w:r w:rsidRPr="00A60A29">
              <w:rPr>
                <w:rFonts w:eastAsia="SimSun" w:hint="eastAsia"/>
                <w:lang w:val="en-US"/>
              </w:rPr>
              <w:t>349</w:t>
            </w:r>
            <w:r w:rsidRPr="00A60A29">
              <w:rPr>
                <w:lang w:val="en-US"/>
              </w:rPr>
              <w:t>,2</w:t>
            </w:r>
            <w:r w:rsidRPr="00A60A29">
              <w:rPr>
                <w:rFonts w:eastAsia="SimSun" w:hint="eastAsia"/>
                <w:lang w:val="en-US"/>
              </w:rPr>
              <w:t>23</w:t>
            </w:r>
            <w:r w:rsidRPr="00A60A29">
              <w:rPr>
                <w:lang w:val="en-US"/>
              </w:rPr>
              <w:t xml:space="preserve"> individuals and has been previously published </w:t>
            </w:r>
            <w:r w:rsidRPr="00A60A29">
              <w:rPr>
                <w:lang w:val="en-US"/>
              </w:rPr>
              <w:fldChar w:fldCharType="begin">
                <w:fldData xml:space="preserve">PEVuZE5vdGU+PENpdGU+PEF1dGhvcj5UaG9tcHNvbjwvQXV0aG9yPjxZZWFyPjIwMjQ8L1llYXI+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</w:fldData>
              </w:fldChar>
            </w:r>
            <w:r w:rsidRPr="00A60A29">
              <w:rPr>
                <w:lang w:val="en-US"/>
              </w:rPr>
              <w:instrText xml:space="preserve"> ADDIN EN.CITE </w:instrText>
            </w:r>
            <w:r w:rsidRPr="00A60A29">
              <w:rPr>
                <w:lang w:val="en-US"/>
              </w:rPr>
              <w:fldChar w:fldCharType="begin">
                <w:fldData xml:space="preserve">PEVuZE5vdGU+PENpdGU+PEF1dGhvcj5UaG9tcHNvbjwvQXV0aG9yPjxZZWFyPjIwMjQ8L1llYXI+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</w:fldData>
              </w:fldChar>
            </w:r>
            <w:r w:rsidRPr="00A60A29">
              <w:rPr>
                <w:lang w:val="en-US"/>
              </w:rPr>
              <w:instrText xml:space="preserve"> ADDIN EN.CITE.DATA </w:instrText>
            </w:r>
            <w:r w:rsidRPr="00A60A29">
              <w:rPr>
                <w:lang w:val="en-US"/>
              </w:rPr>
            </w:r>
            <w:r w:rsidRPr="00A60A29">
              <w:rPr>
                <w:lang w:val="en-US"/>
              </w:rPr>
              <w:fldChar w:fldCharType="end"/>
            </w:r>
            <w:r w:rsidRPr="00A60A29">
              <w:rPr>
                <w:lang w:val="en-US"/>
              </w:rPr>
            </w:r>
            <w:r w:rsidRPr="00A60A29">
              <w:rPr>
                <w:lang w:val="en-US"/>
              </w:rPr>
              <w:fldChar w:fldCharType="separate"/>
            </w:r>
            <w:r w:rsidRPr="00A60A29">
              <w:rPr>
                <w:lang w:val="en-US"/>
              </w:rPr>
              <w:t>[1]</w:t>
            </w:r>
            <w:r w:rsidRPr="00A60A29">
              <w:rPr>
                <w:lang w:val="en-US"/>
              </w:rPr>
              <w:fldChar w:fldCharType="end"/>
            </w:r>
            <w:r w:rsidRPr="00A60A29">
              <w:rPr>
                <w:lang w:val="en-US"/>
              </w:rPr>
              <w:t xml:space="preserve">. </w:t>
            </w:r>
          </w:p>
        </w:tc>
      </w:tr>
      <w:tr w:rsidR="004853FC" w:rsidRPr="00A60A29">
        <w:tc>
          <w:tcPr>
            <w:tcW w:w="0" w:type="auto"/>
          </w:tcPr>
          <w:p w:rsidR="004853FC" w:rsidRPr="00A60A29" w:rsidRDefault="00A60A29">
            <w:pPr>
              <w:tabs>
                <w:tab w:val="center" w:pos="6979"/>
              </w:tabs>
              <w:spacing w:before="48" w:after="48" w:line="360" w:lineRule="auto"/>
              <w:rPr>
                <w:rFonts w:eastAsia="SimSun"/>
                <w:lang w:val="en-US"/>
              </w:rPr>
            </w:pPr>
            <w:r w:rsidRPr="00A60A29">
              <w:rPr>
                <w:rFonts w:eastAsia="SimSun"/>
                <w:lang w:val="en-US"/>
              </w:rPr>
              <w:t>Metabolites</w:t>
            </w:r>
          </w:p>
        </w:tc>
        <w:tc>
          <w:tcPr>
            <w:tcW w:w="0" w:type="auto"/>
          </w:tcPr>
          <w:p w:rsidR="004853FC" w:rsidRPr="00A60A29" w:rsidRDefault="00A60A29">
            <w:pPr>
              <w:tabs>
                <w:tab w:val="center" w:pos="6979"/>
              </w:tabs>
              <w:spacing w:before="48" w:after="48" w:line="360" w:lineRule="auto"/>
              <w:jc w:val="both"/>
              <w:rPr>
                <w:lang w:val="en-US"/>
              </w:rPr>
            </w:pPr>
            <w:r w:rsidRPr="00A60A29">
              <w:rPr>
                <w:lang w:val="en-US"/>
              </w:rPr>
              <w:t xml:space="preserve">3-hydroxybutyrate, acetate, citrate, </w:t>
            </w:r>
            <w:r w:rsidRPr="00A60A29">
              <w:rPr>
                <w:rFonts w:eastAsia="SimSun" w:hint="eastAsia"/>
                <w:lang w:val="en-US"/>
              </w:rPr>
              <w:t>g</w:t>
            </w:r>
            <w:r w:rsidRPr="00A60A29">
              <w:rPr>
                <w:lang w:val="en-US"/>
              </w:rPr>
              <w:t>lutamine</w:t>
            </w:r>
            <w:r w:rsidRPr="00A60A29">
              <w:rPr>
                <w:lang w:val="en-US"/>
              </w:rPr>
              <w:t>, glucose, IDL</w:t>
            </w:r>
            <w:r w:rsidRPr="00A60A29">
              <w:rPr>
                <w:rFonts w:eastAsia="SimSun" w:hint="eastAsia"/>
                <w:lang w:val="en-US"/>
              </w:rPr>
              <w:t>-</w:t>
            </w:r>
            <w:r w:rsidRPr="00A60A29">
              <w:rPr>
                <w:lang w:val="en-US"/>
              </w:rPr>
              <w:t>CE</w:t>
            </w:r>
            <w:r w:rsidRPr="00A60A29">
              <w:rPr>
                <w:rFonts w:eastAsia="SimSun" w:hint="eastAsia"/>
                <w:lang w:val="en-US"/>
              </w:rPr>
              <w:t>-</w:t>
            </w:r>
            <w:r w:rsidRPr="00A60A29">
              <w:rPr>
                <w:lang w:val="en-US"/>
              </w:rPr>
              <w:t>pct</w:t>
            </w:r>
            <w:r w:rsidRPr="00A60A29">
              <w:rPr>
                <w:rFonts w:eastAsia="SimSun" w:hint="eastAsia"/>
                <w:lang w:val="en-US"/>
              </w:rPr>
              <w:t>, LA-pct</w:t>
            </w:r>
            <w:r w:rsidRPr="00A60A29">
              <w:rPr>
                <w:rFonts w:eastAsia="SimSun" w:hint="eastAsia"/>
                <w:lang w:val="en-US"/>
              </w:rPr>
              <w:t xml:space="preserve">, </w:t>
            </w:r>
            <w:r w:rsidRPr="00A60A29">
              <w:rPr>
                <w:rFonts w:eastAsia="SimSun"/>
                <w:lang w:val="en-US"/>
              </w:rPr>
              <w:t>l</w:t>
            </w:r>
            <w:r w:rsidRPr="00A60A29">
              <w:rPr>
                <w:rFonts w:eastAsia="SimSun" w:hint="eastAsia"/>
                <w:lang w:val="en-US"/>
              </w:rPr>
              <w:t xml:space="preserve">actate, M-LDL-TG-pct, </w:t>
            </w:r>
            <w:r w:rsidRPr="00A60A29">
              <w:rPr>
                <w:rFonts w:eastAsia="SimSun"/>
                <w:lang w:val="en-US"/>
              </w:rPr>
              <w:t>p</w:t>
            </w:r>
            <w:r w:rsidRPr="00A60A29">
              <w:rPr>
                <w:rFonts w:eastAsia="SimSun" w:hint="eastAsia"/>
                <w:lang w:val="en-US"/>
              </w:rPr>
              <w:t xml:space="preserve">yruvate, </w:t>
            </w:r>
            <w:r w:rsidRPr="00A60A29">
              <w:rPr>
                <w:rFonts w:eastAsia="SimSun" w:hint="eastAsia"/>
                <w:lang w:val="en-US"/>
              </w:rPr>
              <w:t>tyrosine</w:t>
            </w:r>
          </w:p>
        </w:tc>
        <w:tc>
          <w:tcPr>
            <w:tcW w:w="4121" w:type="dxa"/>
          </w:tcPr>
          <w:p w:rsidR="004853FC" w:rsidRPr="00A60A29" w:rsidRDefault="00A60A29">
            <w:pPr>
              <w:tabs>
                <w:tab w:val="center" w:pos="6979"/>
              </w:tabs>
              <w:spacing w:before="48" w:after="48" w:line="360" w:lineRule="auto"/>
              <w:rPr>
                <w:lang w:val="en-US"/>
              </w:rPr>
            </w:pPr>
            <w:r w:rsidRPr="00A60A29">
              <w:rPr>
                <w:lang w:val="en-US"/>
              </w:rPr>
              <w:t xml:space="preserve">The metabolites were selected using </w:t>
            </w:r>
            <w:r w:rsidRPr="00A60A29">
              <w:rPr>
                <w:rFonts w:eastAsia="SimSun" w:hint="eastAsia"/>
                <w:lang w:val="en-US"/>
              </w:rPr>
              <w:t>bootstrap</w:t>
            </w:r>
            <w:r w:rsidRPr="00A60A29">
              <w:rPr>
                <w:lang w:val="en-US"/>
              </w:rPr>
              <w:t xml:space="preserve">-LASSO regression in </w:t>
            </w:r>
            <w:r w:rsidRPr="00A60A29">
              <w:rPr>
                <w:rFonts w:eastAsia="SimSun"/>
                <w:lang w:val="en-US"/>
              </w:rPr>
              <w:t>the</w:t>
            </w:r>
            <w:r w:rsidRPr="00A60A29">
              <w:rPr>
                <w:lang w:val="en-US"/>
              </w:rPr>
              <w:t xml:space="preserve"> UKB </w:t>
            </w:r>
            <w:r w:rsidRPr="00A60A29">
              <w:rPr>
                <w:rFonts w:eastAsia="SimSun"/>
                <w:lang w:val="en-US"/>
              </w:rPr>
              <w:t>(</w:t>
            </w:r>
            <w:r w:rsidRPr="00A60A29">
              <w:rPr>
                <w:lang w:val="en-US"/>
              </w:rPr>
              <w:t>n=</w:t>
            </w:r>
            <w:r w:rsidRPr="00A60A29">
              <w:rPr>
                <w:rFonts w:eastAsia="SimSun" w:hint="eastAsia"/>
                <w:lang w:val="en-US"/>
              </w:rPr>
              <w:t>6</w:t>
            </w:r>
            <w:r w:rsidRPr="00A60A29">
              <w:rPr>
                <w:lang w:val="en-US"/>
              </w:rPr>
              <w:t>0,</w:t>
            </w:r>
            <w:r w:rsidRPr="00A60A29">
              <w:rPr>
                <w:rFonts w:eastAsia="SimSun" w:hint="eastAsia"/>
                <w:lang w:val="en-US"/>
              </w:rPr>
              <w:t>362</w:t>
            </w:r>
            <w:r w:rsidRPr="00A60A29">
              <w:rPr>
                <w:lang w:val="en-US"/>
              </w:rPr>
              <w:t xml:space="preserve">). See previous work </w:t>
            </w:r>
            <w:r w:rsidRPr="00A60A29">
              <w:rPr>
                <w:lang w:val="en-US"/>
              </w:rPr>
              <w:fldChar w:fldCharType="begin"/>
            </w:r>
            <w:r w:rsidRPr="00A60A29">
              <w:rPr>
                <w:lang w:val="en-US"/>
              </w:rPr>
              <w:instrText xml:space="preserve"> ADDIN EN.CITE &lt;EndNote&gt;&lt;Cite&gt;&lt;Author&gt;Xie&lt;/Author&gt;&lt;Year&gt;2025&lt;/Year&gt;&lt;RecNum&gt;1045&lt;/RecNum&gt;&lt;DisplayText&gt;[2]&lt;/DisplayText&gt;&lt;record&gt;&lt;rec-number&gt;1045&lt;/rec-number&gt;&lt;foreign-keys&gt;&lt;key app="EN" db-id="02v0swwfua55xjed5tspt5fu2t9rw5dv09va" timestamp="1734772826"&gt;1045&lt;</w:instrText>
            </w:r>
            <w:r w:rsidRPr="00A60A29">
              <w:rPr>
                <w:lang w:val="en-US"/>
              </w:rPr>
              <w:instrText>/key&gt;&lt;/foreign-keys&gt;&lt;ref-type name="Journal Article"&gt;17&lt;/ref-type&gt;&lt;contributors&gt;&lt;authors&gt;&lt;author&gt;Xie, Ruijie&lt;/author&gt;&lt;author&gt;Herder, Christian&lt;/author&gt;&lt;author&gt;Sha, Sha&lt;/author&gt;&lt;author&gt;Peng, Lei&lt;/author&gt;&lt;author&gt;Brenner, Hermann&lt;/author&gt;&lt;author&gt;Schoettker, B</w:instrText>
            </w:r>
            <w:r w:rsidRPr="00A60A29">
              <w:rPr>
                <w:lang w:val="en-US"/>
              </w:rPr>
              <w:instrText>en&lt;/author&gt;&lt;/authors&gt;&lt;/contributors&gt;&lt;titles&gt;&lt;title&gt;Novel type 2 diabetes prediction score based on traditional risk factors and circulating metabolites: Model derivation and validation in two large cohort studies&lt;/title&gt;&lt;secondary-title&gt;eClinicalMedicine&lt;/</w:instrText>
            </w:r>
            <w:r w:rsidRPr="00A60A29">
              <w:rPr>
                <w:lang w:val="en-US"/>
              </w:rPr>
              <w:instrText>secondary-title&gt;&lt;/titles&gt;&lt;volume&gt;79&lt;/volume&gt;&lt;dates&gt;&lt;year&gt;2025&lt;/year&gt;&lt;/dates&gt;&lt;isbn&gt;2589-5370&lt;/isbn&gt;&lt;urls&gt;&lt;/urls&gt;&lt;/record&gt;&lt;/Cite&gt;&lt;/EndNote&gt;</w:instrText>
            </w:r>
            <w:r w:rsidRPr="00A60A29">
              <w:rPr>
                <w:lang w:val="en-US"/>
              </w:rPr>
              <w:fldChar w:fldCharType="separate"/>
            </w:r>
            <w:r w:rsidRPr="00A60A29">
              <w:rPr>
                <w:lang w:val="en-US"/>
              </w:rPr>
              <w:t>[2]</w:t>
            </w:r>
            <w:r w:rsidRPr="00A60A29">
              <w:rPr>
                <w:lang w:val="en-US"/>
              </w:rPr>
              <w:fldChar w:fldCharType="end"/>
            </w:r>
            <w:r w:rsidRPr="00A60A29">
              <w:rPr>
                <w:lang w:val="en-US"/>
              </w:rPr>
              <w:t>.</w:t>
            </w:r>
          </w:p>
        </w:tc>
      </w:tr>
      <w:tr w:rsidR="004853FC" w:rsidRPr="00A60A29">
        <w:tc>
          <w:tcPr>
            <w:tcW w:w="0" w:type="auto"/>
          </w:tcPr>
          <w:p w:rsidR="004853FC" w:rsidRPr="00A60A29" w:rsidRDefault="00A60A29">
            <w:pPr>
              <w:tabs>
                <w:tab w:val="center" w:pos="6979"/>
              </w:tabs>
              <w:spacing w:before="48" w:after="48" w:line="360" w:lineRule="auto"/>
              <w:rPr>
                <w:rFonts w:eastAsia="SimSun"/>
                <w:lang w:val="en-US"/>
              </w:rPr>
            </w:pPr>
            <w:r w:rsidRPr="00A60A29">
              <w:rPr>
                <w:rFonts w:eastAsia="SimSun"/>
                <w:lang w:val="en-US"/>
              </w:rPr>
              <w:t>Proteins</w:t>
            </w:r>
          </w:p>
        </w:tc>
        <w:tc>
          <w:tcPr>
            <w:tcW w:w="0" w:type="auto"/>
          </w:tcPr>
          <w:p w:rsidR="004853FC" w:rsidRPr="00A60A29" w:rsidRDefault="00A60A29">
            <w:pPr>
              <w:tabs>
                <w:tab w:val="center" w:pos="6979"/>
              </w:tabs>
              <w:spacing w:before="48" w:after="48" w:line="360" w:lineRule="auto"/>
              <w:jc w:val="both"/>
              <w:rPr>
                <w:rFonts w:eastAsia="SimSun"/>
                <w:lang w:val="en-US"/>
              </w:rPr>
            </w:pPr>
            <w:r w:rsidRPr="00A60A29">
              <w:rPr>
                <w:lang w:val="en-US"/>
              </w:rPr>
              <w:t>ADAMTSL2</w:t>
            </w:r>
            <w:r w:rsidRPr="00A60A29">
              <w:rPr>
                <w:rFonts w:eastAsia="SimSun"/>
                <w:lang w:val="en-US"/>
              </w:rPr>
              <w:t xml:space="preserve">, </w:t>
            </w:r>
            <w:r w:rsidRPr="00A60A29">
              <w:rPr>
                <w:lang w:val="en-US"/>
              </w:rPr>
              <w:t>ADGRG1</w:t>
            </w:r>
            <w:r w:rsidRPr="00A60A29">
              <w:rPr>
                <w:rFonts w:eastAsia="SimSun"/>
                <w:lang w:val="en-US"/>
              </w:rPr>
              <w:t xml:space="preserve">, </w:t>
            </w:r>
            <w:r w:rsidRPr="00A60A29">
              <w:rPr>
                <w:lang w:val="en-US"/>
              </w:rPr>
              <w:t>ADIPOQ</w:t>
            </w:r>
            <w:r w:rsidRPr="00A60A29">
              <w:rPr>
                <w:rFonts w:eastAsia="SimSun"/>
                <w:lang w:val="en-US"/>
              </w:rPr>
              <w:t xml:space="preserve">, </w:t>
            </w:r>
            <w:r w:rsidRPr="00A60A29">
              <w:rPr>
                <w:lang w:val="en-US"/>
              </w:rPr>
              <w:t>APOM</w:t>
            </w:r>
            <w:r w:rsidRPr="00A60A29">
              <w:rPr>
                <w:rFonts w:eastAsia="SimSun"/>
                <w:lang w:val="en-US"/>
              </w:rPr>
              <w:t xml:space="preserve">, </w:t>
            </w:r>
            <w:r w:rsidRPr="00A60A29">
              <w:rPr>
                <w:lang w:val="en-US"/>
              </w:rPr>
              <w:t>CDH2</w:t>
            </w:r>
            <w:r w:rsidRPr="00A60A29">
              <w:rPr>
                <w:rFonts w:eastAsia="SimSun"/>
                <w:lang w:val="en-US"/>
              </w:rPr>
              <w:t xml:space="preserve">, </w:t>
            </w:r>
            <w:r w:rsidRPr="00A60A29">
              <w:rPr>
                <w:lang w:val="en-US"/>
              </w:rPr>
              <w:t>HGF</w:t>
            </w:r>
            <w:r w:rsidRPr="00A60A29">
              <w:rPr>
                <w:rFonts w:eastAsia="SimSun"/>
                <w:lang w:val="en-US"/>
              </w:rPr>
              <w:t xml:space="preserve">, </w:t>
            </w:r>
            <w:r w:rsidRPr="00A60A29">
              <w:rPr>
                <w:lang w:val="en-US"/>
              </w:rPr>
              <w:t>IGFBP1</w:t>
            </w:r>
            <w:r w:rsidRPr="00A60A29">
              <w:rPr>
                <w:rFonts w:eastAsia="SimSun"/>
                <w:lang w:val="en-US"/>
              </w:rPr>
              <w:t xml:space="preserve">, </w:t>
            </w:r>
            <w:r w:rsidRPr="00A60A29">
              <w:rPr>
                <w:lang w:val="en-US"/>
              </w:rPr>
              <w:t>IGSF3</w:t>
            </w:r>
            <w:r w:rsidRPr="00A60A29">
              <w:rPr>
                <w:rFonts w:eastAsia="SimSun"/>
                <w:lang w:val="en-US"/>
              </w:rPr>
              <w:t xml:space="preserve">, </w:t>
            </w:r>
            <w:r w:rsidRPr="00A60A29">
              <w:rPr>
                <w:lang w:val="en-US"/>
              </w:rPr>
              <w:t>IGSF9</w:t>
            </w:r>
            <w:r w:rsidRPr="00A60A29">
              <w:rPr>
                <w:rFonts w:eastAsia="SimSun"/>
                <w:lang w:val="en-US"/>
              </w:rPr>
              <w:t xml:space="preserve">, </w:t>
            </w:r>
            <w:r w:rsidRPr="00A60A29">
              <w:rPr>
                <w:lang w:val="en-US"/>
              </w:rPr>
              <w:t>IL18R1</w:t>
            </w:r>
            <w:r w:rsidRPr="00A60A29">
              <w:rPr>
                <w:rFonts w:eastAsia="SimSun"/>
                <w:lang w:val="en-US"/>
              </w:rPr>
              <w:t xml:space="preserve">, </w:t>
            </w:r>
            <w:r w:rsidRPr="00A60A29">
              <w:rPr>
                <w:lang w:val="en-US"/>
              </w:rPr>
              <w:t>IL1RN</w:t>
            </w:r>
            <w:r w:rsidRPr="00A60A29">
              <w:rPr>
                <w:rFonts w:eastAsia="SimSun"/>
                <w:lang w:val="en-US"/>
              </w:rPr>
              <w:t xml:space="preserve">, </w:t>
            </w:r>
            <w:r w:rsidRPr="00A60A29">
              <w:rPr>
                <w:lang w:val="en-US"/>
              </w:rPr>
              <w:t>LGALS4</w:t>
            </w:r>
            <w:r w:rsidRPr="00A60A29">
              <w:rPr>
                <w:rFonts w:eastAsia="SimSun" w:hint="eastAsia"/>
                <w:lang w:val="en-US"/>
              </w:rPr>
              <w:t xml:space="preserve">, PON3, RTN4R, </w:t>
            </w:r>
            <w:r w:rsidRPr="00A60A29">
              <w:rPr>
                <w:rFonts w:eastAsia="SimSun" w:hint="eastAsia"/>
                <w:lang w:val="en-US"/>
              </w:rPr>
              <w:t>TNFSF12</w:t>
            </w:r>
          </w:p>
        </w:tc>
        <w:tc>
          <w:tcPr>
            <w:tcW w:w="4121" w:type="dxa"/>
          </w:tcPr>
          <w:p w:rsidR="004853FC" w:rsidRPr="00A60A29" w:rsidRDefault="00A60A29">
            <w:pPr>
              <w:tabs>
                <w:tab w:val="center" w:pos="6979"/>
              </w:tabs>
              <w:spacing w:before="48" w:after="48" w:line="360" w:lineRule="auto"/>
              <w:rPr>
                <w:lang w:val="en-US"/>
              </w:rPr>
            </w:pPr>
            <w:r w:rsidRPr="00A60A29">
              <w:rPr>
                <w:lang w:val="en-US"/>
              </w:rPr>
              <w:t xml:space="preserve">The proteins were selected using </w:t>
            </w:r>
            <w:r w:rsidRPr="00A60A29">
              <w:rPr>
                <w:rFonts w:eastAsia="SimSun" w:hint="eastAsia"/>
                <w:lang w:val="en-US"/>
              </w:rPr>
              <w:t>bootstrap</w:t>
            </w:r>
            <w:r w:rsidRPr="00A60A29">
              <w:rPr>
                <w:lang w:val="en-US"/>
              </w:rPr>
              <w:t xml:space="preserve">-LASSO regression in </w:t>
            </w:r>
            <w:r w:rsidRPr="00A60A29">
              <w:rPr>
                <w:rFonts w:eastAsia="SimSun"/>
                <w:lang w:val="en-US"/>
              </w:rPr>
              <w:t>the</w:t>
            </w:r>
            <w:r w:rsidRPr="00A60A29">
              <w:rPr>
                <w:lang w:val="en-US"/>
              </w:rPr>
              <w:t xml:space="preserve"> UKB</w:t>
            </w:r>
            <w:r w:rsidRPr="00A60A29">
              <w:rPr>
                <w:rFonts w:eastAsia="SimSun"/>
                <w:lang w:val="en-US"/>
              </w:rPr>
              <w:t xml:space="preserve"> </w:t>
            </w:r>
            <w:r w:rsidRPr="00A60A29">
              <w:rPr>
                <w:lang w:val="en-US"/>
              </w:rPr>
              <w:t>(n=</w:t>
            </w:r>
            <w:r w:rsidRPr="00A60A29">
              <w:rPr>
                <w:rFonts w:eastAsia="SimSun" w:hint="eastAsia"/>
                <w:lang w:val="en-US"/>
              </w:rPr>
              <w:t>14</w:t>
            </w:r>
            <w:r w:rsidRPr="00A60A29">
              <w:rPr>
                <w:lang w:val="en-US"/>
              </w:rPr>
              <w:t>,</w:t>
            </w:r>
            <w:r w:rsidRPr="00A60A29">
              <w:rPr>
                <w:rFonts w:eastAsia="SimSun" w:hint="eastAsia"/>
                <w:lang w:val="en-US"/>
              </w:rPr>
              <w:t>759</w:t>
            </w:r>
            <w:r w:rsidRPr="00A60A29">
              <w:rPr>
                <w:lang w:val="en-US"/>
              </w:rPr>
              <w:t xml:space="preserve">). See previous work </w:t>
            </w:r>
            <w:r w:rsidRPr="00A60A29">
              <w:rPr>
                <w:lang w:val="en-US"/>
              </w:rPr>
              <w:fldChar w:fldCharType="begin"/>
            </w:r>
            <w:r w:rsidRPr="00A60A29">
              <w:rPr>
                <w:lang w:val="en-US"/>
              </w:rPr>
              <w:instrText xml:space="preserve"> ADDIN EN.CITE &lt;EndNote&gt;&lt;Cite&gt;&lt;Author&gt;Xie&lt;/Author&gt;&lt;Year&gt;2025&lt;/Year&gt;&lt;RecNum&gt;1254&lt;/RecNum&gt;&lt;DisplayText&gt;[3]&lt;/DisplayText&gt;&lt;record&gt;&lt;rec-number&gt;1254&lt;/rec</w:instrText>
            </w:r>
            <w:r w:rsidRPr="00A60A29">
              <w:rPr>
                <w:lang w:val="en-US"/>
              </w:rPr>
              <w:instrText>-number&gt;&lt;foreign-keys&gt;&lt;key app="EN" db-id="02v0swwfua55xjed5tspt5fu2t9rw5dv09va" timestamp="1743971541"&gt;1254&lt;/key&gt;&lt;/foreign-keys&gt;&lt;ref-type name="Journal Article"&gt;17&lt;/ref-type&gt;&lt;contributors&gt;&lt;authors&gt;&lt;author&gt;Xie, R.&lt;/author&gt;&lt;author&gt;Vlaski, T.&lt;/author&gt;&lt;author</w:instrText>
            </w:r>
            <w:r w:rsidRPr="00A60A29">
              <w:rPr>
                <w:lang w:val="en-US"/>
              </w:rPr>
              <w:instrText>&gt;Trares, K.&lt;/author&gt;&lt;author&gt;Herder, C.&lt;/author&gt;&lt;author&gt;Holleczek, B.&lt;/author&gt;&lt;author&gt;Brenner, H.&lt;/author&gt;&lt;author&gt;Schöttker, B.&lt;/author&gt;&lt;/authors&gt;&lt;/contributors&gt;&lt;auth-address&gt;Division of Clinical Epidemiology and Aging Research, German Cancer Research Cente</w:instrText>
            </w:r>
            <w:r w:rsidRPr="00A60A29">
              <w:rPr>
                <w:lang w:val="en-US"/>
              </w:rPr>
              <w:instrText>r, Heidelberg, Germany.&amp;#xD;Faculty of Medicine, Heidelberg University, Heidelberg, Germany.&amp;#xD;Institute for Clinical Diabetology, German Diabetes Center, Leibniz Center for Diabetes Research at Heinrich Heine University Düsseldorf, Düsseldorf, Germany.&amp;</w:instrText>
            </w:r>
            <w:r w:rsidRPr="00A60A29">
              <w:rPr>
                <w:lang w:val="en-US"/>
              </w:rPr>
              <w:instrText>#xD;Partner Düsseldorf, German Center for Diabetes Research, Düsseldorf, Germany.&amp;#xD;Department of Endocrinology and Diabetology, Medical Faculty and University Hospital Düsseldorf, Heinrich Heine University Düsseldorf, Düsseldorf, Germany.&amp;#xD;Saarland C</w:instrText>
            </w:r>
            <w:r w:rsidRPr="00A60A29">
              <w:rPr>
                <w:lang w:val="en-US"/>
              </w:rPr>
              <w:instrText>ancer Registry, Saarbrücken, Germany.&amp;#xD;Network Aging Research, Heidelberg University, Heidelberg, Germany.&lt;/auth-address&gt;&lt;titles&gt;&lt;title&gt;Large-Scale Proteomics Improve Risk Prediction for Type 2 Diabetes&lt;/title&gt;&lt;secondary-title&gt;Diabetes Care&lt;/secondary-t</w:instrText>
            </w:r>
            <w:r w:rsidRPr="00A60A29">
              <w:rPr>
                <w:lang w:val="en-US"/>
              </w:rPr>
              <w:instrText>itle&gt;&lt;/titles&gt;&lt;periodical&gt;&lt;full-title&gt;Diabetes Care&lt;/full-title&gt;&lt;abbr-1&gt;Diabetes Care&lt;/abbr-1&gt;&lt;abbr-2&gt;Diabetes Care&lt;/abbr-2&gt;&lt;/periodical&gt;&lt;edition&gt;2025/04/03&lt;/edition&gt;&lt;dates&gt;&lt;year&gt;2025&lt;/year&gt;&lt;pub-dates&gt;&lt;date&gt;Apr 3&lt;/date&gt;&lt;/pub-dates&gt;&lt;/dates&gt;&lt;isbn&gt;0149-5992&lt;/</w:instrText>
            </w:r>
            <w:r w:rsidRPr="00A60A29">
              <w:rPr>
                <w:lang w:val="en-US"/>
              </w:rPr>
              <w:instrText>isbn&gt;&lt;accession-num&gt;40178901&lt;/accession-num&gt;&lt;urls&gt;&lt;/urls&gt;&lt;electronic-resource-num&gt;10.2337/dc24-2478&lt;/electronic-resource-num&gt;&lt;remote-database-provider&gt;NLM&lt;/remote-database-provider&gt;&lt;language&gt;eng&lt;/language&gt;&lt;/record&gt;&lt;/Cite&gt;&lt;/EndNote&gt;</w:instrText>
            </w:r>
            <w:r w:rsidRPr="00A60A29">
              <w:rPr>
                <w:lang w:val="en-US"/>
              </w:rPr>
              <w:fldChar w:fldCharType="separate"/>
            </w:r>
            <w:r w:rsidRPr="00A60A29">
              <w:rPr>
                <w:lang w:val="en-US"/>
              </w:rPr>
              <w:t>[3]</w:t>
            </w:r>
            <w:r w:rsidRPr="00A60A29">
              <w:rPr>
                <w:lang w:val="en-US"/>
              </w:rPr>
              <w:fldChar w:fldCharType="end"/>
            </w:r>
            <w:r w:rsidRPr="00A60A29">
              <w:rPr>
                <w:lang w:val="en-US"/>
              </w:rPr>
              <w:t>.</w:t>
            </w:r>
          </w:p>
        </w:tc>
      </w:tr>
    </w:tbl>
    <w:p w:rsidR="004853FC" w:rsidRPr="00A60A29" w:rsidRDefault="00A60A29">
      <w:pPr>
        <w:tabs>
          <w:tab w:val="center" w:pos="6979"/>
        </w:tabs>
        <w:spacing w:before="48" w:after="48" w:line="360" w:lineRule="auto"/>
        <w:rPr>
          <w:sz w:val="21"/>
          <w:szCs w:val="21"/>
          <w:lang w:val="en-US"/>
        </w:rPr>
      </w:pPr>
      <w:r w:rsidRPr="00A60A29">
        <w:rPr>
          <w:sz w:val="21"/>
          <w:szCs w:val="21"/>
          <w:lang w:val="en-US"/>
        </w:rPr>
        <w:t>Metabolites were</w:t>
      </w:r>
      <w:r w:rsidRPr="00A60A29">
        <w:rPr>
          <w:sz w:val="21"/>
          <w:szCs w:val="21"/>
          <w:lang w:val="en-US"/>
        </w:rPr>
        <w:t xml:space="preserve"> quantified from EDTA plasma using nuclear magnetic resonance spectroscopy, and proteins were measured from EDTA plasma using Olink proximity extension assays.</w:t>
      </w:r>
    </w:p>
    <w:p w:rsidR="004853FC" w:rsidRPr="00A60A29" w:rsidRDefault="00A60A29">
      <w:pPr>
        <w:tabs>
          <w:tab w:val="center" w:pos="6979"/>
        </w:tabs>
        <w:spacing w:before="48" w:after="48" w:line="360" w:lineRule="auto"/>
        <w:rPr>
          <w:sz w:val="21"/>
          <w:szCs w:val="21"/>
          <w:lang w:val="en-US"/>
        </w:rPr>
      </w:pPr>
      <w:r w:rsidRPr="00A60A29">
        <w:rPr>
          <w:b/>
          <w:bCs/>
          <w:sz w:val="21"/>
          <w:szCs w:val="21"/>
          <w:lang w:val="en-US"/>
        </w:rPr>
        <w:t>Abbreviations:</w:t>
      </w:r>
      <w:r w:rsidRPr="00A60A29">
        <w:rPr>
          <w:sz w:val="21"/>
          <w:szCs w:val="21"/>
          <w:lang w:val="en-US"/>
        </w:rPr>
        <w:t xml:space="preserve"> ADAMTSL2, A disintegrin and metalloproteinase with thrombospondin repeats–like 2;</w:t>
      </w:r>
      <w:r w:rsidRPr="00A60A29">
        <w:rPr>
          <w:sz w:val="21"/>
          <w:szCs w:val="21"/>
          <w:lang w:val="en-US"/>
        </w:rPr>
        <w:t xml:space="preserve"> ADGRG1, Adhesion G-protein coupled receptor G1; CDH2, Cadherin-2; CDRS, Cambridge Diabetes Risk Score; HGF, Hepatocyte growth factor; IDL-CE-pct, cholesteryl esters to total lipids in IDL percentage; IGFBP1, Insulin-like growth factor-binding protein 1; I</w:t>
      </w:r>
      <w:r w:rsidRPr="00A60A29">
        <w:rPr>
          <w:sz w:val="21"/>
          <w:szCs w:val="21"/>
          <w:lang w:val="en-US"/>
        </w:rPr>
        <w:t>GSF, Immunoglobulin superfamily member; IL1RN, Interleukin-1 receptor antagonist ; IL18R1, Interleukin-18 receptor 1; LA-pct, linoleic acid to total fatty acids percentage; M-LDL-TG-pct, triglycerides to total lipids in medium LDL percentage; PON3, paraoxo</w:t>
      </w:r>
      <w:r w:rsidRPr="00A60A29">
        <w:rPr>
          <w:sz w:val="21"/>
          <w:szCs w:val="21"/>
          <w:lang w:val="en-US"/>
        </w:rPr>
        <w:t>nase/lactonase 3;</w:t>
      </w:r>
      <w:r w:rsidRPr="00A60A29">
        <w:rPr>
          <w:rFonts w:eastAsia="SimSun" w:hint="eastAsia"/>
          <w:sz w:val="21"/>
          <w:szCs w:val="21"/>
          <w:lang w:val="en-US"/>
        </w:rPr>
        <w:t xml:space="preserve"> </w:t>
      </w:r>
      <w:r w:rsidRPr="00A60A29">
        <w:rPr>
          <w:rFonts w:eastAsia="SimSun"/>
          <w:sz w:val="21"/>
          <w:szCs w:val="21"/>
          <w:lang w:val="en-US"/>
        </w:rPr>
        <w:t>PRS, polygenic risk score;</w:t>
      </w:r>
      <w:r w:rsidRPr="00A60A29">
        <w:rPr>
          <w:sz w:val="21"/>
          <w:szCs w:val="21"/>
          <w:lang w:val="en-US"/>
        </w:rPr>
        <w:t xml:space="preserve"> RTN4R, Reticulon-4 receptor; </w:t>
      </w:r>
      <w:r w:rsidRPr="00A60A29">
        <w:rPr>
          <w:rFonts w:eastAsia="SimSun" w:hint="eastAsia"/>
          <w:sz w:val="21"/>
          <w:szCs w:val="21"/>
          <w:lang w:val="en-US"/>
        </w:rPr>
        <w:t xml:space="preserve">T2D, type 2 diabetes; T2D-PRS, </w:t>
      </w:r>
      <w:r w:rsidRPr="00A60A29">
        <w:rPr>
          <w:sz w:val="21"/>
          <w:szCs w:val="21"/>
          <w:lang w:val="en-US"/>
        </w:rPr>
        <w:t>polygenic risk score</w:t>
      </w:r>
      <w:r w:rsidRPr="00A60A29">
        <w:rPr>
          <w:rFonts w:hint="eastAsia"/>
          <w:sz w:val="21"/>
          <w:szCs w:val="21"/>
          <w:lang w:val="en-US"/>
        </w:rPr>
        <w:t xml:space="preserve"> for</w:t>
      </w:r>
      <w:r w:rsidRPr="00A60A29">
        <w:rPr>
          <w:sz w:val="21"/>
          <w:szCs w:val="21"/>
          <w:lang w:val="en-US"/>
        </w:rPr>
        <w:t xml:space="preserve"> type 2 diabetes</w:t>
      </w:r>
      <w:r w:rsidRPr="00A60A29">
        <w:rPr>
          <w:rFonts w:eastAsia="SimSun" w:hint="eastAsia"/>
          <w:sz w:val="21"/>
          <w:szCs w:val="21"/>
          <w:lang w:val="en-US"/>
        </w:rPr>
        <w:t>; TNFSF12</w:t>
      </w:r>
      <w:r w:rsidRPr="00A60A29">
        <w:rPr>
          <w:sz w:val="21"/>
          <w:szCs w:val="21"/>
          <w:lang w:val="en-US"/>
        </w:rPr>
        <w:t>, TNF-related weak inducer of apoptosis.</w:t>
      </w:r>
    </w:p>
    <w:p w:rsidR="004853FC" w:rsidRPr="00A60A29" w:rsidRDefault="00A60A29">
      <w:pPr>
        <w:rPr>
          <w:sz w:val="21"/>
          <w:szCs w:val="21"/>
          <w:lang w:val="en-US"/>
        </w:rPr>
      </w:pPr>
      <w:r w:rsidRPr="00A60A29">
        <w:rPr>
          <w:sz w:val="21"/>
          <w:szCs w:val="21"/>
          <w:lang w:val="en-US"/>
        </w:rPr>
        <w:br w:type="page"/>
      </w:r>
    </w:p>
    <w:p w:rsidR="004853FC" w:rsidRPr="00A60A29" w:rsidRDefault="00A60A29">
      <w:pPr>
        <w:spacing w:after="48"/>
        <w:outlineLvl w:val="0"/>
        <w:rPr>
          <w:sz w:val="22"/>
          <w:szCs w:val="22"/>
          <w:lang w:val="en-US"/>
        </w:rPr>
      </w:pPr>
      <w:bookmarkStart w:id="4" w:name="_Toc12484"/>
      <w:r w:rsidRPr="00A60A29">
        <w:rPr>
          <w:b/>
          <w:sz w:val="22"/>
          <w:szCs w:val="22"/>
          <w:lang w:val="en-US"/>
        </w:rPr>
        <w:lastRenderedPageBreak/>
        <w:t xml:space="preserve">Supplemental Table S2. </w:t>
      </w:r>
      <w:r w:rsidRPr="00A60A29">
        <w:rPr>
          <w:sz w:val="22"/>
          <w:szCs w:val="22"/>
          <w:lang w:val="en-US"/>
        </w:rPr>
        <w:t xml:space="preserve">Diagnosis and medication codes used </w:t>
      </w:r>
      <w:r w:rsidRPr="00A60A29">
        <w:rPr>
          <w:sz w:val="22"/>
          <w:szCs w:val="22"/>
          <w:lang w:val="en-US"/>
        </w:rPr>
        <w:t>for ascertainment of incident type 2 diabetes in the UK Biobank</w:t>
      </w:r>
      <w:bookmarkEnd w:id="4"/>
    </w:p>
    <w:tbl>
      <w:tblPr>
        <w:tblW w:w="0" w:type="auto"/>
        <w:jc w:val="center"/>
        <w:tblLook w:val="04A0" w:firstRow="1" w:lastRow="0" w:firstColumn="1" w:lastColumn="0" w:noHBand="0" w:noVBand="1"/>
      </w:tblPr>
      <w:tblGrid>
        <w:gridCol w:w="3098"/>
        <w:gridCol w:w="1701"/>
        <w:gridCol w:w="5667"/>
      </w:tblGrid>
      <w:tr w:rsidR="004853FC" w:rsidRPr="00A60A29">
        <w:trPr>
          <w:jc w:val="center"/>
        </w:trPr>
        <w:tc>
          <w:tcPr>
            <w:tcW w:w="3100" w:type="dxa"/>
            <w:tcBorders>
              <w:top w:val="single" w:sz="12" w:space="0" w:color="000000"/>
              <w:left w:val="nil"/>
              <w:bottom w:val="single" w:sz="12" w:space="0" w:color="000000"/>
              <w:right w:val="nil"/>
            </w:tcBorders>
          </w:tcPr>
          <w:p w:rsidR="004853FC" w:rsidRPr="00A60A29" w:rsidRDefault="00A60A29">
            <w:pPr>
              <w:spacing w:before="48" w:after="48"/>
              <w:rPr>
                <w:sz w:val="22"/>
                <w:szCs w:val="22"/>
              </w:rPr>
            </w:pPr>
            <w:r w:rsidRPr="00A60A29">
              <w:rPr>
                <w:b/>
                <w:sz w:val="22"/>
                <w:szCs w:val="22"/>
              </w:rPr>
              <w:t>Data source</w:t>
            </w:r>
          </w:p>
        </w:tc>
        <w:tc>
          <w:tcPr>
            <w:tcW w:w="1701" w:type="dxa"/>
            <w:tcBorders>
              <w:top w:val="single" w:sz="12" w:space="0" w:color="000000"/>
              <w:left w:val="nil"/>
              <w:bottom w:val="single" w:sz="12" w:space="0" w:color="000000"/>
              <w:right w:val="nil"/>
            </w:tcBorders>
          </w:tcPr>
          <w:p w:rsidR="004853FC" w:rsidRPr="00A60A29" w:rsidRDefault="00A60A29">
            <w:pPr>
              <w:spacing w:before="48" w:after="48"/>
              <w:rPr>
                <w:sz w:val="22"/>
                <w:szCs w:val="22"/>
              </w:rPr>
            </w:pPr>
            <w:r w:rsidRPr="00A60A29">
              <w:rPr>
                <w:b/>
                <w:sz w:val="22"/>
                <w:szCs w:val="22"/>
              </w:rPr>
              <w:t>Code format</w:t>
            </w:r>
          </w:p>
        </w:tc>
        <w:tc>
          <w:tcPr>
            <w:tcW w:w="5669" w:type="dxa"/>
            <w:tcBorders>
              <w:top w:val="single" w:sz="12" w:space="0" w:color="000000"/>
              <w:left w:val="nil"/>
              <w:bottom w:val="single" w:sz="12" w:space="0" w:color="000000"/>
              <w:right w:val="nil"/>
            </w:tcBorders>
          </w:tcPr>
          <w:p w:rsidR="004853FC" w:rsidRPr="00A60A29" w:rsidRDefault="00A60A29">
            <w:pPr>
              <w:spacing w:before="48" w:after="48"/>
              <w:rPr>
                <w:sz w:val="22"/>
                <w:szCs w:val="22"/>
              </w:rPr>
            </w:pPr>
            <w:r w:rsidRPr="00A60A29">
              <w:rPr>
                <w:b/>
                <w:sz w:val="22"/>
                <w:szCs w:val="22"/>
              </w:rPr>
              <w:t>Codes</w:t>
            </w:r>
          </w:p>
        </w:tc>
      </w:tr>
      <w:tr w:rsidR="004853FC" w:rsidRPr="00A60A29">
        <w:trPr>
          <w:jc w:val="center"/>
        </w:trPr>
        <w:tc>
          <w:tcPr>
            <w:tcW w:w="10470" w:type="dxa"/>
            <w:gridSpan w:val="3"/>
            <w:tcBorders>
              <w:top w:val="nil"/>
              <w:left w:val="nil"/>
              <w:bottom w:val="single" w:sz="4" w:space="0" w:color="000000"/>
              <w:right w:val="nil"/>
            </w:tcBorders>
          </w:tcPr>
          <w:p w:rsidR="004853FC" w:rsidRPr="00A60A29" w:rsidRDefault="00A60A29">
            <w:pPr>
              <w:spacing w:before="48" w:after="48"/>
              <w:rPr>
                <w:sz w:val="22"/>
                <w:szCs w:val="22"/>
              </w:rPr>
            </w:pPr>
            <w:r w:rsidRPr="00A60A29">
              <w:rPr>
                <w:b/>
                <w:i/>
                <w:sz w:val="22"/>
                <w:szCs w:val="22"/>
              </w:rPr>
              <w:t>Diagnosis codes</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Hospital inpatient data</w:t>
            </w:r>
            <w:r w:rsidRPr="00A60A29">
              <w:rPr>
                <w:sz w:val="22"/>
                <w:szCs w:val="22"/>
                <w:lang w:val="en-US"/>
              </w:rPr>
              <w:br/>
              <w:t>(Hospital Episode Statistics)</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ICD-10</w:t>
            </w:r>
          </w:p>
        </w:tc>
        <w:tc>
          <w:tcPr>
            <w:tcW w:w="5669"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E11 (Type 2 diabetes mellitus), E11.0–E11.9 (all subcodes)</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Death registry</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ICD-10</w:t>
            </w:r>
          </w:p>
        </w:tc>
        <w:tc>
          <w:tcPr>
            <w:tcW w:w="5669"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E11 (Type 2 diabetes mellitus), E11.0–E11.9 (all subcodes)</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Primary care</w:t>
            </w:r>
            <w:r w:rsidRPr="00A60A29">
              <w:rPr>
                <w:sz w:val="22"/>
                <w:szCs w:val="22"/>
                <w:lang w:val="en-US"/>
              </w:rPr>
              <w:br/>
              <w:t>(General Practice records)</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Read v2</w:t>
            </w:r>
          </w:p>
        </w:tc>
        <w:tc>
          <w:tcPr>
            <w:tcW w:w="5669"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C1001, C1011, C1021, C1031, C1041, C1051, C1061, C1071, C1074, C109., C1090–C1099, C109A–C109K, C10F., C10F0–C10F9, C10FA–C10FR, C10P1, C10y1, C10z1</w:t>
            </w:r>
            <w:r w:rsidRPr="00A60A29">
              <w:rPr>
                <w:sz w:val="22"/>
                <w:szCs w:val="22"/>
              </w:rPr>
              <w:t>, L1806, L180B</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Primary care</w:t>
            </w:r>
            <w:r w:rsidRPr="00A60A29">
              <w:rPr>
                <w:sz w:val="22"/>
                <w:szCs w:val="22"/>
                <w:lang w:val="en-US"/>
              </w:rPr>
              <w:br/>
              <w:t>(General Practice records)</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Read CTV3</w:t>
            </w:r>
          </w:p>
        </w:tc>
        <w:tc>
          <w:tcPr>
            <w:tcW w:w="5669"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66A3., C1001, C1011, C1021, C1031, C1041, C1051, C1061, C1071, C1074, C109., C1090–C1097, C10y1, C10z1, L1806, X40J6, XaagF, XacsX, XacsY, XaELQ, XaEnp, XaEn9, XaF05, XaFm4, XaFn7, XaFn8, Xa</w:t>
            </w:r>
            <w:r w:rsidRPr="00A60A29">
              <w:rPr>
                <w:sz w:val="22"/>
                <w:szCs w:val="22"/>
              </w:rPr>
              <w:t>Fn9, XaFWi, XaIfG, XaIfl, XaIzQ, XaIzR, XaJQp, XaKyX, XaXZR, XE10F, XE12A, XM19j</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Self-report</w:t>
            </w:r>
            <w:r w:rsidRPr="00A60A29">
              <w:rPr>
                <w:sz w:val="22"/>
                <w:szCs w:val="22"/>
              </w:rPr>
              <w:br/>
              <w:t>(UK Biobank verbal interview)</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UKB coding</w:t>
            </w:r>
          </w:p>
        </w:tc>
        <w:tc>
          <w:tcPr>
            <w:tcW w:w="5669"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Data-Field 20002, coding 1223 (type 2 diabetes)</w:t>
            </w:r>
          </w:p>
        </w:tc>
      </w:tr>
      <w:tr w:rsidR="004853FC" w:rsidRPr="00A60A29">
        <w:trPr>
          <w:jc w:val="center"/>
        </w:trPr>
        <w:tc>
          <w:tcPr>
            <w:tcW w:w="10470" w:type="dxa"/>
            <w:gridSpan w:val="3"/>
            <w:tcBorders>
              <w:top w:val="single" w:sz="4" w:space="0" w:color="000000"/>
              <w:left w:val="nil"/>
              <w:bottom w:val="single" w:sz="4" w:space="0" w:color="000000"/>
              <w:right w:val="nil"/>
            </w:tcBorders>
          </w:tcPr>
          <w:p w:rsidR="004853FC" w:rsidRPr="00A60A29" w:rsidRDefault="00A60A29">
            <w:pPr>
              <w:spacing w:before="48" w:after="48"/>
              <w:rPr>
                <w:sz w:val="22"/>
                <w:szCs w:val="22"/>
              </w:rPr>
            </w:pPr>
            <w:r w:rsidRPr="00A60A29">
              <w:rPr>
                <w:b/>
                <w:i/>
                <w:sz w:val="22"/>
                <w:szCs w:val="22"/>
              </w:rPr>
              <w:t>Glucose-lowering medication codes</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Primary care</w:t>
            </w:r>
            <w:r w:rsidRPr="00A60A29">
              <w:rPr>
                <w:sz w:val="22"/>
                <w:szCs w:val="22"/>
                <w:lang w:val="en-US"/>
              </w:rPr>
              <w:br/>
              <w:t xml:space="preserve">(GP prescription </w:t>
            </w:r>
            <w:r w:rsidRPr="00A60A29">
              <w:rPr>
                <w:sz w:val="22"/>
                <w:szCs w:val="22"/>
                <w:lang w:val="en-US"/>
              </w:rPr>
              <w:t>records)</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BNF chapter 6.1.1</w:t>
            </w:r>
            <w:r w:rsidRPr="00A60A29">
              <w:rPr>
                <w:sz w:val="22"/>
                <w:szCs w:val="22"/>
              </w:rPr>
              <w:br/>
              <w:t>(Insulins)</w:t>
            </w:r>
          </w:p>
        </w:tc>
        <w:tc>
          <w:tcPr>
            <w:tcW w:w="5669"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BNF codes: 060101xxxx</w:t>
            </w:r>
            <w:r w:rsidRPr="00A60A29">
              <w:rPr>
                <w:sz w:val="22"/>
                <w:szCs w:val="22"/>
                <w:lang w:val="en-US"/>
              </w:rPr>
              <w:br/>
              <w:t>Including all insulin preparations (human insulins, insulin analogues)</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Primary care</w:t>
            </w:r>
            <w:r w:rsidRPr="00A60A29">
              <w:rPr>
                <w:sz w:val="22"/>
                <w:szCs w:val="22"/>
                <w:lang w:val="en-US"/>
              </w:rPr>
              <w:br/>
              <w:t>(GP prescription records)</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BNF chapter 6.1.2</w:t>
            </w:r>
            <w:r w:rsidRPr="00A60A29">
              <w:rPr>
                <w:sz w:val="22"/>
                <w:szCs w:val="22"/>
              </w:rPr>
              <w:br/>
              <w:t>(Antidiabetic drugs)</w:t>
            </w:r>
          </w:p>
        </w:tc>
        <w:tc>
          <w:tcPr>
            <w:tcW w:w="5669"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BNF codes: 060102xxxx</w:t>
            </w:r>
            <w:r w:rsidRPr="00A60A29">
              <w:rPr>
                <w:sz w:val="22"/>
                <w:szCs w:val="22"/>
              </w:rPr>
              <w:br/>
              <w:t>Including: biguanides (m</w:t>
            </w:r>
            <w:r w:rsidRPr="00A60A29">
              <w:rPr>
                <w:sz w:val="22"/>
                <w:szCs w:val="22"/>
              </w:rPr>
              <w:t>etformin), sulfonylureas (glibenclamide, gliclazide, glimepiride, glipizide, tolbutamide), alpha-glucosidase inhibitors (acarbose), thiazolidinediones (pioglitazone), DPP-4 inhibitors (sitagliptin, vildagliptin, saxagliptin, linagliptin, alogliptin), GLP-1</w:t>
            </w:r>
            <w:r w:rsidRPr="00A60A29">
              <w:rPr>
                <w:sz w:val="22"/>
                <w:szCs w:val="22"/>
              </w:rPr>
              <w:t xml:space="preserve"> receptor agonists (exenatide, liraglutide, lixisenatide, dulaglutide, semaglutide), SGLT2 inhibitors (dapagliflozin, canagliflozin, empagliflozin), meglitinides (repaglinide, nateglinide)</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Primary care</w:t>
            </w:r>
            <w:r w:rsidRPr="00A60A29">
              <w:rPr>
                <w:sz w:val="22"/>
                <w:szCs w:val="22"/>
                <w:lang w:val="en-US"/>
              </w:rPr>
              <w:br/>
              <w:t>(GP prescription records)</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Read v2 / CTV3</w:t>
            </w:r>
          </w:p>
        </w:tc>
        <w:tc>
          <w:tcPr>
            <w:tcW w:w="5669"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 xml:space="preserve">All codes </w:t>
            </w:r>
            <w:r w:rsidRPr="00A60A29">
              <w:rPr>
                <w:sz w:val="22"/>
                <w:szCs w:val="22"/>
                <w:lang w:val="en-US"/>
              </w:rPr>
              <w:t>under the hierarchy f1... (Antidiabetic drugs)</w:t>
            </w:r>
            <w:r w:rsidRPr="00A60A29">
              <w:rPr>
                <w:sz w:val="22"/>
                <w:szCs w:val="22"/>
                <w:lang w:val="en-US"/>
              </w:rPr>
              <w:br/>
              <w:t>Including: f11.. (Insulins), f12.. (Sulfonylureas), f13.. (Biguanides), f14.. (Other antidiabetics), and all sub-codes</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Self-report</w:t>
            </w:r>
            <w:r w:rsidRPr="00A60A29">
              <w:rPr>
                <w:sz w:val="22"/>
                <w:szCs w:val="22"/>
              </w:rPr>
              <w:br/>
              <w:t>(UK Biobank verbal interview)</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UKB coding</w:t>
            </w:r>
          </w:p>
        </w:tc>
        <w:tc>
          <w:tcPr>
            <w:tcW w:w="5669"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Data-Field 20003 (Treatment/medicati</w:t>
            </w:r>
            <w:r w:rsidRPr="00A60A29">
              <w:rPr>
                <w:sz w:val="22"/>
                <w:szCs w:val="22"/>
                <w:lang w:val="en-US"/>
              </w:rPr>
              <w:t>on code)</w:t>
            </w:r>
            <w:r w:rsidRPr="00A60A29">
              <w:rPr>
                <w:sz w:val="22"/>
                <w:szCs w:val="22"/>
                <w:lang w:val="en-US"/>
              </w:rPr>
              <w:br/>
              <w:t>Codes: 1140857494 (metformin), 1140874646 (gliclazide), 1140874674 (glimepiride), 1140874744 (pioglitazone), 1140868902 (insulin product), and all other glucose-lowering medication codes from UKB coding 4</w:t>
            </w:r>
          </w:p>
        </w:tc>
      </w:tr>
      <w:tr w:rsidR="004853FC" w:rsidRPr="00A60A29">
        <w:trPr>
          <w:jc w:val="center"/>
        </w:trPr>
        <w:tc>
          <w:tcPr>
            <w:tcW w:w="10470" w:type="dxa"/>
            <w:gridSpan w:val="3"/>
            <w:tcBorders>
              <w:top w:val="single" w:sz="4" w:space="0" w:color="000000"/>
              <w:left w:val="nil"/>
              <w:bottom w:val="single" w:sz="4" w:space="0" w:color="000000"/>
              <w:right w:val="nil"/>
            </w:tcBorders>
          </w:tcPr>
          <w:p w:rsidR="004853FC" w:rsidRPr="00A60A29" w:rsidRDefault="00A60A29">
            <w:pPr>
              <w:spacing w:before="48" w:after="48"/>
              <w:rPr>
                <w:sz w:val="22"/>
                <w:szCs w:val="22"/>
              </w:rPr>
            </w:pPr>
            <w:r w:rsidRPr="00A60A29">
              <w:rPr>
                <w:b/>
                <w:i/>
                <w:sz w:val="22"/>
                <w:szCs w:val="22"/>
              </w:rPr>
              <w:t>Exclusion codes for other diabetes types</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Hospital inpatient data /</w:t>
            </w:r>
            <w:r w:rsidRPr="00A60A29">
              <w:rPr>
                <w:sz w:val="22"/>
                <w:szCs w:val="22"/>
                <w:lang w:val="en-US"/>
              </w:rPr>
              <w:br/>
              <w:t>Death registry</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ICD-10</w:t>
            </w:r>
          </w:p>
        </w:tc>
        <w:tc>
          <w:tcPr>
            <w:tcW w:w="5669"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E10 (Type 1 diabetes mellitus), E12 (Malnutrition-related diabetes mellitus), E13 (Other specified diabetes mellitus), E14 (Unspecified diabetes mellitus), O24 (Diabetes mellitus in pregnancy)</w:t>
            </w:r>
          </w:p>
        </w:tc>
      </w:tr>
      <w:tr w:rsidR="004853FC" w:rsidRPr="00A60A29">
        <w:trPr>
          <w:jc w:val="center"/>
        </w:trPr>
        <w:tc>
          <w:tcPr>
            <w:tcW w:w="3100"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Primary care</w:t>
            </w:r>
          </w:p>
        </w:tc>
        <w:tc>
          <w:tcPr>
            <w:tcW w:w="1701" w:type="dxa"/>
            <w:tcBorders>
              <w:top w:val="nil"/>
              <w:left w:val="nil"/>
              <w:bottom w:val="nil"/>
              <w:right w:val="nil"/>
            </w:tcBorders>
          </w:tcPr>
          <w:p w:rsidR="004853FC" w:rsidRPr="00A60A29" w:rsidRDefault="00A60A29">
            <w:pPr>
              <w:spacing w:before="48" w:after="48"/>
              <w:rPr>
                <w:sz w:val="22"/>
                <w:szCs w:val="22"/>
              </w:rPr>
            </w:pPr>
            <w:r w:rsidRPr="00A60A29">
              <w:rPr>
                <w:sz w:val="22"/>
                <w:szCs w:val="22"/>
              </w:rPr>
              <w:t>Read v2 / CTV3</w:t>
            </w:r>
          </w:p>
        </w:tc>
        <w:tc>
          <w:tcPr>
            <w:tcW w:w="5669" w:type="dxa"/>
            <w:tcBorders>
              <w:top w:val="nil"/>
              <w:left w:val="nil"/>
              <w:bottom w:val="nil"/>
              <w:right w:val="nil"/>
            </w:tcBorders>
          </w:tcPr>
          <w:p w:rsidR="004853FC" w:rsidRPr="00A60A29" w:rsidRDefault="00A60A29">
            <w:pPr>
              <w:spacing w:before="48" w:after="48"/>
              <w:rPr>
                <w:sz w:val="22"/>
                <w:szCs w:val="22"/>
                <w:lang w:val="en-US"/>
              </w:rPr>
            </w:pPr>
            <w:r w:rsidRPr="00A60A29">
              <w:rPr>
                <w:sz w:val="22"/>
                <w:szCs w:val="22"/>
                <w:lang w:val="en-US"/>
              </w:rPr>
              <w:t>Codes corresponding to type 1 diabetes, gestational diabetes, and other specified diabetes types</w:t>
            </w:r>
          </w:p>
        </w:tc>
      </w:tr>
      <w:tr w:rsidR="004853FC" w:rsidRPr="00A60A29">
        <w:trPr>
          <w:jc w:val="center"/>
        </w:trPr>
        <w:tc>
          <w:tcPr>
            <w:tcW w:w="3100" w:type="dxa"/>
            <w:tcBorders>
              <w:top w:val="nil"/>
              <w:left w:val="nil"/>
              <w:bottom w:val="single" w:sz="12" w:space="0" w:color="000000"/>
              <w:right w:val="nil"/>
            </w:tcBorders>
          </w:tcPr>
          <w:p w:rsidR="004853FC" w:rsidRPr="00A60A29" w:rsidRDefault="00A60A29">
            <w:pPr>
              <w:spacing w:before="48" w:after="48"/>
              <w:rPr>
                <w:sz w:val="22"/>
                <w:szCs w:val="22"/>
              </w:rPr>
            </w:pPr>
            <w:r w:rsidRPr="00A60A29">
              <w:rPr>
                <w:sz w:val="22"/>
                <w:szCs w:val="22"/>
              </w:rPr>
              <w:t>Self-report</w:t>
            </w:r>
          </w:p>
        </w:tc>
        <w:tc>
          <w:tcPr>
            <w:tcW w:w="1701" w:type="dxa"/>
            <w:tcBorders>
              <w:top w:val="nil"/>
              <w:left w:val="nil"/>
              <w:bottom w:val="single" w:sz="12" w:space="0" w:color="000000"/>
              <w:right w:val="nil"/>
            </w:tcBorders>
          </w:tcPr>
          <w:p w:rsidR="004853FC" w:rsidRPr="00A60A29" w:rsidRDefault="00A60A29">
            <w:pPr>
              <w:spacing w:before="48" w:after="48"/>
              <w:rPr>
                <w:sz w:val="22"/>
                <w:szCs w:val="22"/>
              </w:rPr>
            </w:pPr>
            <w:r w:rsidRPr="00A60A29">
              <w:rPr>
                <w:sz w:val="22"/>
                <w:szCs w:val="22"/>
              </w:rPr>
              <w:t>UKB coding</w:t>
            </w:r>
          </w:p>
        </w:tc>
        <w:tc>
          <w:tcPr>
            <w:tcW w:w="5669" w:type="dxa"/>
            <w:tcBorders>
              <w:top w:val="nil"/>
              <w:left w:val="nil"/>
              <w:bottom w:val="single" w:sz="12" w:space="0" w:color="000000"/>
              <w:right w:val="nil"/>
            </w:tcBorders>
          </w:tcPr>
          <w:p w:rsidR="004853FC" w:rsidRPr="00A60A29" w:rsidRDefault="00A60A29">
            <w:pPr>
              <w:spacing w:before="48" w:after="48"/>
              <w:rPr>
                <w:sz w:val="22"/>
                <w:szCs w:val="22"/>
                <w:lang w:val="en-US"/>
              </w:rPr>
            </w:pPr>
            <w:r w:rsidRPr="00A60A29">
              <w:rPr>
                <w:sz w:val="22"/>
                <w:szCs w:val="22"/>
                <w:lang w:val="en-US"/>
              </w:rPr>
              <w:t>Data-Field 20002, coding 1222 (type 1 diabetes); Data-Field 20002, coding 1521 (gestational diabetes)</w:t>
            </w:r>
          </w:p>
        </w:tc>
      </w:tr>
    </w:tbl>
    <w:p w:rsidR="004853FC" w:rsidRPr="00A60A29" w:rsidRDefault="00A60A29">
      <w:pPr>
        <w:spacing w:before="48"/>
        <w:rPr>
          <w:iCs/>
          <w:sz w:val="22"/>
          <w:szCs w:val="22"/>
          <w:lang w:val="en-US"/>
        </w:rPr>
      </w:pPr>
      <w:r w:rsidRPr="00A60A29">
        <w:rPr>
          <w:b/>
          <w:bCs/>
          <w:iCs/>
          <w:sz w:val="22"/>
          <w:szCs w:val="22"/>
          <w:lang w:val="en-US"/>
        </w:rPr>
        <w:t>Abbreviations:</w:t>
      </w:r>
      <w:r w:rsidRPr="00A60A29">
        <w:rPr>
          <w:iCs/>
          <w:sz w:val="22"/>
          <w:szCs w:val="22"/>
          <w:lang w:val="en-US"/>
        </w:rPr>
        <w:t xml:space="preserve"> BNF, British National Formulary; CTV3, Clinical Terms Version 3; DPP-4, dipeptidyl peptidase-4; GLP-1, glucagon-like peptide-1; GP, general practitioner; ICD-10, International Classification of Diseases, 10th Revision; SGLT2, sodium-glucose co-transporter</w:t>
      </w:r>
      <w:r w:rsidRPr="00A60A29">
        <w:rPr>
          <w:iCs/>
          <w:sz w:val="22"/>
          <w:szCs w:val="22"/>
          <w:lang w:val="en-US"/>
        </w:rPr>
        <w:t xml:space="preserve"> 2; UKB, UK Biobank.</w:t>
      </w:r>
    </w:p>
    <w:p w:rsidR="004853FC" w:rsidRPr="00A60A29" w:rsidRDefault="004853FC">
      <w:pPr>
        <w:tabs>
          <w:tab w:val="center" w:pos="6979"/>
        </w:tabs>
        <w:spacing w:before="48" w:after="48" w:line="360" w:lineRule="auto"/>
        <w:rPr>
          <w:sz w:val="21"/>
          <w:szCs w:val="21"/>
          <w:lang w:val="en-US"/>
        </w:rPr>
      </w:pPr>
    </w:p>
    <w:p w:rsidR="004853FC" w:rsidRPr="00A60A29" w:rsidRDefault="00A60A29">
      <w:pPr>
        <w:tabs>
          <w:tab w:val="center" w:pos="6979"/>
        </w:tabs>
        <w:spacing w:before="48" w:after="48" w:line="360" w:lineRule="auto"/>
        <w:outlineLvl w:val="0"/>
        <w:rPr>
          <w:b/>
          <w:bCs/>
          <w:color w:val="000000" w:themeColor="text1"/>
          <w:lang w:val="en-US"/>
        </w:rPr>
      </w:pPr>
      <w:r w:rsidRPr="00A60A29">
        <w:rPr>
          <w:b/>
          <w:bCs/>
          <w:color w:val="000000" w:themeColor="text1"/>
          <w:lang w:val="en-US"/>
        </w:rPr>
        <w:br w:type="page"/>
      </w:r>
      <w:bookmarkStart w:id="5" w:name="_Toc18538"/>
      <w:r w:rsidRPr="00A60A29">
        <w:rPr>
          <w:b/>
          <w:bCs/>
          <w:color w:val="000000" w:themeColor="text1"/>
          <w:lang w:val="en-US"/>
        </w:rPr>
        <w:t xml:space="preserve">Supplemental </w:t>
      </w:r>
      <w:bookmarkStart w:id="6" w:name="_Toc550"/>
      <w:bookmarkStart w:id="7" w:name="_Toc17236"/>
      <w:bookmarkStart w:id="8" w:name="_Toc22200"/>
      <w:bookmarkStart w:id="9" w:name="_Toc1650"/>
      <w:bookmarkStart w:id="10" w:name="_Toc5458"/>
      <w:bookmarkStart w:id="11" w:name="_Toc20726"/>
      <w:bookmarkStart w:id="12" w:name="_Toc155972015"/>
      <w:bookmarkStart w:id="13" w:name="_Toc167707618"/>
      <w:bookmarkEnd w:id="3"/>
      <w:r w:rsidRPr="00A60A29">
        <w:rPr>
          <w:b/>
          <w:bCs/>
          <w:color w:val="000000" w:themeColor="text1"/>
          <w:lang w:val="en-US"/>
        </w:rPr>
        <w:t>Table S</w:t>
      </w:r>
      <w:r w:rsidRPr="00A60A29">
        <w:rPr>
          <w:rFonts w:eastAsia="SimSun" w:hint="eastAsia"/>
          <w:b/>
          <w:bCs/>
          <w:color w:val="000000" w:themeColor="text1"/>
          <w:lang w:val="en-US"/>
        </w:rPr>
        <w:t>3</w:t>
      </w:r>
      <w:r w:rsidRPr="00A60A29">
        <w:rPr>
          <w:b/>
          <w:bCs/>
          <w:color w:val="000000" w:themeColor="text1"/>
          <w:lang w:val="en-US"/>
        </w:rPr>
        <w:t xml:space="preserve">. </w:t>
      </w:r>
      <w:r w:rsidRPr="00A60A29">
        <w:rPr>
          <w:bCs/>
          <w:color w:val="000000" w:themeColor="text1"/>
          <w:lang w:val="en-US"/>
        </w:rPr>
        <w:t xml:space="preserve">ß-coefficients of the different extensions of the </w:t>
      </w:r>
      <w:r w:rsidRPr="00A60A29">
        <w:rPr>
          <w:rFonts w:hint="eastAsia"/>
          <w:bCs/>
          <w:color w:val="000000" w:themeColor="text1"/>
          <w:lang w:val="en-US"/>
        </w:rPr>
        <w:t>clinical CDRS</w:t>
      </w:r>
      <w:r w:rsidRPr="00A60A29">
        <w:rPr>
          <w:bCs/>
          <w:color w:val="000000" w:themeColor="text1"/>
          <w:lang w:val="en-US"/>
        </w:rPr>
        <w:t xml:space="preserve"> model with multi-omics data for 10-year prediction of </w:t>
      </w:r>
      <w:bookmarkEnd w:id="6"/>
      <w:bookmarkEnd w:id="7"/>
      <w:bookmarkEnd w:id="8"/>
      <w:bookmarkEnd w:id="9"/>
      <w:bookmarkEnd w:id="10"/>
      <w:bookmarkEnd w:id="11"/>
      <w:bookmarkEnd w:id="12"/>
      <w:r w:rsidRPr="00A60A29">
        <w:rPr>
          <w:bCs/>
          <w:color w:val="000000" w:themeColor="text1"/>
          <w:lang w:val="en-US"/>
        </w:rPr>
        <w:t>type 2 diabetes</w:t>
      </w:r>
      <w:bookmarkEnd w:id="5"/>
      <w:bookmarkEnd w:id="13"/>
    </w:p>
    <w:tbl>
      <w:tblPr>
        <w:tblW w:w="0" w:type="auto"/>
        <w:tblBorders>
          <w:top w:val="single" w:sz="4" w:space="0" w:color="auto"/>
          <w:bottom w:val="single" w:sz="4" w:space="0" w:color="auto"/>
        </w:tblBorders>
        <w:tblLook w:val="04A0" w:firstRow="1" w:lastRow="0" w:firstColumn="1" w:lastColumn="0" w:noHBand="0" w:noVBand="1"/>
      </w:tblPr>
      <w:tblGrid>
        <w:gridCol w:w="4111"/>
        <w:gridCol w:w="1838"/>
        <w:gridCol w:w="1816"/>
      </w:tblGrid>
      <w:tr w:rsidR="004853FC" w:rsidRPr="00A60A29">
        <w:trPr>
          <w:trHeight w:val="294"/>
        </w:trPr>
        <w:tc>
          <w:tcPr>
            <w:tcW w:w="4111" w:type="dxa"/>
            <w:tcBorders>
              <w:top w:val="single" w:sz="4" w:space="0" w:color="auto"/>
              <w:left w:val="nil"/>
              <w:bottom w:val="nil"/>
              <w:right w:val="nil"/>
            </w:tcBorders>
          </w:tcPr>
          <w:p w:rsidR="004853FC" w:rsidRPr="00A60A29" w:rsidRDefault="00A60A29">
            <w:pPr>
              <w:spacing w:beforeLines="20" w:before="48" w:afterLines="20" w:after="48"/>
              <w:rPr>
                <w:b/>
                <w:lang w:val="en-US" w:eastAsia="en-GB"/>
              </w:rPr>
            </w:pPr>
            <w:r w:rsidRPr="00A60A29">
              <w:rPr>
                <w:b/>
                <w:lang w:val="en-US" w:eastAsia="en-GB"/>
              </w:rPr>
              <w:t>Variables</w:t>
            </w:r>
          </w:p>
        </w:tc>
        <w:tc>
          <w:tcPr>
            <w:tcW w:w="3654" w:type="dxa"/>
            <w:gridSpan w:val="2"/>
            <w:tcBorders>
              <w:top w:val="single" w:sz="4" w:space="0" w:color="auto"/>
              <w:left w:val="nil"/>
              <w:bottom w:val="single" w:sz="4" w:space="0" w:color="auto"/>
              <w:right w:val="nil"/>
            </w:tcBorders>
          </w:tcPr>
          <w:p w:rsidR="004853FC" w:rsidRPr="00A60A29" w:rsidRDefault="00A60A29">
            <w:pPr>
              <w:spacing w:beforeLines="20" w:before="48" w:afterLines="20" w:after="48"/>
              <w:jc w:val="center"/>
              <w:rPr>
                <w:b/>
              </w:rPr>
            </w:pPr>
            <w:r w:rsidRPr="00A60A29">
              <w:rPr>
                <w:b/>
              </w:rPr>
              <w:t>ß-coefficient</w:t>
            </w:r>
          </w:p>
        </w:tc>
      </w:tr>
      <w:tr w:rsidR="004853FC" w:rsidRPr="00A60A29">
        <w:trPr>
          <w:trHeight w:val="255"/>
        </w:trPr>
        <w:tc>
          <w:tcPr>
            <w:tcW w:w="4111" w:type="dxa"/>
            <w:tcBorders>
              <w:top w:val="nil"/>
              <w:bottom w:val="single" w:sz="4" w:space="0" w:color="auto"/>
            </w:tcBorders>
          </w:tcPr>
          <w:p w:rsidR="004853FC" w:rsidRPr="00A60A29" w:rsidRDefault="004853FC">
            <w:pPr>
              <w:spacing w:beforeLines="20" w:before="48" w:afterLines="20" w:after="48"/>
              <w:rPr>
                <w:lang w:val="en-US"/>
              </w:rPr>
            </w:pPr>
          </w:p>
        </w:tc>
        <w:tc>
          <w:tcPr>
            <w:tcW w:w="1838" w:type="dxa"/>
            <w:tcBorders>
              <w:top w:val="single" w:sz="4" w:space="0" w:color="auto"/>
              <w:bottom w:val="single" w:sz="4" w:space="0" w:color="auto"/>
            </w:tcBorders>
          </w:tcPr>
          <w:p w:rsidR="004853FC" w:rsidRPr="00A60A29" w:rsidRDefault="00A60A29">
            <w:pPr>
              <w:spacing w:beforeLines="20" w:before="48" w:afterLines="20" w:after="48"/>
              <w:jc w:val="center"/>
              <w:rPr>
                <w:rFonts w:eastAsia="SimSun"/>
                <w:b/>
                <w:lang w:val="en-US"/>
              </w:rPr>
            </w:pPr>
            <w:r w:rsidRPr="00A60A29">
              <w:rPr>
                <w:rFonts w:eastAsia="SimSun" w:hint="eastAsia"/>
                <w:b/>
                <w:lang w:val="en-US"/>
              </w:rPr>
              <w:t>Clinical CDRS + Proteomics</w:t>
            </w:r>
          </w:p>
        </w:tc>
        <w:tc>
          <w:tcPr>
            <w:tcW w:w="1816" w:type="dxa"/>
            <w:tcBorders>
              <w:top w:val="single" w:sz="4" w:space="0" w:color="auto"/>
              <w:bottom w:val="single" w:sz="4" w:space="0" w:color="auto"/>
            </w:tcBorders>
          </w:tcPr>
          <w:p w:rsidR="004853FC" w:rsidRPr="00A60A29" w:rsidRDefault="00A60A29">
            <w:pPr>
              <w:spacing w:beforeLines="20" w:before="48" w:afterLines="20" w:after="48"/>
              <w:jc w:val="center"/>
              <w:rPr>
                <w:rFonts w:eastAsia="SimSun"/>
                <w:b/>
                <w:lang w:val="en-US"/>
              </w:rPr>
            </w:pPr>
            <w:r w:rsidRPr="00A60A29">
              <w:rPr>
                <w:rFonts w:eastAsia="SimSun" w:hint="eastAsia"/>
                <w:b/>
                <w:lang w:val="en-US"/>
              </w:rPr>
              <w:t xml:space="preserve">Clinical CDRS + </w:t>
            </w:r>
            <w:r w:rsidRPr="00A60A29">
              <w:rPr>
                <w:rFonts w:eastAsia="SimSun" w:hint="eastAsia"/>
                <w:b/>
                <w:lang w:val="en-US"/>
              </w:rPr>
              <w:t>Multi-omics</w:t>
            </w:r>
          </w:p>
        </w:tc>
      </w:tr>
      <w:tr w:rsidR="004853FC" w:rsidRPr="00A60A29">
        <w:trPr>
          <w:trHeight w:val="255"/>
        </w:trPr>
        <w:tc>
          <w:tcPr>
            <w:tcW w:w="4111" w:type="dxa"/>
            <w:tcBorders>
              <w:top w:val="single" w:sz="4" w:space="0" w:color="auto"/>
              <w:bottom w:val="nil"/>
            </w:tcBorders>
          </w:tcPr>
          <w:p w:rsidR="004853FC" w:rsidRPr="00A60A29" w:rsidRDefault="00A60A29">
            <w:pPr>
              <w:spacing w:beforeLines="20" w:before="48" w:afterLines="20" w:after="48"/>
              <w:rPr>
                <w:rFonts w:eastAsia="SimSun"/>
                <w:b/>
                <w:bCs/>
              </w:rPr>
            </w:pPr>
            <w:r w:rsidRPr="00A60A29">
              <w:rPr>
                <w:rFonts w:eastAsia="SimSun"/>
                <w:b/>
                <w:bCs/>
              </w:rPr>
              <w:t>Clinical CDRS</w:t>
            </w:r>
          </w:p>
        </w:tc>
        <w:tc>
          <w:tcPr>
            <w:tcW w:w="1838" w:type="dxa"/>
            <w:tcBorders>
              <w:top w:val="single" w:sz="4" w:space="0" w:color="auto"/>
              <w:left w:val="nil"/>
              <w:bottom w:val="nil"/>
              <w:right w:val="nil"/>
            </w:tcBorders>
          </w:tcPr>
          <w:p w:rsidR="004853FC" w:rsidRPr="00A60A29" w:rsidRDefault="004853FC">
            <w:pPr>
              <w:spacing w:before="48" w:after="48"/>
              <w:jc w:val="center"/>
              <w:rPr>
                <w:sz w:val="22"/>
                <w:szCs w:val="22"/>
              </w:rPr>
            </w:pPr>
          </w:p>
        </w:tc>
        <w:tc>
          <w:tcPr>
            <w:tcW w:w="1816" w:type="dxa"/>
            <w:tcBorders>
              <w:top w:val="single" w:sz="4" w:space="0" w:color="auto"/>
              <w:left w:val="nil"/>
              <w:bottom w:val="nil"/>
              <w:right w:val="nil"/>
            </w:tcBorders>
          </w:tcPr>
          <w:p w:rsidR="004853FC" w:rsidRPr="00A60A29" w:rsidRDefault="004853FC">
            <w:pPr>
              <w:spacing w:before="48" w:after="48"/>
              <w:jc w:val="center"/>
              <w:rPr>
                <w:sz w:val="22"/>
                <w:szCs w:val="22"/>
              </w:rPr>
            </w:pPr>
          </w:p>
        </w:tc>
      </w:tr>
      <w:tr w:rsidR="004853FC" w:rsidRPr="00A60A29">
        <w:trPr>
          <w:trHeight w:val="255"/>
        </w:trPr>
        <w:tc>
          <w:tcPr>
            <w:tcW w:w="4111" w:type="dxa"/>
            <w:tcBorders>
              <w:top w:val="nil"/>
              <w:bottom w:val="nil"/>
            </w:tcBorders>
          </w:tcPr>
          <w:p w:rsidR="004853FC" w:rsidRPr="00A60A29" w:rsidRDefault="00A60A29">
            <w:pPr>
              <w:spacing w:beforeLines="20" w:before="48" w:afterLines="20" w:after="48"/>
              <w:rPr>
                <w:rFonts w:eastAsia="SimSun"/>
              </w:rPr>
            </w:pPr>
            <w:r w:rsidRPr="00A60A29">
              <w:rPr>
                <w:rFonts w:eastAsia="SimSun"/>
              </w:rPr>
              <w:t>Female</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0.2969</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0.2796</w:t>
            </w:r>
          </w:p>
        </w:tc>
      </w:tr>
      <w:tr w:rsidR="004853FC" w:rsidRPr="00A60A29">
        <w:trPr>
          <w:trHeight w:val="249"/>
        </w:trPr>
        <w:tc>
          <w:tcPr>
            <w:tcW w:w="4111" w:type="dxa"/>
            <w:tcBorders>
              <w:top w:val="nil"/>
            </w:tcBorders>
            <w:shd w:val="clear" w:color="auto" w:fill="FFFFFF" w:themeFill="background1"/>
          </w:tcPr>
          <w:p w:rsidR="004853FC" w:rsidRPr="00A60A29" w:rsidRDefault="00A60A29">
            <w:pPr>
              <w:spacing w:beforeLines="20" w:before="48" w:afterLines="20" w:after="48"/>
              <w:rPr>
                <w:rFonts w:eastAsia="SimSun"/>
              </w:rPr>
            </w:pPr>
            <w:r w:rsidRPr="00A60A29">
              <w:rPr>
                <w:rFonts w:eastAsia="SimSun"/>
              </w:rPr>
              <w:t>Prescribed anti-hypertension medication</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0.1220</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0.1037</w:t>
            </w:r>
          </w:p>
        </w:tc>
      </w:tr>
      <w:tr w:rsidR="004853FC" w:rsidRPr="00A60A29">
        <w:trPr>
          <w:trHeight w:val="80"/>
        </w:trPr>
        <w:tc>
          <w:tcPr>
            <w:tcW w:w="4111" w:type="dxa"/>
            <w:shd w:val="clear" w:color="auto" w:fill="FFFFFF" w:themeFill="background1"/>
          </w:tcPr>
          <w:p w:rsidR="004853FC" w:rsidRPr="00A60A29" w:rsidRDefault="00A60A29">
            <w:pPr>
              <w:spacing w:beforeLines="20" w:before="48" w:afterLines="20" w:after="48"/>
              <w:rPr>
                <w:lang w:eastAsia="en-GB"/>
              </w:rPr>
            </w:pPr>
            <w:r w:rsidRPr="00A60A29">
              <w:rPr>
                <w:rFonts w:eastAsia="SimSun"/>
              </w:rPr>
              <w:t>Prescribed steroids</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0.7921</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0.8197</w:t>
            </w:r>
          </w:p>
        </w:tc>
      </w:tr>
      <w:tr w:rsidR="004853FC" w:rsidRPr="00A60A29">
        <w:trPr>
          <w:trHeight w:val="249"/>
        </w:trPr>
        <w:tc>
          <w:tcPr>
            <w:tcW w:w="4111" w:type="dxa"/>
            <w:shd w:val="clear" w:color="auto" w:fill="FFFFFF" w:themeFill="background1"/>
          </w:tcPr>
          <w:p w:rsidR="004853FC" w:rsidRPr="00A60A29" w:rsidRDefault="00A60A29">
            <w:pPr>
              <w:spacing w:beforeLines="20" w:before="48" w:afterLines="20" w:after="48"/>
              <w:rPr>
                <w:rFonts w:eastAsia="SimSun"/>
              </w:rPr>
            </w:pPr>
            <w:r w:rsidRPr="00A60A29">
              <w:rPr>
                <w:rFonts w:eastAsia="SimSun"/>
              </w:rPr>
              <w:t>Age (per years)</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0.1518</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0.1513</w:t>
            </w:r>
          </w:p>
        </w:tc>
      </w:tr>
      <w:tr w:rsidR="004853FC" w:rsidRPr="00A60A29">
        <w:trPr>
          <w:trHeight w:val="249"/>
        </w:trPr>
        <w:tc>
          <w:tcPr>
            <w:tcW w:w="4111" w:type="dxa"/>
            <w:shd w:val="clear" w:color="auto" w:fill="FFFFFF" w:themeFill="background1"/>
          </w:tcPr>
          <w:p w:rsidR="004853FC" w:rsidRPr="00A60A29" w:rsidRDefault="00A60A29">
            <w:pPr>
              <w:spacing w:beforeLines="20" w:before="48" w:afterLines="20" w:after="48"/>
              <w:rPr>
                <w:lang w:val="en-US" w:eastAsia="en-GB"/>
              </w:rPr>
            </w:pPr>
            <w:r w:rsidRPr="00A60A29">
              <w:rPr>
                <w:rFonts w:eastAsia="SimSun"/>
                <w:shd w:val="clear" w:color="auto" w:fill="FFFFFF"/>
                <w:lang w:val="en-US"/>
              </w:rPr>
              <w:t>Body mass index &lt;25 kg/m</w:t>
            </w:r>
            <w:r w:rsidRPr="00A60A29">
              <w:rPr>
                <w:rFonts w:eastAsia="SimSun"/>
                <w:shd w:val="clear" w:color="auto" w:fill="FFFFFF"/>
                <w:vertAlign w:val="superscript"/>
                <w:lang w:val="en-US"/>
              </w:rPr>
              <w:t>2</w:t>
            </w:r>
            <w:r w:rsidRPr="00A60A29">
              <w:rPr>
                <w:rFonts w:eastAsia="SimSun"/>
                <w:shd w:val="clear" w:color="auto" w:fill="FFFFFF"/>
                <w:lang w:val="en-US"/>
              </w:rPr>
              <w:t xml:space="preserve"> </w:t>
            </w:r>
          </w:p>
        </w:tc>
        <w:tc>
          <w:tcPr>
            <w:tcW w:w="1838" w:type="dxa"/>
            <w:tcBorders>
              <w:top w:val="nil"/>
              <w:left w:val="nil"/>
              <w:bottom w:val="nil"/>
              <w:right w:val="nil"/>
            </w:tcBorders>
          </w:tcPr>
          <w:p w:rsidR="004853FC" w:rsidRPr="00A60A29" w:rsidRDefault="00A60A29">
            <w:pPr>
              <w:spacing w:before="48" w:after="48"/>
              <w:jc w:val="center"/>
              <w:rPr>
                <w:sz w:val="22"/>
                <w:szCs w:val="22"/>
              </w:rPr>
            </w:pPr>
            <w:r w:rsidRPr="00A60A29">
              <w:rPr>
                <w:sz w:val="22"/>
                <w:szCs w:val="22"/>
              </w:rPr>
              <w:t>Ref</w:t>
            </w:r>
          </w:p>
        </w:tc>
        <w:tc>
          <w:tcPr>
            <w:tcW w:w="1816" w:type="dxa"/>
            <w:tcBorders>
              <w:top w:val="nil"/>
              <w:left w:val="nil"/>
              <w:bottom w:val="nil"/>
              <w:right w:val="nil"/>
            </w:tcBorders>
          </w:tcPr>
          <w:p w:rsidR="004853FC" w:rsidRPr="00A60A29" w:rsidRDefault="00A60A29">
            <w:pPr>
              <w:spacing w:before="48" w:after="48"/>
              <w:jc w:val="center"/>
              <w:rPr>
                <w:sz w:val="22"/>
                <w:szCs w:val="22"/>
              </w:rPr>
            </w:pPr>
            <w:r w:rsidRPr="00A60A29">
              <w:rPr>
                <w:sz w:val="22"/>
                <w:szCs w:val="22"/>
              </w:rPr>
              <w:t>Ref</w:t>
            </w:r>
          </w:p>
        </w:tc>
      </w:tr>
      <w:tr w:rsidR="004853FC" w:rsidRPr="00A60A29">
        <w:trPr>
          <w:trHeight w:val="261"/>
        </w:trPr>
        <w:tc>
          <w:tcPr>
            <w:tcW w:w="4111" w:type="dxa"/>
            <w:tcBorders>
              <w:top w:val="nil"/>
              <w:bottom w:val="nil"/>
            </w:tcBorders>
            <w:shd w:val="clear" w:color="auto" w:fill="FFFFFF" w:themeFill="background1"/>
          </w:tcPr>
          <w:p w:rsidR="004853FC" w:rsidRPr="00A60A29" w:rsidRDefault="00A60A29">
            <w:pPr>
              <w:spacing w:beforeLines="20" w:before="48" w:afterLines="20" w:after="48"/>
              <w:rPr>
                <w:lang w:val="en-US" w:eastAsia="en-GB"/>
              </w:rPr>
            </w:pPr>
            <w:r w:rsidRPr="00A60A29">
              <w:rPr>
                <w:rFonts w:eastAsia="SimSun"/>
                <w:shd w:val="clear" w:color="auto" w:fill="FFFFFF"/>
                <w:lang w:val="en-US"/>
              </w:rPr>
              <w:t>Body mass index 25-27.49 kg/m</w:t>
            </w:r>
            <w:r w:rsidRPr="00A60A29">
              <w:rPr>
                <w:rFonts w:eastAsia="SimSun"/>
                <w:shd w:val="clear" w:color="auto" w:fill="FFFFFF"/>
                <w:vertAlign w:val="superscript"/>
                <w:lang w:val="en-US"/>
              </w:rPr>
              <w:t>2</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-0.1200</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-0.1289</w:t>
            </w:r>
          </w:p>
        </w:tc>
      </w:tr>
      <w:tr w:rsidR="004853FC" w:rsidRPr="00A60A29">
        <w:trPr>
          <w:trHeight w:val="249"/>
        </w:trPr>
        <w:tc>
          <w:tcPr>
            <w:tcW w:w="4111" w:type="dxa"/>
            <w:shd w:val="clear" w:color="auto" w:fill="FFFFFF" w:themeFill="background1"/>
          </w:tcPr>
          <w:p w:rsidR="004853FC" w:rsidRPr="00A60A29" w:rsidRDefault="00A60A29">
            <w:pPr>
              <w:spacing w:beforeLines="20" w:before="48" w:afterLines="20" w:after="48"/>
              <w:rPr>
                <w:lang w:val="en-US" w:eastAsia="en-GB"/>
              </w:rPr>
            </w:pPr>
            <w:r w:rsidRPr="00A60A29">
              <w:rPr>
                <w:rFonts w:eastAsia="SimSun"/>
                <w:shd w:val="clear" w:color="auto" w:fill="FFFFFF"/>
                <w:lang w:val="en-US"/>
              </w:rPr>
              <w:t>Body mass index 27.5-29.99 kg/m</w:t>
            </w:r>
            <w:r w:rsidRPr="00A60A29">
              <w:rPr>
                <w:rFonts w:eastAsia="SimSun"/>
                <w:shd w:val="clear" w:color="auto" w:fill="FFFFFF"/>
                <w:vertAlign w:val="superscript"/>
                <w:lang w:val="en-US"/>
              </w:rPr>
              <w:t>2</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0.1371</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0.0724</w:t>
            </w:r>
          </w:p>
        </w:tc>
      </w:tr>
      <w:tr w:rsidR="004853FC" w:rsidRPr="00A60A29">
        <w:trPr>
          <w:trHeight w:val="249"/>
        </w:trPr>
        <w:tc>
          <w:tcPr>
            <w:tcW w:w="4111" w:type="dxa"/>
            <w:tcBorders>
              <w:bottom w:val="nil"/>
            </w:tcBorders>
            <w:shd w:val="clear" w:color="auto" w:fill="FFFFFF" w:themeFill="background1"/>
          </w:tcPr>
          <w:p w:rsidR="004853FC" w:rsidRPr="00A60A29" w:rsidRDefault="00A60A29">
            <w:pPr>
              <w:spacing w:beforeLines="20" w:before="48" w:afterLines="20" w:after="48"/>
              <w:rPr>
                <w:rFonts w:eastAsia="Calibri"/>
                <w:vertAlign w:val="superscript"/>
                <w:lang w:val="en-US"/>
              </w:rPr>
            </w:pPr>
            <w:r w:rsidRPr="00A60A29">
              <w:rPr>
                <w:rFonts w:eastAsia="SimSun"/>
                <w:shd w:val="clear" w:color="auto" w:fill="FFFFFF"/>
                <w:lang w:val="en-US"/>
              </w:rPr>
              <w:t>Body mass index ≥ 30 kg/m</w:t>
            </w:r>
            <w:r w:rsidRPr="00A60A29">
              <w:rPr>
                <w:rFonts w:eastAsia="SimSun"/>
                <w:shd w:val="clear" w:color="auto" w:fill="FFFFFF"/>
                <w:vertAlign w:val="superscript"/>
                <w:lang w:val="en-US"/>
              </w:rPr>
              <w:t>2</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0.3483</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0.3420</w:t>
            </w:r>
          </w:p>
        </w:tc>
      </w:tr>
      <w:tr w:rsidR="004853FC" w:rsidRPr="00A60A29">
        <w:trPr>
          <w:trHeight w:val="249"/>
        </w:trPr>
        <w:tc>
          <w:tcPr>
            <w:tcW w:w="4111" w:type="dxa"/>
            <w:tcBorders>
              <w:top w:val="nil"/>
              <w:bottom w:val="nil"/>
            </w:tcBorders>
            <w:shd w:val="clear" w:color="auto" w:fill="FFFFFF" w:themeFill="background1"/>
          </w:tcPr>
          <w:p w:rsidR="004853FC" w:rsidRPr="00A60A29" w:rsidRDefault="00A60A29">
            <w:pPr>
              <w:spacing w:beforeLines="20" w:before="48" w:afterLines="20" w:after="48"/>
              <w:rPr>
                <w:rFonts w:eastAsia="SimSun"/>
                <w:lang w:val="en-US"/>
              </w:rPr>
            </w:pPr>
            <w:r w:rsidRPr="00A60A29">
              <w:rPr>
                <w:rFonts w:eastAsia="SimSun"/>
                <w:lang w:val="en-US"/>
              </w:rPr>
              <w:t>No first degree relative with diabetes</w:t>
            </w:r>
          </w:p>
        </w:tc>
        <w:tc>
          <w:tcPr>
            <w:tcW w:w="1838" w:type="dxa"/>
            <w:tcBorders>
              <w:top w:val="nil"/>
              <w:left w:val="nil"/>
              <w:bottom w:val="nil"/>
              <w:right w:val="nil"/>
            </w:tcBorders>
          </w:tcPr>
          <w:p w:rsidR="004853FC" w:rsidRPr="00A60A29" w:rsidRDefault="00A60A29">
            <w:pPr>
              <w:spacing w:before="48" w:after="48"/>
              <w:jc w:val="center"/>
              <w:rPr>
                <w:sz w:val="22"/>
                <w:szCs w:val="22"/>
              </w:rPr>
            </w:pPr>
            <w:r w:rsidRPr="00A60A29">
              <w:rPr>
                <w:sz w:val="22"/>
                <w:szCs w:val="22"/>
              </w:rPr>
              <w:t>Ref</w:t>
            </w:r>
          </w:p>
        </w:tc>
        <w:tc>
          <w:tcPr>
            <w:tcW w:w="1816" w:type="dxa"/>
            <w:tcBorders>
              <w:top w:val="nil"/>
              <w:left w:val="nil"/>
              <w:bottom w:val="nil"/>
              <w:right w:val="nil"/>
            </w:tcBorders>
          </w:tcPr>
          <w:p w:rsidR="004853FC" w:rsidRPr="00A60A29" w:rsidRDefault="00A60A29">
            <w:pPr>
              <w:spacing w:before="48" w:after="48"/>
              <w:jc w:val="center"/>
              <w:rPr>
                <w:sz w:val="22"/>
                <w:szCs w:val="22"/>
              </w:rPr>
            </w:pPr>
            <w:r w:rsidRPr="00A60A29">
              <w:rPr>
                <w:sz w:val="22"/>
                <w:szCs w:val="22"/>
              </w:rPr>
              <w:t>Ref</w:t>
            </w:r>
          </w:p>
        </w:tc>
      </w:tr>
      <w:tr w:rsidR="004853FC" w:rsidRPr="00A60A29">
        <w:trPr>
          <w:trHeight w:val="249"/>
        </w:trPr>
        <w:tc>
          <w:tcPr>
            <w:tcW w:w="4111" w:type="dxa"/>
            <w:tcBorders>
              <w:top w:val="nil"/>
              <w:bottom w:val="nil"/>
            </w:tcBorders>
            <w:shd w:val="clear" w:color="auto" w:fill="FFFFFF" w:themeFill="background1"/>
          </w:tcPr>
          <w:p w:rsidR="004853FC" w:rsidRPr="00A60A29" w:rsidRDefault="00A60A29">
            <w:pPr>
              <w:spacing w:beforeLines="20" w:before="48" w:afterLines="20" w:after="48"/>
              <w:rPr>
                <w:rFonts w:eastAsia="SimSun"/>
                <w:lang w:val="en-US"/>
              </w:rPr>
            </w:pPr>
            <w:r w:rsidRPr="00A60A29">
              <w:rPr>
                <w:rFonts w:eastAsia="SimSun"/>
                <w:lang w:val="en-US"/>
              </w:rPr>
              <w:t>Parent or sibling with diabetes</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0.2367</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0.2420</w:t>
            </w:r>
          </w:p>
        </w:tc>
      </w:tr>
      <w:tr w:rsidR="004853FC" w:rsidRPr="00A60A29">
        <w:trPr>
          <w:trHeight w:val="249"/>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Calibri"/>
                <w:lang w:val="en-US" w:eastAsia="en-GB"/>
              </w:rPr>
            </w:pPr>
            <w:r w:rsidRPr="00A60A29">
              <w:rPr>
                <w:rFonts w:eastAsia="SimSun"/>
                <w:lang w:val="en-US"/>
              </w:rPr>
              <w:t>Parent and sibling with diabetes</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0.4007</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0.3416</w:t>
            </w:r>
          </w:p>
        </w:tc>
      </w:tr>
      <w:tr w:rsidR="004853FC" w:rsidRPr="00A60A29">
        <w:trPr>
          <w:trHeight w:val="249"/>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rPr>
            </w:pPr>
            <w:r w:rsidRPr="00A60A29">
              <w:rPr>
                <w:rFonts w:eastAsia="SimSun"/>
              </w:rPr>
              <w:t>None-smoker</w:t>
            </w:r>
          </w:p>
        </w:tc>
        <w:tc>
          <w:tcPr>
            <w:tcW w:w="1838" w:type="dxa"/>
            <w:tcBorders>
              <w:top w:val="nil"/>
              <w:left w:val="nil"/>
              <w:bottom w:val="nil"/>
              <w:right w:val="nil"/>
            </w:tcBorders>
          </w:tcPr>
          <w:p w:rsidR="004853FC" w:rsidRPr="00A60A29" w:rsidRDefault="00A60A29">
            <w:pPr>
              <w:spacing w:before="48" w:after="48"/>
              <w:jc w:val="center"/>
              <w:rPr>
                <w:sz w:val="22"/>
                <w:szCs w:val="22"/>
              </w:rPr>
            </w:pPr>
            <w:r w:rsidRPr="00A60A29">
              <w:rPr>
                <w:sz w:val="22"/>
                <w:szCs w:val="22"/>
              </w:rPr>
              <w:t>Ref</w:t>
            </w:r>
          </w:p>
        </w:tc>
        <w:tc>
          <w:tcPr>
            <w:tcW w:w="1816" w:type="dxa"/>
            <w:tcBorders>
              <w:top w:val="nil"/>
              <w:left w:val="nil"/>
              <w:bottom w:val="nil"/>
              <w:right w:val="nil"/>
            </w:tcBorders>
          </w:tcPr>
          <w:p w:rsidR="004853FC" w:rsidRPr="00A60A29" w:rsidRDefault="00A60A29">
            <w:pPr>
              <w:spacing w:before="48" w:after="48"/>
              <w:jc w:val="center"/>
              <w:rPr>
                <w:sz w:val="22"/>
                <w:szCs w:val="22"/>
              </w:rPr>
            </w:pPr>
            <w:r w:rsidRPr="00A60A29">
              <w:rPr>
                <w:sz w:val="22"/>
                <w:szCs w:val="22"/>
              </w:rPr>
              <w:t>Ref</w:t>
            </w:r>
          </w:p>
        </w:tc>
      </w:tr>
      <w:tr w:rsidR="004853FC" w:rsidRPr="00A60A29">
        <w:trPr>
          <w:trHeight w:val="249"/>
        </w:trPr>
        <w:tc>
          <w:tcPr>
            <w:tcW w:w="4111" w:type="dxa"/>
            <w:tcBorders>
              <w:top w:val="nil"/>
              <w:bottom w:val="nil"/>
            </w:tcBorders>
            <w:shd w:val="clear" w:color="auto" w:fill="FFFFFF" w:themeFill="background1"/>
          </w:tcPr>
          <w:p w:rsidR="004853FC" w:rsidRPr="00A60A29" w:rsidRDefault="00A60A29">
            <w:pPr>
              <w:spacing w:beforeLines="20" w:before="48" w:afterLines="20" w:after="48"/>
              <w:rPr>
                <w:rFonts w:eastAsia="Calibri"/>
                <w:lang w:eastAsia="en-GB"/>
              </w:rPr>
            </w:pPr>
            <w:r w:rsidRPr="00A60A29">
              <w:rPr>
                <w:rFonts w:eastAsia="SimSun"/>
                <w:shd w:val="clear" w:color="auto" w:fill="FFFFFF"/>
              </w:rPr>
              <w:t>Ex-smoker</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0.1219</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0.1232</w:t>
            </w:r>
          </w:p>
        </w:tc>
      </w:tr>
      <w:tr w:rsidR="004853FC" w:rsidRPr="00A60A29">
        <w:trPr>
          <w:trHeight w:val="249"/>
        </w:trPr>
        <w:tc>
          <w:tcPr>
            <w:tcW w:w="4111" w:type="dxa"/>
            <w:tcBorders>
              <w:top w:val="nil"/>
              <w:bottom w:val="nil"/>
            </w:tcBorders>
            <w:shd w:val="clear" w:color="auto" w:fill="FFFFFF" w:themeFill="background1"/>
          </w:tcPr>
          <w:p w:rsidR="004853FC" w:rsidRPr="00A60A29" w:rsidRDefault="00A60A29">
            <w:pPr>
              <w:spacing w:beforeLines="20" w:before="48" w:afterLines="20" w:after="48"/>
              <w:rPr>
                <w:rFonts w:eastAsia="Calibri"/>
                <w:lang w:eastAsia="en-GB"/>
              </w:rPr>
            </w:pPr>
            <w:r w:rsidRPr="00A60A29">
              <w:rPr>
                <w:rFonts w:eastAsia="SimSun"/>
                <w:shd w:val="clear" w:color="auto" w:fill="FFFFFF"/>
              </w:rPr>
              <w:t>Current smoker</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0.1057</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0.0733</w:t>
            </w:r>
          </w:p>
        </w:tc>
      </w:tr>
      <w:tr w:rsidR="004853FC" w:rsidRPr="00A60A29">
        <w:trPr>
          <w:trHeight w:val="249"/>
        </w:trPr>
        <w:tc>
          <w:tcPr>
            <w:tcW w:w="4111" w:type="dxa"/>
            <w:tcBorders>
              <w:top w:val="nil"/>
              <w:bottom w:val="nil"/>
            </w:tcBorders>
            <w:shd w:val="clear" w:color="auto" w:fill="FFFFFF" w:themeFill="background1"/>
          </w:tcPr>
          <w:p w:rsidR="004853FC" w:rsidRPr="00A60A29" w:rsidRDefault="00A60A29">
            <w:pPr>
              <w:spacing w:beforeLines="20" w:before="48" w:afterLines="20" w:after="48"/>
              <w:rPr>
                <w:rFonts w:eastAsia="SimSun"/>
                <w:lang w:val="en-US"/>
              </w:rPr>
            </w:pPr>
            <w:r w:rsidRPr="00A60A29">
              <w:rPr>
                <w:rFonts w:eastAsia="SimSun"/>
              </w:rPr>
              <w:t>HbA</w:t>
            </w:r>
            <w:r w:rsidRPr="00A60A29">
              <w:rPr>
                <w:rFonts w:eastAsia="SimSun"/>
                <w:vertAlign w:val="subscript"/>
              </w:rPr>
              <w:t>1c</w:t>
            </w:r>
            <w:r w:rsidRPr="00A60A29">
              <w:rPr>
                <w:rFonts w:eastAsia="SimSun" w:hint="eastAsia"/>
                <w:lang w:val="en-US"/>
              </w:rPr>
              <w:t xml:space="preserve"> (per %)</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0.9569</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0.8731</w:t>
            </w:r>
          </w:p>
        </w:tc>
      </w:tr>
      <w:tr w:rsidR="004853FC" w:rsidRPr="00A60A29">
        <w:trPr>
          <w:trHeight w:val="249"/>
        </w:trPr>
        <w:tc>
          <w:tcPr>
            <w:tcW w:w="4111" w:type="dxa"/>
            <w:tcBorders>
              <w:top w:val="nil"/>
              <w:bottom w:val="nil"/>
            </w:tcBorders>
            <w:shd w:val="clear" w:color="auto" w:fill="FFFFFF" w:themeFill="background1"/>
          </w:tcPr>
          <w:p w:rsidR="004853FC" w:rsidRPr="00A60A29" w:rsidRDefault="00A60A29">
            <w:pPr>
              <w:spacing w:beforeLines="20" w:before="48" w:afterLines="20" w:after="48"/>
              <w:rPr>
                <w:rFonts w:eastAsia="SimSun"/>
                <w:b/>
                <w:lang w:val="en-US"/>
              </w:rPr>
            </w:pPr>
            <w:r w:rsidRPr="00A60A29">
              <w:rPr>
                <w:rFonts w:eastAsia="SimSun"/>
                <w:b/>
              </w:rPr>
              <w:t>A</w:t>
            </w:r>
            <w:r w:rsidRPr="00A60A29">
              <w:rPr>
                <w:rFonts w:eastAsia="Calibri"/>
                <w:b/>
              </w:rPr>
              <w:t xml:space="preserve">dded </w:t>
            </w:r>
            <w:r w:rsidRPr="00A60A29">
              <w:rPr>
                <w:rFonts w:eastAsia="SimSun" w:hint="eastAsia"/>
                <w:b/>
                <w:lang w:val="en-US"/>
              </w:rPr>
              <w:t>protein</w:t>
            </w:r>
            <w:r w:rsidRPr="00A60A29">
              <w:rPr>
                <w:rFonts w:eastAsia="SimSun"/>
                <w:b/>
              </w:rPr>
              <w:t>s</w:t>
            </w:r>
            <w:r w:rsidRPr="00A60A29">
              <w:rPr>
                <w:rFonts w:eastAsia="SimSun" w:hint="eastAsia"/>
                <w:b/>
                <w:lang w:val="en-US"/>
              </w:rPr>
              <w:t xml:space="preserve"> (per 1 SD)</w:t>
            </w:r>
          </w:p>
        </w:tc>
        <w:tc>
          <w:tcPr>
            <w:tcW w:w="1838" w:type="dxa"/>
            <w:tcBorders>
              <w:top w:val="nil"/>
              <w:bottom w:val="nil"/>
            </w:tcBorders>
            <w:shd w:val="clear" w:color="auto" w:fill="FFFFFF" w:themeFill="background1"/>
          </w:tcPr>
          <w:p w:rsidR="004853FC" w:rsidRPr="00A60A29" w:rsidRDefault="004853FC">
            <w:pPr>
              <w:spacing w:before="48" w:after="48"/>
              <w:rPr>
                <w:sz w:val="22"/>
                <w:szCs w:val="22"/>
              </w:rPr>
            </w:pPr>
          </w:p>
        </w:tc>
        <w:tc>
          <w:tcPr>
            <w:tcW w:w="1816" w:type="dxa"/>
            <w:tcBorders>
              <w:top w:val="nil"/>
              <w:bottom w:val="nil"/>
            </w:tcBorders>
            <w:shd w:val="clear" w:color="auto" w:fill="FFFFFF" w:themeFill="background1"/>
          </w:tcPr>
          <w:p w:rsidR="004853FC" w:rsidRPr="00A60A29" w:rsidRDefault="004853FC">
            <w:pPr>
              <w:spacing w:before="48" w:after="48"/>
              <w:rPr>
                <w:sz w:val="22"/>
                <w:szCs w:val="22"/>
              </w:rPr>
            </w:pPr>
          </w:p>
        </w:tc>
      </w:tr>
      <w:tr w:rsidR="004853FC" w:rsidRPr="00A60A29">
        <w:trPr>
          <w:trHeight w:val="249"/>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rPr>
            </w:pPr>
            <w:r w:rsidRPr="00A60A29">
              <w:rPr>
                <w:rFonts w:eastAsia="SimSun" w:hint="eastAsia"/>
                <w:shd w:val="clear" w:color="auto" w:fill="FFFFFF"/>
              </w:rPr>
              <w:t>ADAMTSL2</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0.0464</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0.0470</w:t>
            </w:r>
          </w:p>
        </w:tc>
      </w:tr>
      <w:tr w:rsidR="004853FC" w:rsidRPr="00A60A29">
        <w:trPr>
          <w:trHeight w:val="249"/>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rPr>
            </w:pPr>
            <w:r w:rsidRPr="00A60A29">
              <w:rPr>
                <w:rFonts w:eastAsia="SimSun" w:hint="eastAsia"/>
                <w:shd w:val="clear" w:color="auto" w:fill="FFFFFF"/>
              </w:rPr>
              <w:t>ADGRG1</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-0.0051</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0.0021</w:t>
            </w:r>
          </w:p>
        </w:tc>
      </w:tr>
      <w:tr w:rsidR="004853FC" w:rsidRPr="00A60A29">
        <w:trPr>
          <w:trHeight w:val="249"/>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rPr>
            </w:pPr>
            <w:r w:rsidRPr="00A60A29">
              <w:rPr>
                <w:sz w:val="21"/>
                <w:szCs w:val="21"/>
                <w:lang w:val="en-US"/>
              </w:rPr>
              <w:t>ADIPOQ</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-0.0887</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-0.0721</w:t>
            </w:r>
          </w:p>
        </w:tc>
      </w:tr>
      <w:tr w:rsidR="004853FC" w:rsidRPr="00A60A29">
        <w:trPr>
          <w:trHeight w:val="249"/>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lang w:val="en-US"/>
              </w:rPr>
            </w:pPr>
            <w:r w:rsidRPr="00A60A29">
              <w:rPr>
                <w:rFonts w:eastAsia="SimSun" w:hint="eastAsia"/>
                <w:shd w:val="clear" w:color="auto" w:fill="FFFFFF"/>
              </w:rPr>
              <w:t>A</w:t>
            </w:r>
            <w:r w:rsidRPr="00A60A29">
              <w:rPr>
                <w:rFonts w:eastAsia="SimSun" w:hint="eastAsia"/>
                <w:shd w:val="clear" w:color="auto" w:fill="FFFFFF"/>
                <w:lang w:val="en-US"/>
              </w:rPr>
              <w:t>POM</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-0.1501</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-0.1454</w:t>
            </w:r>
          </w:p>
        </w:tc>
      </w:tr>
      <w:tr w:rsidR="004853FC" w:rsidRPr="00A60A29">
        <w:trPr>
          <w:trHeight w:val="249"/>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lang w:val="en-US"/>
              </w:rPr>
            </w:pPr>
            <w:r w:rsidRPr="00A60A29">
              <w:rPr>
                <w:rFonts w:eastAsia="SimSun" w:hint="eastAsia"/>
                <w:shd w:val="clear" w:color="auto" w:fill="FFFFFF"/>
                <w:lang w:val="en-US"/>
              </w:rPr>
              <w:t>CDH2</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0.1258</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0.0998</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lang w:val="en-US"/>
              </w:rPr>
            </w:pPr>
            <w:r w:rsidRPr="00A60A29">
              <w:rPr>
                <w:rFonts w:eastAsia="SimSun" w:hint="eastAsia"/>
                <w:shd w:val="clear" w:color="auto" w:fill="FFFFFF"/>
              </w:rPr>
              <w:t>HGF</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0.0982</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0.1604</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rPr>
            </w:pPr>
            <w:r w:rsidRPr="00A60A29">
              <w:rPr>
                <w:rFonts w:eastAsia="SimSun" w:hint="eastAsia"/>
                <w:shd w:val="clear" w:color="auto" w:fill="FFFFFF"/>
              </w:rPr>
              <w:t>IGFBP1</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-0.0924</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-0.1202</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rPr>
            </w:pPr>
            <w:r w:rsidRPr="00A60A29">
              <w:rPr>
                <w:rFonts w:eastAsia="SimSun" w:hint="eastAsia"/>
                <w:shd w:val="clear" w:color="auto" w:fill="FFFFFF"/>
              </w:rPr>
              <w:t>IGSF3</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0.0068</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0.0164</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lang w:val="en-US"/>
              </w:rPr>
            </w:pPr>
            <w:r w:rsidRPr="00A60A29">
              <w:rPr>
                <w:rFonts w:eastAsia="SimSun" w:hint="eastAsia"/>
                <w:shd w:val="clear" w:color="auto" w:fill="FFFFFF"/>
              </w:rPr>
              <w:t>IGSF9</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0.1194</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0.0719</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lang w:val="en-US"/>
              </w:rPr>
            </w:pPr>
            <w:r w:rsidRPr="00A60A29">
              <w:rPr>
                <w:rFonts w:eastAsia="SimSun" w:hint="eastAsia"/>
                <w:shd w:val="clear" w:color="auto" w:fill="FFFFFF"/>
                <w:lang w:val="en-US"/>
              </w:rPr>
              <w:t>IL18R1</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0.1870</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0.1475</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rPr>
            </w:pPr>
            <w:r w:rsidRPr="00A60A29">
              <w:rPr>
                <w:rFonts w:eastAsia="SimSun" w:hint="eastAsia"/>
                <w:shd w:val="clear" w:color="auto" w:fill="FFFFFF"/>
              </w:rPr>
              <w:t>IL1RN</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0.0451</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0.0595</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lang w:val="en-US"/>
              </w:rPr>
            </w:pPr>
            <w:r w:rsidRPr="00A60A29">
              <w:rPr>
                <w:rFonts w:eastAsia="SimSun" w:hint="eastAsia"/>
                <w:shd w:val="clear" w:color="auto" w:fill="FFFFFF"/>
                <w:lang w:val="en-US"/>
              </w:rPr>
              <w:t>LGALS4</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0.0961</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0.0640</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rPr>
            </w:pPr>
            <w:r w:rsidRPr="00A60A29">
              <w:rPr>
                <w:rFonts w:eastAsia="SimSun" w:hint="eastAsia"/>
                <w:shd w:val="clear" w:color="auto" w:fill="FFFFFF"/>
              </w:rPr>
              <w:t>PON3</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-0.0730</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-0.0466</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lang w:val="en-US"/>
              </w:rPr>
            </w:pPr>
            <w:r w:rsidRPr="00A60A29">
              <w:rPr>
                <w:rFonts w:eastAsia="SimSun" w:hint="eastAsia"/>
                <w:shd w:val="clear" w:color="auto" w:fill="FFFFFF"/>
                <w:lang w:val="en-US"/>
              </w:rPr>
              <w:t>RTN4R</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0.0691</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0.0789</w:t>
            </w:r>
          </w:p>
        </w:tc>
      </w:tr>
      <w:tr w:rsidR="004853FC" w:rsidRPr="00A60A29">
        <w:trPr>
          <w:trHeight w:val="241"/>
        </w:trPr>
        <w:tc>
          <w:tcPr>
            <w:tcW w:w="4111" w:type="dxa"/>
            <w:tcBorders>
              <w:top w:val="nil"/>
              <w:bottom w:val="nil"/>
            </w:tcBorders>
            <w:shd w:val="clear" w:color="auto" w:fill="FFFFFF" w:themeFill="background1"/>
            <w:vAlign w:val="center"/>
          </w:tcPr>
          <w:p w:rsidR="004853FC" w:rsidRPr="00A60A29" w:rsidRDefault="00A60A29">
            <w:pPr>
              <w:spacing w:beforeLines="20" w:before="48" w:afterLines="20" w:after="48"/>
              <w:rPr>
                <w:rFonts w:eastAsia="SimSun"/>
                <w:shd w:val="clear" w:color="auto" w:fill="FFFFFF"/>
              </w:rPr>
            </w:pPr>
            <w:r w:rsidRPr="00A60A29">
              <w:rPr>
                <w:rFonts w:eastAsia="SimSun" w:hint="eastAsia"/>
                <w:shd w:val="clear" w:color="auto" w:fill="FFFFFF"/>
              </w:rPr>
              <w:t>TNFSF12</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-0.1194</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-0.1296</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Lines="20" w:before="48" w:afterLines="20" w:after="48"/>
              <w:rPr>
                <w:lang w:eastAsia="en-GB"/>
              </w:rPr>
            </w:pPr>
            <w:r w:rsidRPr="00A60A29">
              <w:rPr>
                <w:rFonts w:eastAsia="SimSun"/>
                <w:b/>
                <w:lang w:val="en-US"/>
              </w:rPr>
              <w:t>A</w:t>
            </w:r>
            <w:r w:rsidRPr="00A60A29">
              <w:rPr>
                <w:rFonts w:eastAsia="Calibri"/>
                <w:b/>
              </w:rPr>
              <w:t xml:space="preserve">dded </w:t>
            </w:r>
            <w:r w:rsidRPr="00A60A29">
              <w:rPr>
                <w:rFonts w:eastAsia="SimSun"/>
                <w:b/>
                <w:lang w:val="en-US"/>
              </w:rPr>
              <w:t>metabolite</w:t>
            </w:r>
            <w:r w:rsidRPr="00A60A29">
              <w:rPr>
                <w:rFonts w:eastAsia="Calibri"/>
                <w:b/>
              </w:rPr>
              <w:t>s</w:t>
            </w:r>
            <w:r w:rsidRPr="00A60A29">
              <w:rPr>
                <w:rFonts w:eastAsia="SimSun"/>
                <w:lang w:val="en-US"/>
              </w:rPr>
              <w:t xml:space="preserve"> </w:t>
            </w:r>
            <w:r w:rsidRPr="00A60A29">
              <w:rPr>
                <w:rFonts w:eastAsia="SimSun"/>
                <w:b/>
                <w:bCs/>
                <w:lang w:val="en-US"/>
              </w:rPr>
              <w:t>(per 1 SD)</w:t>
            </w:r>
          </w:p>
        </w:tc>
        <w:tc>
          <w:tcPr>
            <w:tcW w:w="1838" w:type="dxa"/>
            <w:tcBorders>
              <w:top w:val="nil"/>
              <w:left w:val="nil"/>
              <w:bottom w:val="nil"/>
              <w:right w:val="nil"/>
            </w:tcBorders>
          </w:tcPr>
          <w:p w:rsidR="004853FC" w:rsidRPr="00A60A29" w:rsidRDefault="004853FC">
            <w:pPr>
              <w:spacing w:before="48" w:after="48"/>
              <w:rPr>
                <w:rFonts w:eastAsia="SimSun"/>
                <w:sz w:val="22"/>
                <w:szCs w:val="22"/>
                <w:lang w:val="en-US"/>
              </w:rPr>
            </w:pPr>
          </w:p>
        </w:tc>
        <w:tc>
          <w:tcPr>
            <w:tcW w:w="1816" w:type="dxa"/>
            <w:tcBorders>
              <w:top w:val="nil"/>
              <w:left w:val="nil"/>
              <w:bottom w:val="nil"/>
              <w:right w:val="nil"/>
            </w:tcBorders>
          </w:tcPr>
          <w:p w:rsidR="004853FC" w:rsidRPr="00A60A29" w:rsidRDefault="004853FC">
            <w:pPr>
              <w:spacing w:before="48" w:after="48"/>
              <w:rPr>
                <w:rFonts w:eastAsia="SimSun"/>
                <w:sz w:val="22"/>
                <w:szCs w:val="22"/>
                <w:lang w:val="en-US"/>
              </w:rPr>
            </w:pP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3-hydroxybutyrate</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0.0362</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Acetate</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0.0168</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Citrate</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0.0187</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Glutamine</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0.0740</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Glucose</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0.1901</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IDL-CE-pct</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-0.0070</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LA-pct</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-0.0740</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Lactate</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-0.0052</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M-LDL-TG-pct</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0.0879</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Pyruvate</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-0.0468</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48" w:after="48"/>
              <w:rPr>
                <w:sz w:val="22"/>
                <w:szCs w:val="22"/>
                <w:lang w:val="en-US" w:eastAsia="en-GB"/>
              </w:rPr>
            </w:pPr>
            <w:r w:rsidRPr="00A60A29">
              <w:rPr>
                <w:sz w:val="22"/>
                <w:szCs w:val="22"/>
              </w:rPr>
              <w:t>Tyrosine</w:t>
            </w:r>
          </w:p>
        </w:tc>
        <w:tc>
          <w:tcPr>
            <w:tcW w:w="1838"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nil"/>
              <w:right w:val="nil"/>
            </w:tcBorders>
          </w:tcPr>
          <w:p w:rsidR="004853FC" w:rsidRPr="00A60A29" w:rsidRDefault="00A60A29">
            <w:pPr>
              <w:spacing w:before="48" w:after="48"/>
              <w:jc w:val="center"/>
              <w:rPr>
                <w:rFonts w:eastAsia="SimSun"/>
                <w:sz w:val="22"/>
                <w:szCs w:val="22"/>
                <w:lang w:val="en-US"/>
              </w:rPr>
            </w:pPr>
            <w:r w:rsidRPr="00A60A29">
              <w:rPr>
                <w:sz w:val="22"/>
                <w:szCs w:val="22"/>
              </w:rPr>
              <w:t>-0.1105</w:t>
            </w:r>
          </w:p>
        </w:tc>
      </w:tr>
      <w:tr w:rsidR="004853FC" w:rsidRPr="00A60A29">
        <w:trPr>
          <w:trHeight w:val="241"/>
        </w:trPr>
        <w:tc>
          <w:tcPr>
            <w:tcW w:w="4111" w:type="dxa"/>
            <w:tcBorders>
              <w:top w:val="nil"/>
              <w:bottom w:val="nil"/>
            </w:tcBorders>
            <w:shd w:val="clear" w:color="auto" w:fill="FFFFFF" w:themeFill="background1"/>
          </w:tcPr>
          <w:p w:rsidR="004853FC" w:rsidRPr="00A60A29" w:rsidRDefault="00A60A29">
            <w:pPr>
              <w:spacing w:beforeLines="20" w:before="48" w:afterLines="20" w:after="48"/>
              <w:rPr>
                <w:lang w:eastAsia="en-GB"/>
              </w:rPr>
            </w:pPr>
            <w:r w:rsidRPr="00A60A29">
              <w:rPr>
                <w:rFonts w:eastAsia="SimSun"/>
                <w:b/>
                <w:lang w:val="en-US"/>
              </w:rPr>
              <w:t>A</w:t>
            </w:r>
            <w:r w:rsidRPr="00A60A29">
              <w:rPr>
                <w:rFonts w:eastAsia="Calibri"/>
                <w:b/>
              </w:rPr>
              <w:t xml:space="preserve">dded </w:t>
            </w:r>
            <w:r w:rsidRPr="00A60A29">
              <w:rPr>
                <w:rFonts w:eastAsia="SimSun"/>
                <w:b/>
                <w:lang w:val="en-US"/>
              </w:rPr>
              <w:t>PRS</w:t>
            </w:r>
            <w:r w:rsidRPr="00A60A29">
              <w:rPr>
                <w:rFonts w:eastAsia="SimSun"/>
                <w:lang w:val="en-US"/>
              </w:rPr>
              <w:t xml:space="preserve"> </w:t>
            </w:r>
            <w:r w:rsidRPr="00A60A29">
              <w:rPr>
                <w:rFonts w:eastAsia="SimSun"/>
                <w:b/>
                <w:bCs/>
                <w:lang w:val="en-US"/>
              </w:rPr>
              <w:t>(per 1 SD)</w:t>
            </w:r>
          </w:p>
        </w:tc>
        <w:tc>
          <w:tcPr>
            <w:tcW w:w="1838" w:type="dxa"/>
            <w:tcBorders>
              <w:top w:val="nil"/>
              <w:left w:val="nil"/>
              <w:bottom w:val="nil"/>
              <w:right w:val="nil"/>
            </w:tcBorders>
          </w:tcPr>
          <w:p w:rsidR="004853FC" w:rsidRPr="00A60A29" w:rsidRDefault="004853FC">
            <w:pPr>
              <w:spacing w:before="48" w:after="48"/>
              <w:rPr>
                <w:rFonts w:eastAsia="SimSun"/>
                <w:sz w:val="22"/>
                <w:szCs w:val="22"/>
                <w:lang w:val="en-US"/>
              </w:rPr>
            </w:pPr>
          </w:p>
        </w:tc>
        <w:tc>
          <w:tcPr>
            <w:tcW w:w="1816" w:type="dxa"/>
            <w:tcBorders>
              <w:top w:val="nil"/>
              <w:left w:val="nil"/>
              <w:bottom w:val="nil"/>
              <w:right w:val="nil"/>
            </w:tcBorders>
          </w:tcPr>
          <w:p w:rsidR="004853FC" w:rsidRPr="00A60A29" w:rsidRDefault="004853FC">
            <w:pPr>
              <w:spacing w:before="48" w:after="48"/>
              <w:rPr>
                <w:rFonts w:eastAsia="SimSun"/>
                <w:sz w:val="22"/>
                <w:szCs w:val="22"/>
                <w:lang w:val="en-US"/>
              </w:rPr>
            </w:pPr>
          </w:p>
        </w:tc>
      </w:tr>
      <w:tr w:rsidR="004853FC" w:rsidRPr="00A60A29">
        <w:trPr>
          <w:trHeight w:val="241"/>
        </w:trPr>
        <w:tc>
          <w:tcPr>
            <w:tcW w:w="4111" w:type="dxa"/>
            <w:tcBorders>
              <w:top w:val="nil"/>
              <w:bottom w:val="single" w:sz="4" w:space="0" w:color="auto"/>
            </w:tcBorders>
            <w:shd w:val="clear" w:color="auto" w:fill="FFFFFF" w:themeFill="background1"/>
          </w:tcPr>
          <w:p w:rsidR="004853FC" w:rsidRPr="00A60A29" w:rsidRDefault="00A60A29">
            <w:pPr>
              <w:spacing w:beforeLines="20" w:before="48" w:afterLines="20" w:after="48"/>
              <w:rPr>
                <w:rFonts w:eastAsia="SimSun"/>
                <w:lang w:val="en-US"/>
              </w:rPr>
            </w:pPr>
            <w:r w:rsidRPr="00A60A29">
              <w:rPr>
                <w:rFonts w:eastAsia="SimSun" w:hint="eastAsia"/>
                <w:lang w:val="en-US"/>
              </w:rPr>
              <w:t>T2</w:t>
            </w:r>
            <w:r w:rsidRPr="00A60A29">
              <w:rPr>
                <w:rFonts w:eastAsia="SimSun"/>
                <w:lang w:val="en-US"/>
              </w:rPr>
              <w:t>D-PRS</w:t>
            </w:r>
          </w:p>
        </w:tc>
        <w:tc>
          <w:tcPr>
            <w:tcW w:w="1838" w:type="dxa"/>
            <w:tcBorders>
              <w:top w:val="nil"/>
              <w:left w:val="nil"/>
              <w:bottom w:val="single" w:sz="4" w:space="0" w:color="auto"/>
              <w:right w:val="nil"/>
            </w:tcBorders>
          </w:tcPr>
          <w:p w:rsidR="004853FC" w:rsidRPr="00A60A29" w:rsidRDefault="00A60A29">
            <w:pPr>
              <w:spacing w:before="48" w:after="48"/>
              <w:jc w:val="center"/>
              <w:rPr>
                <w:rFonts w:eastAsia="SimSun"/>
                <w:sz w:val="22"/>
                <w:szCs w:val="22"/>
                <w:lang w:val="en-US"/>
              </w:rPr>
            </w:pPr>
            <w:r w:rsidRPr="00A60A29">
              <w:rPr>
                <w:sz w:val="22"/>
                <w:szCs w:val="22"/>
              </w:rPr>
              <w:t>–</w:t>
            </w:r>
          </w:p>
        </w:tc>
        <w:tc>
          <w:tcPr>
            <w:tcW w:w="1816" w:type="dxa"/>
            <w:tcBorders>
              <w:top w:val="nil"/>
              <w:left w:val="nil"/>
              <w:bottom w:val="single" w:sz="4" w:space="0" w:color="auto"/>
              <w:right w:val="nil"/>
            </w:tcBorders>
          </w:tcPr>
          <w:p w:rsidR="004853FC" w:rsidRPr="00A60A29" w:rsidRDefault="00A60A29">
            <w:pPr>
              <w:spacing w:before="48" w:after="48"/>
              <w:jc w:val="center"/>
              <w:rPr>
                <w:rFonts w:eastAsia="SimSun"/>
                <w:sz w:val="22"/>
                <w:szCs w:val="22"/>
                <w:lang w:val="en-US"/>
              </w:rPr>
            </w:pPr>
            <w:r w:rsidRPr="00A60A29">
              <w:rPr>
                <w:sz w:val="22"/>
                <w:szCs w:val="22"/>
              </w:rPr>
              <w:t>0.2964</w:t>
            </w:r>
          </w:p>
        </w:tc>
      </w:tr>
    </w:tbl>
    <w:p w:rsidR="004853FC" w:rsidRPr="00A60A29" w:rsidRDefault="00A60A29">
      <w:pPr>
        <w:spacing w:before="48"/>
        <w:rPr>
          <w:sz w:val="21"/>
          <w:szCs w:val="21"/>
        </w:rPr>
      </w:pPr>
      <w:r w:rsidRPr="00A60A29">
        <w:rPr>
          <w:b/>
          <w:bCs/>
          <w:sz w:val="21"/>
          <w:szCs w:val="21"/>
        </w:rPr>
        <w:t>Abbreviations:</w:t>
      </w:r>
      <w:r w:rsidRPr="00A60A29">
        <w:rPr>
          <w:sz w:val="21"/>
          <w:szCs w:val="21"/>
        </w:rPr>
        <w:t xml:space="preserve"> ADAMTSL2, A disintegrin and metalloproteinase with thrombospondin repeats-like 2; ADGRG1, Adhesion G-protein coupled receptor G1; ADIPOQ, Adiponectin; APOM, Apolipoprotein M; CDH2, Cadherin-2; CDRS, Cambridge Diabetes Risk Score; HGF, Hepatocyte growth fa</w:t>
      </w:r>
      <w:r w:rsidRPr="00A60A29">
        <w:rPr>
          <w:sz w:val="21"/>
          <w:szCs w:val="21"/>
        </w:rPr>
        <w:t>ctor; IDL-CE-pct, cholesteryl esters to total lipids in IDL percentage; IGFBP1, Insulin-like growth factor-binding protein 1; IGSF, Immunoglobulin superfamily member; IL1RN, Interleukin-1 receptor antagonist; IL18R1, Interleukin-18 receptor 1; LA-pct, lino</w:t>
      </w:r>
      <w:r w:rsidRPr="00A60A29">
        <w:rPr>
          <w:sz w:val="21"/>
          <w:szCs w:val="21"/>
        </w:rPr>
        <w:t>leic acid to total fatty acids percentage; M-LDL-TG-pct, triglycerides to total lipids in medium LDL percentage; PON3, paraoxonase/lactonase 3; PRS, polygenic risk score; Ref, reference; RTN4R, Reticulon-4 receptor; SD, standard deviation; T2D, type 2 diab</w:t>
      </w:r>
      <w:r w:rsidRPr="00A60A29">
        <w:rPr>
          <w:sz w:val="21"/>
          <w:szCs w:val="21"/>
        </w:rPr>
        <w:t>etes; TNFSF12, TNF-related weak inducer of apoptosis.</w:t>
      </w:r>
    </w:p>
    <w:p w:rsidR="004853FC" w:rsidRPr="00A60A29" w:rsidRDefault="00A60A29">
      <w:pPr>
        <w:rPr>
          <w:sz w:val="21"/>
          <w:szCs w:val="21"/>
        </w:rPr>
      </w:pPr>
      <w:r w:rsidRPr="00A60A29">
        <w:rPr>
          <w:sz w:val="21"/>
          <w:szCs w:val="21"/>
        </w:rPr>
        <w:br w:type="page"/>
      </w:r>
    </w:p>
    <w:p w:rsidR="004853FC" w:rsidRPr="00A60A29" w:rsidRDefault="00A60A29">
      <w:pPr>
        <w:spacing w:before="48"/>
        <w:rPr>
          <w:rFonts w:eastAsia="SimSun"/>
          <w:sz w:val="21"/>
          <w:szCs w:val="21"/>
        </w:rPr>
      </w:pPr>
      <w:r w:rsidRPr="00A60A29">
        <w:rPr>
          <w:rFonts w:eastAsia="SimSun" w:hint="eastAsia"/>
          <w:noProof/>
          <w:sz w:val="21"/>
          <w:szCs w:val="21"/>
          <w:lang w:val="en-IN" w:eastAsia="en-IN"/>
        </w:rPr>
        <w:drawing>
          <wp:inline distT="0" distB="0" distL="114300" distR="114300">
            <wp:extent cx="6638925" cy="8505190"/>
            <wp:effectExtent l="0" t="0" r="12700" b="3810"/>
            <wp:docPr id="2" name="图片 2"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1"/>
                    <pic:cNvPicPr>
                      <a:picLocks noChangeAspect="1"/>
                    </pic:cNvPicPr>
                  </pic:nvPicPr>
                  <pic:blipFill>
                    <a:blip r:embed="rId6"/>
                    <a:stretch>
                      <a:fillRect/>
                    </a:stretch>
                  </pic:blipFill>
                  <pic:spPr>
                    <a:xfrm>
                      <a:off x="0" y="0"/>
                      <a:ext cx="6638925" cy="8505190"/>
                    </a:xfrm>
                    <a:prstGeom prst="rect">
                      <a:avLst/>
                    </a:prstGeom>
                  </pic:spPr>
                </pic:pic>
              </a:graphicData>
            </a:graphic>
          </wp:inline>
        </w:drawing>
      </w:r>
    </w:p>
    <w:p w:rsidR="004853FC" w:rsidRPr="00A60A29" w:rsidRDefault="004853FC">
      <w:pPr>
        <w:spacing w:before="48"/>
        <w:rPr>
          <w:sz w:val="21"/>
          <w:szCs w:val="21"/>
        </w:rPr>
      </w:pPr>
    </w:p>
    <w:p w:rsidR="004853FC" w:rsidRPr="00A60A29" w:rsidRDefault="00A60A29">
      <w:pPr>
        <w:spacing w:before="48"/>
        <w:outlineLvl w:val="0"/>
        <w:rPr>
          <w:sz w:val="21"/>
          <w:szCs w:val="21"/>
          <w:lang w:val="en-US"/>
        </w:rPr>
      </w:pPr>
      <w:bookmarkStart w:id="14" w:name="_Toc3398"/>
      <w:r w:rsidRPr="00A60A29">
        <w:rPr>
          <w:b/>
          <w:bCs/>
          <w:lang w:val="en-US"/>
        </w:rPr>
        <w:t>Supplemental Figure S</w:t>
      </w:r>
      <w:r w:rsidRPr="00A60A29">
        <w:rPr>
          <w:rFonts w:eastAsia="SimSun" w:hint="eastAsia"/>
          <w:b/>
          <w:bCs/>
          <w:lang w:val="en-US"/>
        </w:rPr>
        <w:t>1</w:t>
      </w:r>
      <w:r w:rsidRPr="00A60A29">
        <w:rPr>
          <w:b/>
          <w:bCs/>
          <w:lang w:val="en-US"/>
        </w:rPr>
        <w:t>.</w:t>
      </w:r>
      <w:r w:rsidRPr="00A60A29">
        <w:rPr>
          <w:lang w:val="en-US"/>
        </w:rPr>
        <w:t xml:space="preserve"> Flowchart of participant selection</w:t>
      </w:r>
      <w:bookmarkEnd w:id="14"/>
    </w:p>
    <w:p w:rsidR="004853FC" w:rsidRPr="00A60A29" w:rsidRDefault="00A60A29">
      <w:pPr>
        <w:spacing w:before="48"/>
        <w:rPr>
          <w:sz w:val="21"/>
          <w:szCs w:val="21"/>
          <w:lang w:val="en-US"/>
        </w:rPr>
      </w:pPr>
      <w:r w:rsidRPr="00A60A29">
        <w:rPr>
          <w:b/>
          <w:bCs/>
          <w:sz w:val="21"/>
          <w:szCs w:val="21"/>
          <w:lang w:val="en-US"/>
        </w:rPr>
        <w:t>Abbreviations:</w:t>
      </w:r>
      <w:r w:rsidRPr="00A60A29">
        <w:rPr>
          <w:sz w:val="21"/>
          <w:szCs w:val="21"/>
          <w:lang w:val="en-US"/>
        </w:rPr>
        <w:t xml:space="preserve"> HbA</w:t>
      </w:r>
      <w:r w:rsidRPr="00A60A29">
        <w:rPr>
          <w:sz w:val="21"/>
          <w:szCs w:val="21"/>
          <w:vertAlign w:val="subscript"/>
          <w:lang w:val="en-US"/>
        </w:rPr>
        <w:t>1c</w:t>
      </w:r>
      <w:r w:rsidRPr="00A60A29">
        <w:rPr>
          <w:sz w:val="21"/>
          <w:szCs w:val="21"/>
          <w:lang w:val="en-US"/>
        </w:rPr>
        <w:t>, glycated hemoglobin</w:t>
      </w:r>
      <w:r w:rsidRPr="00A60A29">
        <w:rPr>
          <w:rFonts w:eastAsia="SimSun" w:hint="eastAsia"/>
          <w:sz w:val="21"/>
          <w:szCs w:val="21"/>
          <w:lang w:val="en-US"/>
        </w:rPr>
        <w:t xml:space="preserve">; </w:t>
      </w:r>
      <w:r w:rsidRPr="00A60A29">
        <w:rPr>
          <w:sz w:val="21"/>
          <w:szCs w:val="21"/>
          <w:lang w:val="en-US"/>
        </w:rPr>
        <w:t>PRS, polygenic risk score</w:t>
      </w:r>
      <w:r w:rsidRPr="00A60A29">
        <w:rPr>
          <w:rFonts w:eastAsia="SimSun" w:hint="eastAsia"/>
          <w:sz w:val="21"/>
          <w:szCs w:val="21"/>
          <w:lang w:val="en-US"/>
        </w:rPr>
        <w:t>; T2D, type 2 diabetes</w:t>
      </w:r>
      <w:r w:rsidRPr="00A60A29">
        <w:rPr>
          <w:sz w:val="21"/>
          <w:szCs w:val="21"/>
          <w:lang w:val="en-US"/>
        </w:rPr>
        <w:t>.</w:t>
      </w:r>
    </w:p>
    <w:p w:rsidR="004853FC" w:rsidRPr="00A60A29" w:rsidRDefault="00A60A29">
      <w:pPr>
        <w:rPr>
          <w:sz w:val="21"/>
          <w:szCs w:val="21"/>
          <w:lang w:val="en-US"/>
        </w:rPr>
      </w:pPr>
      <w:r w:rsidRPr="00A60A29">
        <w:rPr>
          <w:sz w:val="21"/>
          <w:szCs w:val="21"/>
          <w:lang w:val="en-US"/>
        </w:rPr>
        <w:br w:type="page"/>
      </w:r>
    </w:p>
    <w:p w:rsidR="004853FC" w:rsidRPr="00A60A29" w:rsidRDefault="00A60A29">
      <w:pPr>
        <w:jc w:val="center"/>
        <w:rPr>
          <w:b/>
          <w:bCs/>
          <w:lang w:val="en-US"/>
        </w:rPr>
      </w:pPr>
      <w:r w:rsidRPr="00A60A29">
        <w:rPr>
          <w:rFonts w:eastAsia="SimSun" w:hint="eastAsia"/>
          <w:b/>
          <w:bCs/>
          <w:noProof/>
          <w:lang w:val="en-IN" w:eastAsia="en-IN"/>
        </w:rPr>
        <w:drawing>
          <wp:inline distT="0" distB="0" distL="114300" distR="114300">
            <wp:extent cx="6642100" cy="7472680"/>
            <wp:effectExtent l="0" t="0" r="9525" b="4445"/>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7"/>
                    <a:stretch>
                      <a:fillRect/>
                    </a:stretch>
                  </pic:blipFill>
                  <pic:spPr>
                    <a:xfrm>
                      <a:off x="0" y="0"/>
                      <a:ext cx="6642100" cy="7472680"/>
                    </a:xfrm>
                    <a:prstGeom prst="rect">
                      <a:avLst/>
                    </a:prstGeom>
                  </pic:spPr>
                </pic:pic>
              </a:graphicData>
            </a:graphic>
          </wp:inline>
        </w:drawing>
      </w:r>
    </w:p>
    <w:p w:rsidR="004853FC" w:rsidRPr="00A60A29" w:rsidRDefault="00A60A29">
      <w:pPr>
        <w:spacing w:after="48"/>
        <w:outlineLvl w:val="0"/>
        <w:rPr>
          <w:lang w:val="en-US"/>
        </w:rPr>
      </w:pPr>
      <w:bookmarkStart w:id="15" w:name="_Toc9973"/>
      <w:r w:rsidRPr="00A60A29">
        <w:rPr>
          <w:b/>
          <w:bCs/>
          <w:lang w:val="en-US"/>
        </w:rPr>
        <w:t>Supplemental Figure S</w:t>
      </w:r>
      <w:r w:rsidRPr="00A60A29">
        <w:rPr>
          <w:rFonts w:eastAsia="SimSun"/>
          <w:b/>
          <w:bCs/>
          <w:lang w:val="en-US"/>
        </w:rPr>
        <w:t>2</w:t>
      </w:r>
      <w:r w:rsidRPr="00A60A29">
        <w:rPr>
          <w:b/>
          <w:bCs/>
          <w:lang w:val="en-US"/>
        </w:rPr>
        <w:t xml:space="preserve">. </w:t>
      </w:r>
      <w:r w:rsidRPr="00A60A29">
        <w:rPr>
          <w:lang w:val="en-US"/>
        </w:rPr>
        <w:t>Calibration curves</w:t>
      </w:r>
      <w:r w:rsidRPr="00A60A29">
        <w:rPr>
          <w:lang w:val="en-US"/>
        </w:rPr>
        <w:t xml:space="preserve"> of the clinical CDRS model and its multi-omics extensions for 10-year type 2 diabetes risk prediction in the validation set (N = 19,732)</w:t>
      </w:r>
      <w:bookmarkEnd w:id="15"/>
    </w:p>
    <w:p w:rsidR="004853FC" w:rsidRPr="00A60A29" w:rsidRDefault="00A60A29">
      <w:pPr>
        <w:spacing w:after="48"/>
        <w:rPr>
          <w:sz w:val="21"/>
          <w:szCs w:val="21"/>
          <w:lang w:val="en-US"/>
        </w:rPr>
      </w:pPr>
      <w:r w:rsidRPr="00A60A29">
        <w:rPr>
          <w:sz w:val="21"/>
          <w:szCs w:val="21"/>
          <w:lang w:val="en-US"/>
        </w:rPr>
        <w:t>Predicted 10-year absolute risks were computed using the Breslow estimator of the baseline survival function from mode</w:t>
      </w:r>
      <w:r w:rsidRPr="00A60A29">
        <w:rPr>
          <w:sz w:val="21"/>
          <w:szCs w:val="21"/>
          <w:lang w:val="en-US"/>
        </w:rPr>
        <w:t>ls fitted in the derivation set. Participants in the validation set were grouped into deciles of predicted risk, and observed event rates were plotted against mean predicted risks within each decile. Shaded areas represent 95% confidence intervals based on</w:t>
      </w:r>
      <w:r w:rsidRPr="00A60A29">
        <w:rPr>
          <w:sz w:val="21"/>
          <w:szCs w:val="21"/>
          <w:lang w:val="en-US"/>
        </w:rPr>
        <w:t xml:space="preserve"> the binomial distribution. The dashed diagonal line indicates perfect calibration. The multi-omics model refers to the integration of proteomics, metabolomics, and the T2D-PRS.</w:t>
      </w:r>
    </w:p>
    <w:p w:rsidR="004853FC" w:rsidRPr="00A60A29" w:rsidRDefault="00A60A29">
      <w:pPr>
        <w:rPr>
          <w:sz w:val="21"/>
          <w:szCs w:val="21"/>
          <w:lang w:val="en-US"/>
        </w:rPr>
      </w:pPr>
      <w:r w:rsidRPr="00A60A29">
        <w:rPr>
          <w:b/>
          <w:bCs/>
          <w:sz w:val="21"/>
          <w:szCs w:val="21"/>
          <w:lang w:val="en-US"/>
        </w:rPr>
        <w:t>Abbreviations:</w:t>
      </w:r>
      <w:r w:rsidRPr="00A60A29">
        <w:rPr>
          <w:sz w:val="21"/>
          <w:szCs w:val="21"/>
          <w:lang w:val="en-US"/>
        </w:rPr>
        <w:t xml:space="preserve"> CDRS, Cambridge Diabetes Risk Score; T2D-PRS, polygenic risk score for type 2 diabetes.</w:t>
      </w:r>
    </w:p>
    <w:p w:rsidR="004853FC" w:rsidRPr="00A60A29" w:rsidRDefault="004853FC">
      <w:pPr>
        <w:rPr>
          <w:sz w:val="21"/>
          <w:szCs w:val="21"/>
          <w:lang w:val="en-US"/>
        </w:rPr>
      </w:pPr>
    </w:p>
    <w:p w:rsidR="004853FC" w:rsidRPr="00A60A29" w:rsidRDefault="00A60A29">
      <w:pPr>
        <w:jc w:val="center"/>
        <w:rPr>
          <w:rFonts w:eastAsia="SimSun"/>
          <w:b/>
          <w:bCs/>
          <w:lang w:val="en-US"/>
        </w:rPr>
      </w:pPr>
      <w:r w:rsidRPr="00A60A29">
        <w:rPr>
          <w:rFonts w:eastAsia="SimSun" w:hint="eastAsia"/>
          <w:b/>
          <w:bCs/>
          <w:noProof/>
          <w:lang w:val="en-IN" w:eastAsia="en-IN"/>
        </w:rPr>
        <w:drawing>
          <wp:inline distT="0" distB="0" distL="114300" distR="114300">
            <wp:extent cx="6638925" cy="4429760"/>
            <wp:effectExtent l="0" t="0" r="12700" b="15240"/>
            <wp:docPr id="3" name="图片 3"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5"/>
                    <pic:cNvPicPr>
                      <a:picLocks noChangeAspect="1"/>
                    </pic:cNvPicPr>
                  </pic:nvPicPr>
                  <pic:blipFill>
                    <a:blip r:embed="rId8"/>
                    <a:stretch>
                      <a:fillRect/>
                    </a:stretch>
                  </pic:blipFill>
                  <pic:spPr>
                    <a:xfrm>
                      <a:off x="0" y="0"/>
                      <a:ext cx="6638925" cy="4429760"/>
                    </a:xfrm>
                    <a:prstGeom prst="rect">
                      <a:avLst/>
                    </a:prstGeom>
                  </pic:spPr>
                </pic:pic>
              </a:graphicData>
            </a:graphic>
          </wp:inline>
        </w:drawing>
      </w:r>
    </w:p>
    <w:p w:rsidR="004853FC" w:rsidRPr="00A60A29" w:rsidRDefault="00A60A29">
      <w:pPr>
        <w:outlineLvl w:val="0"/>
        <w:rPr>
          <w:lang w:val="en-US"/>
        </w:rPr>
      </w:pPr>
      <w:bookmarkStart w:id="16" w:name="_Toc15889"/>
      <w:r w:rsidRPr="00A60A29">
        <w:rPr>
          <w:b/>
          <w:bCs/>
          <w:lang w:val="en-US"/>
        </w:rPr>
        <w:t>Supplemental Figure S</w:t>
      </w:r>
      <w:r w:rsidRPr="00A60A29">
        <w:rPr>
          <w:rFonts w:eastAsia="SimSun"/>
          <w:b/>
          <w:bCs/>
          <w:lang w:val="en-US"/>
        </w:rPr>
        <w:t>3</w:t>
      </w:r>
      <w:r w:rsidRPr="00A60A29">
        <w:rPr>
          <w:b/>
          <w:bCs/>
          <w:lang w:val="en-US"/>
        </w:rPr>
        <w:t>.</w:t>
      </w:r>
      <w:r w:rsidRPr="00A60A29">
        <w:rPr>
          <w:lang w:val="en-US"/>
        </w:rPr>
        <w:t xml:space="preserve"> Subgroup analyses of C-index (95% CI) for type 2 diabetes risk prediction models stratified by age group, BMI category, pre-diabetes status,</w:t>
      </w:r>
      <w:r w:rsidRPr="00A60A29">
        <w:rPr>
          <w:lang w:val="en-US"/>
        </w:rPr>
        <w:t xml:space="preserve"> and sex</w:t>
      </w:r>
      <w:bookmarkEnd w:id="16"/>
      <w:r w:rsidRPr="00A60A29">
        <w:rPr>
          <w:lang w:val="en-US"/>
        </w:rPr>
        <w:t xml:space="preserve"> </w:t>
      </w:r>
    </w:p>
    <w:p w:rsidR="004853FC" w:rsidRPr="00A60A29" w:rsidRDefault="00A60A29">
      <w:pPr>
        <w:spacing w:before="60" w:after="48"/>
        <w:rPr>
          <w:sz w:val="21"/>
          <w:szCs w:val="21"/>
          <w:lang w:val="en-US"/>
        </w:rPr>
      </w:pPr>
      <w:r w:rsidRPr="00A60A29">
        <w:rPr>
          <w:sz w:val="21"/>
          <w:szCs w:val="21"/>
          <w:lang w:val="en-US"/>
        </w:rPr>
        <w:t>Five models are shown: Clinical CDRS (red circle), Clinical CDRS+T2D-PRS (purple triangle), Clinical CDRS+Metabolomics (blue diamond), Clinical CDRS+Proteomics (orange square), and Clinical CDRS+Multi-omics (pink diamond). All models were evaluat</w:t>
      </w:r>
      <w:r w:rsidRPr="00A60A29">
        <w:rPr>
          <w:sz w:val="21"/>
          <w:szCs w:val="21"/>
          <w:lang w:val="en-US"/>
        </w:rPr>
        <w:t>ed in the validation set.</w:t>
      </w:r>
    </w:p>
    <w:p w:rsidR="004853FC" w:rsidRPr="00A60A29" w:rsidRDefault="00A60A29">
      <w:pPr>
        <w:rPr>
          <w:sz w:val="21"/>
          <w:szCs w:val="21"/>
          <w:lang w:val="en-US"/>
        </w:rPr>
      </w:pPr>
      <w:r w:rsidRPr="00A60A29">
        <w:rPr>
          <w:b/>
          <w:bCs/>
          <w:sz w:val="21"/>
          <w:szCs w:val="21"/>
          <w:lang w:val="en-US"/>
        </w:rPr>
        <w:t>Abbreviations:</w:t>
      </w:r>
      <w:r w:rsidRPr="00A60A29">
        <w:rPr>
          <w:sz w:val="21"/>
          <w:szCs w:val="21"/>
          <w:lang w:val="en-US"/>
        </w:rPr>
        <w:t xml:space="preserve"> BMI, body mass index; CDRS, Cambridge Diabetes Risk Score; CI, confidence interval; T2D-PRS, polygenic risk score for type 2 diabetes.</w:t>
      </w:r>
    </w:p>
    <w:p w:rsidR="004853FC" w:rsidRPr="00A60A29" w:rsidRDefault="004853FC">
      <w:pPr>
        <w:rPr>
          <w:sz w:val="21"/>
          <w:szCs w:val="21"/>
          <w:lang w:val="en-US"/>
        </w:rPr>
      </w:pPr>
    </w:p>
    <w:p w:rsidR="004853FC" w:rsidRPr="00A60A29" w:rsidRDefault="00A60A29">
      <w:pPr>
        <w:rPr>
          <w:rFonts w:eastAsia="SimSun"/>
          <w:b/>
          <w:bCs/>
          <w:lang w:val="en-US"/>
        </w:rPr>
      </w:pPr>
      <w:r w:rsidRPr="00A60A29">
        <w:rPr>
          <w:lang w:val="en-US"/>
        </w:rPr>
        <w:br w:type="page"/>
      </w:r>
    </w:p>
    <w:p w:rsidR="004853FC" w:rsidRPr="00A60A29" w:rsidRDefault="004853FC">
      <w:pPr>
        <w:jc w:val="center"/>
        <w:rPr>
          <w:rFonts w:eastAsia="SimSun"/>
          <w:b/>
          <w:bCs/>
          <w:lang w:val="en-US"/>
        </w:rPr>
        <w:sectPr w:rsidR="004853FC" w:rsidRPr="00A60A29">
          <w:footerReference w:type="default" r:id="rId9"/>
          <w:pgSz w:w="11906" w:h="16838"/>
          <w:pgMar w:top="720" w:right="720" w:bottom="720" w:left="720" w:header="708" w:footer="709" w:gutter="0"/>
          <w:cols w:space="0"/>
          <w:docGrid w:linePitch="360"/>
        </w:sectPr>
      </w:pPr>
    </w:p>
    <w:p w:rsidR="004853FC" w:rsidRPr="00A60A29" w:rsidRDefault="00A60A29">
      <w:pPr>
        <w:outlineLvl w:val="0"/>
        <w:rPr>
          <w:rFonts w:eastAsia="SimSun"/>
          <w:b/>
          <w:bCs/>
          <w:lang w:val="en-US"/>
        </w:rPr>
      </w:pPr>
      <w:bookmarkStart w:id="17" w:name="_Toc13684"/>
      <w:r w:rsidRPr="00A60A29">
        <w:rPr>
          <w:b/>
          <w:lang w:val="en-US"/>
        </w:rPr>
        <w:t xml:space="preserve">References to </w:t>
      </w:r>
      <w:r w:rsidRPr="00A60A29">
        <w:rPr>
          <w:b/>
          <w:bCs/>
          <w:color w:val="000000" w:themeColor="text1"/>
          <w:lang w:val="en-US"/>
        </w:rPr>
        <w:t>Supplemental</w:t>
      </w:r>
      <w:r w:rsidRPr="00A60A29">
        <w:rPr>
          <w:rFonts w:ascii="Cambria" w:hAnsi="Cambria"/>
          <w:b/>
          <w:bCs/>
          <w:color w:val="000000" w:themeColor="text1"/>
          <w:lang w:val="en-US"/>
        </w:rPr>
        <w:t xml:space="preserve"> </w:t>
      </w:r>
      <w:r w:rsidRPr="00A60A29">
        <w:rPr>
          <w:rFonts w:eastAsia="SimSun" w:hint="eastAsia"/>
          <w:b/>
          <w:bCs/>
          <w:lang w:val="en-US"/>
        </w:rPr>
        <w:t>Materials</w:t>
      </w:r>
      <w:bookmarkEnd w:id="17"/>
    </w:p>
    <w:p w:rsidR="004853FC" w:rsidRPr="00A60A29" w:rsidRDefault="004853FC">
      <w:pPr>
        <w:rPr>
          <w:sz w:val="20"/>
          <w:szCs w:val="20"/>
          <w:lang w:val="en-US"/>
        </w:rPr>
      </w:pPr>
    </w:p>
    <w:p w:rsidR="004853FC" w:rsidRPr="00A60A29" w:rsidRDefault="00A60A29">
      <w:pPr>
        <w:pStyle w:val="EndNoteBibliography"/>
        <w:spacing w:line="360" w:lineRule="auto"/>
        <w:ind w:left="720" w:hanging="720"/>
      </w:pPr>
      <w:r w:rsidRPr="00A60A29">
        <w:rPr>
          <w:sz w:val="22"/>
          <w:lang w:val="en-US"/>
        </w:rPr>
        <w:fldChar w:fldCharType="begin"/>
      </w:r>
      <w:r w:rsidRPr="00A60A29">
        <w:rPr>
          <w:sz w:val="22"/>
          <w:lang w:val="en-US"/>
        </w:rPr>
        <w:instrText xml:space="preserve"> ADDIN EN.REFLIST </w:instrText>
      </w:r>
      <w:r w:rsidRPr="00A60A29">
        <w:rPr>
          <w:sz w:val="22"/>
          <w:lang w:val="en-US"/>
        </w:rPr>
        <w:fldChar w:fldCharType="separate"/>
      </w:r>
      <w:r w:rsidRPr="00A60A29">
        <w:t>1.</w:t>
      </w:r>
      <w:r w:rsidRPr="00A60A29">
        <w:tab/>
        <w:t>Thompson DJ, Wells D, Selzam S, Peneva I, Moore R, Sharp K, Tarran WA, Beard EJ, Riveros-Mckay F, Giner-Delgado C</w:t>
      </w:r>
      <w:r w:rsidRPr="00A60A29">
        <w:rPr>
          <w:i/>
        </w:rPr>
        <w:t xml:space="preserve"> et al</w:t>
      </w:r>
      <w:r w:rsidRPr="00A60A29">
        <w:t xml:space="preserve">: </w:t>
      </w:r>
      <w:r w:rsidRPr="00A60A29">
        <w:rPr>
          <w:b/>
        </w:rPr>
        <w:t>A systematic evaluation</w:t>
      </w:r>
      <w:r w:rsidRPr="00A60A29">
        <w:rPr>
          <w:b/>
        </w:rPr>
        <w:t xml:space="preserve"> of the performance and properties of the UK Biobank Polygenic Risk Score (PRS) Release</w:t>
      </w:r>
      <w:r w:rsidRPr="00A60A29">
        <w:t xml:space="preserve">. </w:t>
      </w:r>
      <w:r w:rsidRPr="00A60A29">
        <w:rPr>
          <w:i/>
        </w:rPr>
        <w:t xml:space="preserve">PLoS One </w:t>
      </w:r>
      <w:r w:rsidRPr="00A60A29">
        <w:t xml:space="preserve">2024, </w:t>
      </w:r>
      <w:r w:rsidRPr="00A60A29">
        <w:rPr>
          <w:b/>
        </w:rPr>
        <w:t>19</w:t>
      </w:r>
      <w:r w:rsidRPr="00A60A29">
        <w:t>(9):e0307270.</w:t>
      </w:r>
    </w:p>
    <w:p w:rsidR="004853FC" w:rsidRPr="00A60A29" w:rsidRDefault="00A60A29">
      <w:pPr>
        <w:pStyle w:val="EndNoteBibliography"/>
        <w:spacing w:line="360" w:lineRule="auto"/>
        <w:ind w:left="720" w:hanging="720"/>
      </w:pPr>
      <w:r w:rsidRPr="00A60A29">
        <w:t>2.</w:t>
      </w:r>
      <w:r w:rsidRPr="00A60A29">
        <w:tab/>
        <w:t xml:space="preserve">Xie R, Herder C, Sha S, Peng L, Brenner H, Schoettker B: </w:t>
      </w:r>
      <w:r w:rsidRPr="00A60A29">
        <w:rPr>
          <w:b/>
        </w:rPr>
        <w:t>Novel type 2 diabetes prediction score based on traditional risk factors and</w:t>
      </w:r>
      <w:r w:rsidRPr="00A60A29">
        <w:rPr>
          <w:b/>
        </w:rPr>
        <w:t xml:space="preserve"> circulating metabolites: Model derivation and validation in two large cohort studies</w:t>
      </w:r>
      <w:r w:rsidRPr="00A60A29">
        <w:t xml:space="preserve">. </w:t>
      </w:r>
      <w:r w:rsidRPr="00A60A29">
        <w:rPr>
          <w:i/>
        </w:rPr>
        <w:t xml:space="preserve">eClinicalMedicine </w:t>
      </w:r>
      <w:r w:rsidRPr="00A60A29">
        <w:t xml:space="preserve">2025, </w:t>
      </w:r>
      <w:r w:rsidRPr="00A60A29">
        <w:rPr>
          <w:b/>
        </w:rPr>
        <w:t>79</w:t>
      </w:r>
      <w:r w:rsidRPr="00A60A29">
        <w:t>.</w:t>
      </w:r>
    </w:p>
    <w:p w:rsidR="004853FC" w:rsidRPr="00A60A29" w:rsidRDefault="00A60A29">
      <w:pPr>
        <w:pStyle w:val="EndNoteBibliography"/>
        <w:spacing w:line="360" w:lineRule="auto"/>
        <w:ind w:left="720" w:hanging="720"/>
      </w:pPr>
      <w:r w:rsidRPr="00A60A29">
        <w:t>3.</w:t>
      </w:r>
      <w:r w:rsidRPr="00A60A29">
        <w:tab/>
        <w:t xml:space="preserve">Xie R, Vlaski T, Trares K, Herder C, Holleczek B, Brenner H, Schöttker B: </w:t>
      </w:r>
      <w:r w:rsidRPr="00A60A29">
        <w:rPr>
          <w:b/>
        </w:rPr>
        <w:t>Large-Scale Proteomics Improve Risk Prediction for Type 2 Diabet</w:t>
      </w:r>
      <w:r w:rsidRPr="00A60A29">
        <w:rPr>
          <w:b/>
        </w:rPr>
        <w:t>es</w:t>
      </w:r>
      <w:r w:rsidRPr="00A60A29">
        <w:t xml:space="preserve">. </w:t>
      </w:r>
      <w:r w:rsidRPr="00A60A29">
        <w:rPr>
          <w:i/>
        </w:rPr>
        <w:t xml:space="preserve">Diabetes Care </w:t>
      </w:r>
      <w:r w:rsidRPr="00A60A29">
        <w:t>2025.</w:t>
      </w:r>
    </w:p>
    <w:p w:rsidR="004853FC" w:rsidRDefault="00A60A29">
      <w:pPr>
        <w:spacing w:after="48" w:line="360" w:lineRule="auto"/>
        <w:ind w:left="330" w:hangingChars="150" w:hanging="330"/>
        <w:rPr>
          <w:sz w:val="22"/>
          <w:szCs w:val="22"/>
          <w:lang w:val="en-US"/>
        </w:rPr>
      </w:pPr>
      <w:r w:rsidRPr="00A60A29">
        <w:rPr>
          <w:sz w:val="22"/>
          <w:szCs w:val="22"/>
          <w:lang w:val="en-US"/>
        </w:rPr>
        <w:fldChar w:fldCharType="end"/>
      </w:r>
      <w:bookmarkStart w:id="18" w:name="_GoBack"/>
      <w:bookmarkEnd w:id="18"/>
    </w:p>
    <w:sectPr w:rsidR="004853F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60A29">
      <w:r>
        <w:separator/>
      </w:r>
    </w:p>
  </w:endnote>
  <w:endnote w:type="continuationSeparator" w:id="0">
    <w:p w:rsidR="00000000" w:rsidRDefault="00A6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Microsoft YaHei"/>
    <w:charset w:val="86"/>
    <w:family w:val="auto"/>
    <w:pitch w:val="default"/>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SimSun"/>
    <w:panose1 w:val="02010600030101010101"/>
    <w:charset w:val="86"/>
    <w:family w:val="auto"/>
    <w:pitch w:val="default"/>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default"/>
    <w:sig w:usb0="00000000" w:usb1="00000000"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7201"/>
    </w:sdtPr>
    <w:sdtEndPr/>
    <w:sdtContent>
      <w:p w:rsidR="004853FC" w:rsidRDefault="00A60A29">
        <w:pPr>
          <w:pStyle w:val="Footer"/>
          <w:jc w:val="right"/>
        </w:pPr>
        <w:r>
          <w:fldChar w:fldCharType="begin"/>
        </w:r>
        <w:r>
          <w:instrText xml:space="preserve"> PAGE   \* MERGEFORMAT </w:instrText>
        </w:r>
        <w:r>
          <w:fldChar w:fldCharType="separate"/>
        </w:r>
        <w:r>
          <w:rPr>
            <w:noProof/>
          </w:rPr>
          <w:t>9</w:t>
        </w:r>
        <w:r>
          <w:fldChar w:fldCharType="end"/>
        </w:r>
      </w:p>
    </w:sdtContent>
  </w:sdt>
  <w:p w:rsidR="004853FC" w:rsidRDefault="004853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60A29">
      <w:r>
        <w:separator/>
      </w:r>
    </w:p>
  </w:footnote>
  <w:footnote w:type="continuationSeparator" w:id="0">
    <w:p w:rsidR="00000000" w:rsidRDefault="00A60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2NGM5Yjk2MjEyNGZlYzgzNmViMDQyZTBkMDNlYzYifQ=="/>
    <w:docVar w:name="EN.InstantFormat" w:val="&lt;ENInstantFormat&gt;&lt;Enabled&gt;1&lt;/Enabled&gt;&lt;ScanUnformatted&gt;1&lt;/ScanUnformatted&gt;&lt;ScanChanges&gt;1&lt;/ScanChanges&gt;&lt;Suspended&gt;1&lt;/Suspended&gt;&lt;/ENInstantFormat&gt;"/>
    <w:docVar w:name="EN.Layout" w:val="&lt;ENLayout&gt;&lt;Style&gt;BMC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v0swwfua55xjed5tspt5fu2t9rw5dv09va&quot;&gt;My EndNote Library&lt;record-ids&gt;&lt;item&gt;1045&lt;/item&gt;&lt;item&gt;1180&lt;/item&gt;&lt;item&gt;1254&lt;/item&gt;&lt;/record-ids&gt;&lt;/item&gt;&lt;/Libraries&gt;"/>
  </w:docVars>
  <w:rsids>
    <w:rsidRoot w:val="009A1EAF"/>
    <w:rsid w:val="00005021"/>
    <w:rsid w:val="000162FA"/>
    <w:rsid w:val="00022C76"/>
    <w:rsid w:val="00022D5E"/>
    <w:rsid w:val="00022DEB"/>
    <w:rsid w:val="00024705"/>
    <w:rsid w:val="00030794"/>
    <w:rsid w:val="000325A2"/>
    <w:rsid w:val="0005047E"/>
    <w:rsid w:val="000568D3"/>
    <w:rsid w:val="00056A7F"/>
    <w:rsid w:val="00074F2A"/>
    <w:rsid w:val="00084B2B"/>
    <w:rsid w:val="00086EDF"/>
    <w:rsid w:val="000944D5"/>
    <w:rsid w:val="0009522C"/>
    <w:rsid w:val="000B2048"/>
    <w:rsid w:val="000B242F"/>
    <w:rsid w:val="000B28B1"/>
    <w:rsid w:val="000B6FAF"/>
    <w:rsid w:val="000C1540"/>
    <w:rsid w:val="000C4841"/>
    <w:rsid w:val="000D2889"/>
    <w:rsid w:val="000D3D8E"/>
    <w:rsid w:val="000D455E"/>
    <w:rsid w:val="000D6825"/>
    <w:rsid w:val="000E000F"/>
    <w:rsid w:val="000F4C93"/>
    <w:rsid w:val="001024E1"/>
    <w:rsid w:val="001105F0"/>
    <w:rsid w:val="0011071E"/>
    <w:rsid w:val="00115B8F"/>
    <w:rsid w:val="00126BDA"/>
    <w:rsid w:val="001277B7"/>
    <w:rsid w:val="001304B0"/>
    <w:rsid w:val="0013340C"/>
    <w:rsid w:val="00137D45"/>
    <w:rsid w:val="00147BF3"/>
    <w:rsid w:val="0015590F"/>
    <w:rsid w:val="001567FD"/>
    <w:rsid w:val="00160319"/>
    <w:rsid w:val="00162AAB"/>
    <w:rsid w:val="001644DD"/>
    <w:rsid w:val="00165D41"/>
    <w:rsid w:val="00166EA8"/>
    <w:rsid w:val="001737E3"/>
    <w:rsid w:val="001801E3"/>
    <w:rsid w:val="00180810"/>
    <w:rsid w:val="00182B26"/>
    <w:rsid w:val="00185DD9"/>
    <w:rsid w:val="00185E3D"/>
    <w:rsid w:val="00186821"/>
    <w:rsid w:val="001918E5"/>
    <w:rsid w:val="00195776"/>
    <w:rsid w:val="001961F3"/>
    <w:rsid w:val="001A37E3"/>
    <w:rsid w:val="001B4D91"/>
    <w:rsid w:val="001C465D"/>
    <w:rsid w:val="001D1741"/>
    <w:rsid w:val="001E013F"/>
    <w:rsid w:val="001E254F"/>
    <w:rsid w:val="001E7830"/>
    <w:rsid w:val="001F4459"/>
    <w:rsid w:val="00203A89"/>
    <w:rsid w:val="00211B46"/>
    <w:rsid w:val="00213D1D"/>
    <w:rsid w:val="00216467"/>
    <w:rsid w:val="00226BB0"/>
    <w:rsid w:val="00230256"/>
    <w:rsid w:val="00246ABD"/>
    <w:rsid w:val="00247182"/>
    <w:rsid w:val="00247E20"/>
    <w:rsid w:val="00260F24"/>
    <w:rsid w:val="002610C6"/>
    <w:rsid w:val="00265B39"/>
    <w:rsid w:val="0026732B"/>
    <w:rsid w:val="00270F11"/>
    <w:rsid w:val="00282808"/>
    <w:rsid w:val="00283DC8"/>
    <w:rsid w:val="00292C0E"/>
    <w:rsid w:val="00297359"/>
    <w:rsid w:val="002A0C18"/>
    <w:rsid w:val="002A3DC1"/>
    <w:rsid w:val="002A5694"/>
    <w:rsid w:val="002B395F"/>
    <w:rsid w:val="002B6503"/>
    <w:rsid w:val="002B7D7B"/>
    <w:rsid w:val="002C3676"/>
    <w:rsid w:val="002F629E"/>
    <w:rsid w:val="00301442"/>
    <w:rsid w:val="003032B1"/>
    <w:rsid w:val="003216DF"/>
    <w:rsid w:val="00330B55"/>
    <w:rsid w:val="003314B5"/>
    <w:rsid w:val="0033358A"/>
    <w:rsid w:val="00334D4C"/>
    <w:rsid w:val="00335717"/>
    <w:rsid w:val="00340237"/>
    <w:rsid w:val="0034112A"/>
    <w:rsid w:val="00346BB7"/>
    <w:rsid w:val="003531CA"/>
    <w:rsid w:val="00355E57"/>
    <w:rsid w:val="003637F9"/>
    <w:rsid w:val="0036399D"/>
    <w:rsid w:val="00373013"/>
    <w:rsid w:val="00373871"/>
    <w:rsid w:val="00380ED9"/>
    <w:rsid w:val="003A1B35"/>
    <w:rsid w:val="003A71EA"/>
    <w:rsid w:val="003C7116"/>
    <w:rsid w:val="003D05E9"/>
    <w:rsid w:val="003D281F"/>
    <w:rsid w:val="003D35DC"/>
    <w:rsid w:val="003D7B65"/>
    <w:rsid w:val="003E245A"/>
    <w:rsid w:val="003E591C"/>
    <w:rsid w:val="003F2CCA"/>
    <w:rsid w:val="004005DE"/>
    <w:rsid w:val="00412141"/>
    <w:rsid w:val="004139DE"/>
    <w:rsid w:val="0043604E"/>
    <w:rsid w:val="004364CF"/>
    <w:rsid w:val="004439B1"/>
    <w:rsid w:val="00447566"/>
    <w:rsid w:val="00457C54"/>
    <w:rsid w:val="004628A8"/>
    <w:rsid w:val="00464B84"/>
    <w:rsid w:val="004665CB"/>
    <w:rsid w:val="004701BD"/>
    <w:rsid w:val="00470696"/>
    <w:rsid w:val="00470787"/>
    <w:rsid w:val="00474DC8"/>
    <w:rsid w:val="00481C9E"/>
    <w:rsid w:val="004853FC"/>
    <w:rsid w:val="0048636E"/>
    <w:rsid w:val="004953B9"/>
    <w:rsid w:val="0049634F"/>
    <w:rsid w:val="00496722"/>
    <w:rsid w:val="004A49CF"/>
    <w:rsid w:val="004E0AD3"/>
    <w:rsid w:val="004E15C9"/>
    <w:rsid w:val="004E3511"/>
    <w:rsid w:val="004F56E0"/>
    <w:rsid w:val="00500871"/>
    <w:rsid w:val="00500E7A"/>
    <w:rsid w:val="00514C17"/>
    <w:rsid w:val="005352DD"/>
    <w:rsid w:val="00542D7F"/>
    <w:rsid w:val="005434C7"/>
    <w:rsid w:val="00547347"/>
    <w:rsid w:val="005478C4"/>
    <w:rsid w:val="005505EE"/>
    <w:rsid w:val="00560723"/>
    <w:rsid w:val="00561E64"/>
    <w:rsid w:val="00570C06"/>
    <w:rsid w:val="00572298"/>
    <w:rsid w:val="005758CB"/>
    <w:rsid w:val="00580CE6"/>
    <w:rsid w:val="005824C9"/>
    <w:rsid w:val="00582717"/>
    <w:rsid w:val="00583685"/>
    <w:rsid w:val="00585D4A"/>
    <w:rsid w:val="005B10C1"/>
    <w:rsid w:val="005C04D0"/>
    <w:rsid w:val="005D7247"/>
    <w:rsid w:val="005E3F05"/>
    <w:rsid w:val="005E6E3C"/>
    <w:rsid w:val="005F082D"/>
    <w:rsid w:val="005F201C"/>
    <w:rsid w:val="005F44C2"/>
    <w:rsid w:val="00607DB9"/>
    <w:rsid w:val="006105A8"/>
    <w:rsid w:val="006148F2"/>
    <w:rsid w:val="00622D15"/>
    <w:rsid w:val="00633CFC"/>
    <w:rsid w:val="00635394"/>
    <w:rsid w:val="006433A9"/>
    <w:rsid w:val="00644480"/>
    <w:rsid w:val="00651D41"/>
    <w:rsid w:val="00653065"/>
    <w:rsid w:val="006560F9"/>
    <w:rsid w:val="006642A9"/>
    <w:rsid w:val="00666739"/>
    <w:rsid w:val="00674F2E"/>
    <w:rsid w:val="00682762"/>
    <w:rsid w:val="00684DA6"/>
    <w:rsid w:val="006B645C"/>
    <w:rsid w:val="006B67C8"/>
    <w:rsid w:val="006C13F7"/>
    <w:rsid w:val="006E1F5E"/>
    <w:rsid w:val="006E2349"/>
    <w:rsid w:val="006E75CD"/>
    <w:rsid w:val="006F1D30"/>
    <w:rsid w:val="006F1DA3"/>
    <w:rsid w:val="007063CA"/>
    <w:rsid w:val="007142A4"/>
    <w:rsid w:val="0071582B"/>
    <w:rsid w:val="0072002A"/>
    <w:rsid w:val="00721998"/>
    <w:rsid w:val="00743F6B"/>
    <w:rsid w:val="00744417"/>
    <w:rsid w:val="00751A39"/>
    <w:rsid w:val="00755CFD"/>
    <w:rsid w:val="0076667A"/>
    <w:rsid w:val="007718A8"/>
    <w:rsid w:val="00773625"/>
    <w:rsid w:val="007767CF"/>
    <w:rsid w:val="007809C3"/>
    <w:rsid w:val="00780E1D"/>
    <w:rsid w:val="0078313C"/>
    <w:rsid w:val="007A5B17"/>
    <w:rsid w:val="007B1A6E"/>
    <w:rsid w:val="007B7951"/>
    <w:rsid w:val="007D4E33"/>
    <w:rsid w:val="007E3B87"/>
    <w:rsid w:val="007E7E47"/>
    <w:rsid w:val="007F2B64"/>
    <w:rsid w:val="007F6905"/>
    <w:rsid w:val="007F6AF0"/>
    <w:rsid w:val="00800913"/>
    <w:rsid w:val="00802291"/>
    <w:rsid w:val="008078A0"/>
    <w:rsid w:val="008163D3"/>
    <w:rsid w:val="00820950"/>
    <w:rsid w:val="0084035E"/>
    <w:rsid w:val="00863637"/>
    <w:rsid w:val="00865DEA"/>
    <w:rsid w:val="00884A49"/>
    <w:rsid w:val="00887FD0"/>
    <w:rsid w:val="008A2D07"/>
    <w:rsid w:val="008A4AA5"/>
    <w:rsid w:val="008A5E9F"/>
    <w:rsid w:val="008B30B7"/>
    <w:rsid w:val="008B7485"/>
    <w:rsid w:val="008C6434"/>
    <w:rsid w:val="008D457E"/>
    <w:rsid w:val="008E7D76"/>
    <w:rsid w:val="008F5B3C"/>
    <w:rsid w:val="00937658"/>
    <w:rsid w:val="00944471"/>
    <w:rsid w:val="0095483B"/>
    <w:rsid w:val="00962D63"/>
    <w:rsid w:val="0098490A"/>
    <w:rsid w:val="009A1EAF"/>
    <w:rsid w:val="009C0FAC"/>
    <w:rsid w:val="009C5593"/>
    <w:rsid w:val="009D09B9"/>
    <w:rsid w:val="009E04EC"/>
    <w:rsid w:val="009F0EFD"/>
    <w:rsid w:val="009F7270"/>
    <w:rsid w:val="00A048D3"/>
    <w:rsid w:val="00A0509D"/>
    <w:rsid w:val="00A1220E"/>
    <w:rsid w:val="00A24F48"/>
    <w:rsid w:val="00A31F80"/>
    <w:rsid w:val="00A35337"/>
    <w:rsid w:val="00A374C1"/>
    <w:rsid w:val="00A52834"/>
    <w:rsid w:val="00A55C30"/>
    <w:rsid w:val="00A57D6C"/>
    <w:rsid w:val="00A60A29"/>
    <w:rsid w:val="00A635EA"/>
    <w:rsid w:val="00A66372"/>
    <w:rsid w:val="00A7026F"/>
    <w:rsid w:val="00A75BBF"/>
    <w:rsid w:val="00A94C52"/>
    <w:rsid w:val="00A969B8"/>
    <w:rsid w:val="00AA78C6"/>
    <w:rsid w:val="00AB5F65"/>
    <w:rsid w:val="00AC0E26"/>
    <w:rsid w:val="00AC3BFB"/>
    <w:rsid w:val="00AC4B3A"/>
    <w:rsid w:val="00AC577C"/>
    <w:rsid w:val="00AC7CC3"/>
    <w:rsid w:val="00AD2D6E"/>
    <w:rsid w:val="00AD3ADE"/>
    <w:rsid w:val="00AE29E0"/>
    <w:rsid w:val="00AE55BA"/>
    <w:rsid w:val="00AF0B70"/>
    <w:rsid w:val="00AF0DB2"/>
    <w:rsid w:val="00B04FEC"/>
    <w:rsid w:val="00B102EA"/>
    <w:rsid w:val="00B22C3E"/>
    <w:rsid w:val="00B244AA"/>
    <w:rsid w:val="00B24D50"/>
    <w:rsid w:val="00B33F79"/>
    <w:rsid w:val="00B478EE"/>
    <w:rsid w:val="00B47A80"/>
    <w:rsid w:val="00B52736"/>
    <w:rsid w:val="00B54FFC"/>
    <w:rsid w:val="00B623A2"/>
    <w:rsid w:val="00B644EF"/>
    <w:rsid w:val="00B644F5"/>
    <w:rsid w:val="00B72546"/>
    <w:rsid w:val="00B75889"/>
    <w:rsid w:val="00B939B4"/>
    <w:rsid w:val="00B93D0E"/>
    <w:rsid w:val="00BA3A7C"/>
    <w:rsid w:val="00BA5607"/>
    <w:rsid w:val="00BB2483"/>
    <w:rsid w:val="00BD3672"/>
    <w:rsid w:val="00BD43A9"/>
    <w:rsid w:val="00BD6D7B"/>
    <w:rsid w:val="00BD7B8B"/>
    <w:rsid w:val="00BE0D62"/>
    <w:rsid w:val="00C03A4E"/>
    <w:rsid w:val="00C04D4A"/>
    <w:rsid w:val="00C05CAC"/>
    <w:rsid w:val="00C16C94"/>
    <w:rsid w:val="00C36927"/>
    <w:rsid w:val="00C50D50"/>
    <w:rsid w:val="00C527B8"/>
    <w:rsid w:val="00C57C29"/>
    <w:rsid w:val="00C6316A"/>
    <w:rsid w:val="00C67876"/>
    <w:rsid w:val="00CA1CEC"/>
    <w:rsid w:val="00CA5018"/>
    <w:rsid w:val="00CA61AE"/>
    <w:rsid w:val="00CA7A04"/>
    <w:rsid w:val="00CA7D46"/>
    <w:rsid w:val="00CB3526"/>
    <w:rsid w:val="00CC00AF"/>
    <w:rsid w:val="00CD4A65"/>
    <w:rsid w:val="00CE54FF"/>
    <w:rsid w:val="00CE7ECB"/>
    <w:rsid w:val="00CF5718"/>
    <w:rsid w:val="00D01F70"/>
    <w:rsid w:val="00D12657"/>
    <w:rsid w:val="00D14AD2"/>
    <w:rsid w:val="00D1586C"/>
    <w:rsid w:val="00D2535C"/>
    <w:rsid w:val="00D25452"/>
    <w:rsid w:val="00D26B0D"/>
    <w:rsid w:val="00D346F3"/>
    <w:rsid w:val="00D507C5"/>
    <w:rsid w:val="00D65FB5"/>
    <w:rsid w:val="00D708C1"/>
    <w:rsid w:val="00D718CE"/>
    <w:rsid w:val="00D91596"/>
    <w:rsid w:val="00D925CE"/>
    <w:rsid w:val="00D96B12"/>
    <w:rsid w:val="00DA1752"/>
    <w:rsid w:val="00DA2351"/>
    <w:rsid w:val="00DB3540"/>
    <w:rsid w:val="00DB56B5"/>
    <w:rsid w:val="00DC2FFF"/>
    <w:rsid w:val="00DC65DE"/>
    <w:rsid w:val="00DD242B"/>
    <w:rsid w:val="00DD3AC9"/>
    <w:rsid w:val="00DD4B1C"/>
    <w:rsid w:val="00DE02D1"/>
    <w:rsid w:val="00DE5ABB"/>
    <w:rsid w:val="00DE7505"/>
    <w:rsid w:val="00E02534"/>
    <w:rsid w:val="00E05E03"/>
    <w:rsid w:val="00E070F7"/>
    <w:rsid w:val="00E07F27"/>
    <w:rsid w:val="00E15847"/>
    <w:rsid w:val="00E15A54"/>
    <w:rsid w:val="00E2477A"/>
    <w:rsid w:val="00E32D43"/>
    <w:rsid w:val="00E54759"/>
    <w:rsid w:val="00E620DF"/>
    <w:rsid w:val="00E62749"/>
    <w:rsid w:val="00E67476"/>
    <w:rsid w:val="00E755DE"/>
    <w:rsid w:val="00E80724"/>
    <w:rsid w:val="00E84D39"/>
    <w:rsid w:val="00EB5D9C"/>
    <w:rsid w:val="00EC446B"/>
    <w:rsid w:val="00EF3338"/>
    <w:rsid w:val="00EF6AB8"/>
    <w:rsid w:val="00F05FB3"/>
    <w:rsid w:val="00F06205"/>
    <w:rsid w:val="00F06879"/>
    <w:rsid w:val="00F077F4"/>
    <w:rsid w:val="00F2010B"/>
    <w:rsid w:val="00F325C3"/>
    <w:rsid w:val="00F32A6C"/>
    <w:rsid w:val="00F33317"/>
    <w:rsid w:val="00F34CBC"/>
    <w:rsid w:val="00F37920"/>
    <w:rsid w:val="00F41A7D"/>
    <w:rsid w:val="00F43BE1"/>
    <w:rsid w:val="00F50331"/>
    <w:rsid w:val="00F53F89"/>
    <w:rsid w:val="00F61E64"/>
    <w:rsid w:val="00F61EBB"/>
    <w:rsid w:val="00F7272C"/>
    <w:rsid w:val="00F90EC0"/>
    <w:rsid w:val="00F92683"/>
    <w:rsid w:val="00F95D84"/>
    <w:rsid w:val="00FA67D5"/>
    <w:rsid w:val="00FA7EB6"/>
    <w:rsid w:val="00FB01F4"/>
    <w:rsid w:val="00FB6504"/>
    <w:rsid w:val="00FC06CC"/>
    <w:rsid w:val="00FC2AA2"/>
    <w:rsid w:val="00FC52CF"/>
    <w:rsid w:val="00FC7778"/>
    <w:rsid w:val="00FD4710"/>
    <w:rsid w:val="00FD5657"/>
    <w:rsid w:val="00FE0A12"/>
    <w:rsid w:val="00FE6C69"/>
    <w:rsid w:val="00FF5730"/>
    <w:rsid w:val="00FF7ED7"/>
    <w:rsid w:val="021A3E57"/>
    <w:rsid w:val="030D40BE"/>
    <w:rsid w:val="06866929"/>
    <w:rsid w:val="0D7F3F8F"/>
    <w:rsid w:val="0EA13295"/>
    <w:rsid w:val="11526D74"/>
    <w:rsid w:val="138A175B"/>
    <w:rsid w:val="17B648CC"/>
    <w:rsid w:val="1BBC3895"/>
    <w:rsid w:val="1CCA1FC8"/>
    <w:rsid w:val="1F615A66"/>
    <w:rsid w:val="211D776A"/>
    <w:rsid w:val="21EB780D"/>
    <w:rsid w:val="222A0391"/>
    <w:rsid w:val="22C407E5"/>
    <w:rsid w:val="26047289"/>
    <w:rsid w:val="27895351"/>
    <w:rsid w:val="27A75903"/>
    <w:rsid w:val="27DC3DC4"/>
    <w:rsid w:val="2A082827"/>
    <w:rsid w:val="2AB5351B"/>
    <w:rsid w:val="2C646029"/>
    <w:rsid w:val="2D75610E"/>
    <w:rsid w:val="2E302653"/>
    <w:rsid w:val="2F4E00BE"/>
    <w:rsid w:val="2F764578"/>
    <w:rsid w:val="2F874C33"/>
    <w:rsid w:val="2FB31219"/>
    <w:rsid w:val="32F73331"/>
    <w:rsid w:val="33735A15"/>
    <w:rsid w:val="3480781C"/>
    <w:rsid w:val="35255C2D"/>
    <w:rsid w:val="36056F91"/>
    <w:rsid w:val="366653AB"/>
    <w:rsid w:val="36763CC6"/>
    <w:rsid w:val="38FA068D"/>
    <w:rsid w:val="3ABE3B1B"/>
    <w:rsid w:val="3E2749BC"/>
    <w:rsid w:val="3F0F1314"/>
    <w:rsid w:val="3F73587B"/>
    <w:rsid w:val="3FD23472"/>
    <w:rsid w:val="40E51B63"/>
    <w:rsid w:val="41E313B5"/>
    <w:rsid w:val="42EA5639"/>
    <w:rsid w:val="43AA0EDA"/>
    <w:rsid w:val="45CF32AD"/>
    <w:rsid w:val="46083811"/>
    <w:rsid w:val="46D53DA7"/>
    <w:rsid w:val="46EB783F"/>
    <w:rsid w:val="48536291"/>
    <w:rsid w:val="485E0CD0"/>
    <w:rsid w:val="491C33F9"/>
    <w:rsid w:val="49CD0431"/>
    <w:rsid w:val="4AFC64BF"/>
    <w:rsid w:val="4BA444CB"/>
    <w:rsid w:val="4C5F0E04"/>
    <w:rsid w:val="5015638D"/>
    <w:rsid w:val="510755D9"/>
    <w:rsid w:val="513D513B"/>
    <w:rsid w:val="54D23730"/>
    <w:rsid w:val="550339B3"/>
    <w:rsid w:val="56CB143B"/>
    <w:rsid w:val="57EA2992"/>
    <w:rsid w:val="597A61FF"/>
    <w:rsid w:val="59B7723B"/>
    <w:rsid w:val="5AF544AA"/>
    <w:rsid w:val="5C20543D"/>
    <w:rsid w:val="5EFD2117"/>
    <w:rsid w:val="5F0E45BB"/>
    <w:rsid w:val="5F327E2E"/>
    <w:rsid w:val="5F3B1FD9"/>
    <w:rsid w:val="60A75E01"/>
    <w:rsid w:val="61981B89"/>
    <w:rsid w:val="63C01ECD"/>
    <w:rsid w:val="64D12312"/>
    <w:rsid w:val="65167D25"/>
    <w:rsid w:val="666B03FD"/>
    <w:rsid w:val="69570204"/>
    <w:rsid w:val="6A8E23D7"/>
    <w:rsid w:val="6AD94E0C"/>
    <w:rsid w:val="6DD540D4"/>
    <w:rsid w:val="6E587F3F"/>
    <w:rsid w:val="71FA4B19"/>
    <w:rsid w:val="72791350"/>
    <w:rsid w:val="739A137E"/>
    <w:rsid w:val="75AE67EA"/>
    <w:rsid w:val="76506017"/>
    <w:rsid w:val="788B1C67"/>
    <w:rsid w:val="7ACC0CFE"/>
    <w:rsid w:val="7CEC4863"/>
    <w:rsid w:val="7D3E6A83"/>
    <w:rsid w:val="7D8673F8"/>
    <w:rsid w:val="7E674A94"/>
    <w:rsid w:val="7EC8646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333CA-88DB-4FCC-B21B-1030D6DFE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Pr>
      <w:rFonts w:eastAsia="Times New Roman"/>
      <w:sz w:val="24"/>
      <w:szCs w:val="24"/>
      <w:lang w:val="de-DE" w:eastAsia="zh-CN"/>
    </w:rPr>
  </w:style>
  <w:style w:type="paragraph" w:styleId="Heading1">
    <w:name w:val="heading 1"/>
    <w:basedOn w:val="Normal"/>
    <w:next w:val="Normal"/>
    <w:link w:val="Heading1Char"/>
    <w:autoRedefine/>
    <w:uiPriority w:val="9"/>
    <w:qFormat/>
    <w:pPr>
      <w:keepNext/>
      <w:keepLines/>
      <w:spacing w:before="240"/>
      <w:ind w:firstLine="567"/>
      <w:outlineLvl w:val="0"/>
    </w:pPr>
    <w:rPr>
      <w:rFonts w:asciiTheme="majorHAnsi" w:eastAsiaTheme="majorEastAsia" w:hAnsiTheme="majorHAnsi" w:cstheme="majorBidi"/>
      <w:color w:val="2F5496" w:themeColor="accent1" w:themeShade="BF"/>
      <w:sz w:val="32"/>
      <w:szCs w:val="32"/>
      <w:lang w:eastAsia="de-DE"/>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semiHidden/>
    <w:unhideWhenUsed/>
    <w:qFormat/>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val="en-GB"/>
    </w:rPr>
  </w:style>
  <w:style w:type="paragraph" w:styleId="Heading6">
    <w:name w:val="heading 6"/>
    <w:basedOn w:val="Normal"/>
    <w:next w:val="Text"/>
    <w:link w:val="Heading6Char"/>
    <w:autoRedefine/>
    <w:uiPriority w:val="9"/>
    <w:qFormat/>
    <w:pPr>
      <w:keepNext/>
      <w:keepLines/>
      <w:spacing w:before="240" w:after="60"/>
      <w:ind w:left="1701" w:hanging="1701"/>
      <w:outlineLvl w:val="5"/>
    </w:pPr>
    <w:rPr>
      <w:rFonts w:ascii="Arial" w:eastAsia="MS Gothic" w:hAnsi="Arial" w:cs="Arial"/>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autoRedefine/>
    <w:qFormat/>
    <w:pPr>
      <w:spacing w:before="120"/>
      <w:jc w:val="both"/>
    </w:pPr>
    <w:rPr>
      <w:rFonts w:eastAsia="MS Mincho"/>
      <w:szCs w:val="20"/>
      <w:lang w:val="en-US"/>
    </w:rPr>
  </w:style>
  <w:style w:type="paragraph" w:styleId="TOC7">
    <w:name w:val="toc 7"/>
    <w:basedOn w:val="Normal"/>
    <w:next w:val="Normal"/>
    <w:autoRedefine/>
    <w:uiPriority w:val="39"/>
    <w:unhideWhenUsed/>
    <w:qFormat/>
    <w:pPr>
      <w:ind w:left="1440"/>
    </w:pPr>
    <w:rPr>
      <w:rFonts w:asciiTheme="minorHAnsi" w:hAnsiTheme="minorHAnsi" w:cstheme="minorHAnsi"/>
      <w:sz w:val="20"/>
      <w:szCs w:val="20"/>
    </w:rPr>
  </w:style>
  <w:style w:type="paragraph" w:styleId="CommentText">
    <w:name w:val="annotation text"/>
    <w:basedOn w:val="Normal"/>
    <w:link w:val="CommentTextChar"/>
    <w:autoRedefine/>
    <w:uiPriority w:val="99"/>
    <w:unhideWhenUsed/>
    <w:qFormat/>
    <w:pPr>
      <w:ind w:firstLine="567"/>
    </w:pPr>
    <w:rPr>
      <w:rFonts w:eastAsia="SimSun"/>
      <w:sz w:val="20"/>
      <w:szCs w:val="20"/>
      <w:lang w:eastAsia="de-DE"/>
    </w:rPr>
  </w:style>
  <w:style w:type="paragraph" w:styleId="TOC5">
    <w:name w:val="toc 5"/>
    <w:basedOn w:val="Normal"/>
    <w:next w:val="Normal"/>
    <w:autoRedefine/>
    <w:uiPriority w:val="39"/>
    <w:unhideWhenUsed/>
    <w:qFormat/>
    <w:pPr>
      <w:ind w:left="960"/>
    </w:pPr>
    <w:rPr>
      <w:rFonts w:asciiTheme="minorHAnsi" w:hAnsiTheme="minorHAnsi" w:cstheme="minorHAnsi"/>
      <w:sz w:val="20"/>
      <w:szCs w:val="20"/>
    </w:rPr>
  </w:style>
  <w:style w:type="paragraph" w:styleId="TOC3">
    <w:name w:val="toc 3"/>
    <w:basedOn w:val="Normal"/>
    <w:next w:val="Normal"/>
    <w:autoRedefine/>
    <w:uiPriority w:val="39"/>
    <w:unhideWhenUsed/>
    <w:qFormat/>
    <w:pPr>
      <w:ind w:left="480"/>
    </w:pPr>
    <w:rPr>
      <w:rFonts w:asciiTheme="minorHAnsi" w:hAnsiTheme="minorHAnsi" w:cstheme="minorHAnsi"/>
      <w:sz w:val="20"/>
      <w:szCs w:val="20"/>
    </w:rPr>
  </w:style>
  <w:style w:type="paragraph" w:styleId="TOC8">
    <w:name w:val="toc 8"/>
    <w:basedOn w:val="Normal"/>
    <w:next w:val="Normal"/>
    <w:autoRedefine/>
    <w:uiPriority w:val="39"/>
    <w:unhideWhenUsed/>
    <w:qFormat/>
    <w:pPr>
      <w:ind w:left="1680"/>
    </w:pPr>
    <w:rPr>
      <w:rFonts w:asciiTheme="minorHAnsi" w:hAnsiTheme="minorHAnsi" w:cstheme="minorHAnsi"/>
      <w:sz w:val="20"/>
      <w:szCs w:val="20"/>
    </w:rPr>
  </w:style>
  <w:style w:type="paragraph" w:styleId="BalloonText">
    <w:name w:val="Balloon Text"/>
    <w:basedOn w:val="Normal"/>
    <w:link w:val="BalloonTextChar"/>
    <w:autoRedefine/>
    <w:uiPriority w:val="99"/>
    <w:semiHidden/>
    <w:unhideWhenUsed/>
    <w:qFormat/>
    <w:pPr>
      <w:ind w:firstLine="567"/>
    </w:pPr>
    <w:rPr>
      <w:rFonts w:ascii="Segoe UI" w:eastAsia="SimSun" w:hAnsi="Segoe UI" w:cs="Segoe UI"/>
      <w:sz w:val="18"/>
      <w:szCs w:val="18"/>
      <w:lang w:eastAsia="de-DE"/>
    </w:rPr>
  </w:style>
  <w:style w:type="paragraph" w:styleId="Footer">
    <w:name w:val="footer"/>
    <w:basedOn w:val="Normal"/>
    <w:link w:val="FooterChar"/>
    <w:autoRedefine/>
    <w:uiPriority w:val="99"/>
    <w:qFormat/>
    <w:pPr>
      <w:tabs>
        <w:tab w:val="center" w:pos="4536"/>
        <w:tab w:val="right" w:pos="9072"/>
      </w:tabs>
      <w:ind w:firstLine="567"/>
    </w:pPr>
    <w:rPr>
      <w:rFonts w:eastAsia="SimSun"/>
      <w:lang w:eastAsia="de-DE"/>
    </w:rPr>
  </w:style>
  <w:style w:type="paragraph" w:styleId="Header">
    <w:name w:val="header"/>
    <w:basedOn w:val="Normal"/>
    <w:link w:val="HeaderChar"/>
    <w:autoRedefine/>
    <w:uiPriority w:val="99"/>
    <w:unhideWhenUsed/>
    <w:qFormat/>
    <w:pPr>
      <w:tabs>
        <w:tab w:val="center" w:pos="4513"/>
        <w:tab w:val="right" w:pos="9026"/>
      </w:tabs>
      <w:ind w:firstLine="567"/>
    </w:pPr>
    <w:rPr>
      <w:rFonts w:eastAsia="SimSun"/>
      <w:lang w:eastAsia="de-DE"/>
    </w:rPr>
  </w:style>
  <w:style w:type="paragraph" w:styleId="TOC1">
    <w:name w:val="toc 1"/>
    <w:basedOn w:val="Normal"/>
    <w:next w:val="Normal"/>
    <w:autoRedefine/>
    <w:uiPriority w:val="39"/>
    <w:unhideWhenUsed/>
    <w:qFormat/>
    <w:pPr>
      <w:spacing w:before="120"/>
    </w:pPr>
    <w:rPr>
      <w:rFonts w:asciiTheme="minorHAnsi" w:hAnsiTheme="minorHAnsi" w:cstheme="minorHAnsi"/>
      <w:b/>
      <w:bCs/>
      <w:i/>
      <w:iCs/>
    </w:rPr>
  </w:style>
  <w:style w:type="paragraph" w:styleId="TOC4">
    <w:name w:val="toc 4"/>
    <w:basedOn w:val="Normal"/>
    <w:next w:val="Normal"/>
    <w:autoRedefine/>
    <w:uiPriority w:val="39"/>
    <w:unhideWhenUsed/>
    <w:qFormat/>
    <w:pPr>
      <w:ind w:left="720"/>
    </w:pPr>
    <w:rPr>
      <w:rFonts w:asciiTheme="minorHAnsi" w:hAnsiTheme="minorHAnsi" w:cstheme="minorHAnsi"/>
      <w:sz w:val="20"/>
      <w:szCs w:val="20"/>
    </w:rPr>
  </w:style>
  <w:style w:type="paragraph" w:styleId="TOC6">
    <w:name w:val="toc 6"/>
    <w:basedOn w:val="Normal"/>
    <w:next w:val="Normal"/>
    <w:autoRedefine/>
    <w:uiPriority w:val="39"/>
    <w:unhideWhenUsed/>
    <w:qFormat/>
    <w:pPr>
      <w:ind w:left="1200"/>
    </w:pPr>
    <w:rPr>
      <w:rFonts w:asciiTheme="minorHAnsi" w:hAnsiTheme="minorHAnsi" w:cstheme="minorHAnsi"/>
      <w:sz w:val="20"/>
      <w:szCs w:val="20"/>
    </w:rPr>
  </w:style>
  <w:style w:type="paragraph" w:styleId="TOC2">
    <w:name w:val="toc 2"/>
    <w:basedOn w:val="Normal"/>
    <w:next w:val="Normal"/>
    <w:autoRedefine/>
    <w:uiPriority w:val="39"/>
    <w:unhideWhenUsed/>
    <w:qFormat/>
    <w:pPr>
      <w:spacing w:before="120"/>
      <w:ind w:left="240"/>
    </w:pPr>
    <w:rPr>
      <w:rFonts w:asciiTheme="minorHAnsi" w:hAnsiTheme="minorHAnsi" w:cstheme="minorHAnsi"/>
      <w:b/>
      <w:bCs/>
      <w:sz w:val="22"/>
      <w:szCs w:val="22"/>
    </w:rPr>
  </w:style>
  <w:style w:type="paragraph" w:styleId="TOC9">
    <w:name w:val="toc 9"/>
    <w:basedOn w:val="Normal"/>
    <w:next w:val="Normal"/>
    <w:autoRedefine/>
    <w:uiPriority w:val="39"/>
    <w:unhideWhenUsed/>
    <w:qFormat/>
    <w:pPr>
      <w:ind w:left="1920"/>
    </w:pPr>
    <w:rPr>
      <w:rFonts w:asciiTheme="minorHAnsi" w:hAnsiTheme="minorHAnsi" w:cstheme="minorHAnsi"/>
      <w:sz w:val="20"/>
      <w:szCs w:val="20"/>
    </w:rPr>
  </w:style>
  <w:style w:type="paragraph" w:styleId="HTMLPreformatted">
    <w:name w:val="HTML Preformatted"/>
    <w:basedOn w:val="Normal"/>
    <w:link w:val="HTMLPreformattedChar"/>
    <w:autoRedefine/>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SimSun" w:eastAsia="SimSun" w:hAnsi="SimSun" w:hint="eastAsia"/>
      <w:lang w:val="en-US"/>
    </w:rPr>
  </w:style>
  <w:style w:type="paragraph" w:styleId="NormalWeb">
    <w:name w:val="Normal (Web)"/>
    <w:basedOn w:val="Normal"/>
    <w:uiPriority w:val="99"/>
    <w:semiHidden/>
    <w:unhideWhenUsed/>
    <w:qFormat/>
    <w:pPr>
      <w:spacing w:beforeAutospacing="1" w:afterAutospacing="1"/>
    </w:pPr>
    <w:rPr>
      <w:lang w:val="en-US"/>
    </w:rPr>
  </w:style>
  <w:style w:type="paragraph" w:styleId="CommentSubject">
    <w:name w:val="annotation subject"/>
    <w:basedOn w:val="CommentText"/>
    <w:next w:val="CommentText"/>
    <w:link w:val="CommentSubjectChar"/>
    <w:autoRedefine/>
    <w:uiPriority w:val="99"/>
    <w:semiHidden/>
    <w:unhideWhenUsed/>
    <w:qFormat/>
    <w:rPr>
      <w:b/>
      <w:bCs/>
    </w:rPr>
  </w:style>
  <w:style w:type="table" w:styleId="TableGrid">
    <w:name w:val="Table Grid"/>
    <w:basedOn w:val="TableNormal"/>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styleId="PageNumber">
    <w:name w:val="page number"/>
    <w:basedOn w:val="DefaultParagraphFont"/>
    <w:autoRedefine/>
    <w:qFormat/>
  </w:style>
  <w:style w:type="character" w:styleId="Hyperlink">
    <w:name w:val="Hyperlink"/>
    <w:basedOn w:val="DefaultParagraphFont"/>
    <w:autoRedefine/>
    <w:uiPriority w:val="99"/>
    <w:unhideWhenUsed/>
    <w:qFormat/>
    <w:rPr>
      <w:color w:val="0563C1" w:themeColor="hyperlink"/>
      <w:u w:val="single"/>
    </w:rPr>
  </w:style>
  <w:style w:type="character" w:styleId="CommentReference">
    <w:name w:val="annotation reference"/>
    <w:basedOn w:val="DefaultParagraphFont"/>
    <w:autoRedefine/>
    <w:uiPriority w:val="99"/>
    <w:semiHidden/>
    <w:unhideWhenUsed/>
    <w:qFormat/>
    <w:rPr>
      <w:sz w:val="16"/>
      <w:szCs w:val="16"/>
    </w:rPr>
  </w:style>
  <w:style w:type="character" w:customStyle="1" w:styleId="Heading1Char">
    <w:name w:val="Heading 1 Char"/>
    <w:basedOn w:val="DefaultParagraphFont"/>
    <w:link w:val="Heading1"/>
    <w:autoRedefine/>
    <w:uiPriority w:val="9"/>
    <w:qFormat/>
    <w:rPr>
      <w:rFonts w:asciiTheme="majorHAnsi" w:eastAsiaTheme="majorEastAsia" w:hAnsiTheme="majorHAnsi" w:cstheme="majorBidi"/>
      <w:color w:val="2F5496" w:themeColor="accent1" w:themeShade="BF"/>
      <w:sz w:val="32"/>
      <w:szCs w:val="32"/>
      <w:lang w:val="de-DE" w:eastAsia="de-DE"/>
    </w:rPr>
  </w:style>
  <w:style w:type="character" w:customStyle="1" w:styleId="Heading2Char">
    <w:name w:val="Heading 2 Char"/>
    <w:basedOn w:val="DefaultParagraphFont"/>
    <w:link w:val="Heading2"/>
    <w:autoRedefine/>
    <w:uiPriority w:val="9"/>
    <w:qFormat/>
    <w:rPr>
      <w:rFonts w:asciiTheme="majorHAnsi" w:eastAsiaTheme="majorEastAsia" w:hAnsiTheme="majorHAnsi" w:cstheme="majorBidi"/>
      <w:color w:val="2F5496" w:themeColor="accent1" w:themeShade="BF"/>
      <w:sz w:val="26"/>
      <w:szCs w:val="26"/>
      <w:lang w:val="de-DE"/>
    </w:rPr>
  </w:style>
  <w:style w:type="character" w:customStyle="1" w:styleId="TextChar">
    <w:name w:val="Text Char"/>
    <w:link w:val="Text"/>
    <w:autoRedefine/>
    <w:qFormat/>
    <w:rPr>
      <w:rFonts w:ascii="Times New Roman" w:eastAsia="MS Mincho" w:hAnsi="Times New Roman" w:cs="Times New Roman"/>
      <w:szCs w:val="20"/>
      <w:lang w:val="en-US"/>
    </w:rPr>
  </w:style>
  <w:style w:type="character" w:customStyle="1" w:styleId="Heading6Char">
    <w:name w:val="Heading 6 Char"/>
    <w:basedOn w:val="DefaultParagraphFont"/>
    <w:link w:val="Heading6"/>
    <w:autoRedefine/>
    <w:uiPriority w:val="9"/>
    <w:qFormat/>
    <w:rPr>
      <w:rFonts w:ascii="Arial" w:eastAsia="MS Gothic" w:hAnsi="Arial" w:cs="Arial"/>
      <w:b/>
      <w:sz w:val="22"/>
      <w:szCs w:val="20"/>
      <w:lang w:val="en-US"/>
    </w:rPr>
  </w:style>
  <w:style w:type="character" w:customStyle="1" w:styleId="CommentTextChar">
    <w:name w:val="Comment Text Char"/>
    <w:basedOn w:val="DefaultParagraphFont"/>
    <w:link w:val="CommentText"/>
    <w:autoRedefine/>
    <w:uiPriority w:val="99"/>
    <w:qFormat/>
    <w:rPr>
      <w:rFonts w:ascii="Times New Roman" w:eastAsia="SimSun" w:hAnsi="Times New Roman" w:cs="Times New Roman"/>
      <w:sz w:val="20"/>
      <w:szCs w:val="20"/>
      <w:lang w:val="de-DE" w:eastAsia="de-DE"/>
    </w:rPr>
  </w:style>
  <w:style w:type="character" w:customStyle="1" w:styleId="FooterChar">
    <w:name w:val="Footer Char"/>
    <w:basedOn w:val="DefaultParagraphFont"/>
    <w:link w:val="Footer"/>
    <w:autoRedefine/>
    <w:uiPriority w:val="99"/>
    <w:qFormat/>
    <w:rPr>
      <w:rFonts w:ascii="Times New Roman" w:eastAsia="SimSun" w:hAnsi="Times New Roman" w:cs="Times New Roman"/>
      <w:lang w:val="de-DE" w:eastAsia="de-DE"/>
    </w:rPr>
  </w:style>
  <w:style w:type="paragraph" w:styleId="ListParagraph">
    <w:name w:val="List Paragraph"/>
    <w:basedOn w:val="Normal"/>
    <w:autoRedefine/>
    <w:uiPriority w:val="34"/>
    <w:qFormat/>
    <w:pPr>
      <w:ind w:left="720" w:firstLine="567"/>
      <w:contextualSpacing/>
    </w:pPr>
    <w:rPr>
      <w:rFonts w:eastAsia="SimSun"/>
      <w:lang w:eastAsia="de-DE"/>
    </w:rPr>
  </w:style>
  <w:style w:type="paragraph" w:customStyle="1" w:styleId="1">
    <w:name w:val="修订1"/>
    <w:autoRedefine/>
    <w:hidden/>
    <w:uiPriority w:val="99"/>
    <w:semiHidden/>
    <w:qFormat/>
    <w:rPr>
      <w:sz w:val="24"/>
      <w:szCs w:val="24"/>
      <w:lang w:val="de-DE" w:eastAsia="de-DE"/>
    </w:rPr>
  </w:style>
  <w:style w:type="paragraph" w:customStyle="1" w:styleId="TOC10">
    <w:name w:val="TOC 标题1"/>
    <w:basedOn w:val="Heading1"/>
    <w:next w:val="Normal"/>
    <w:autoRedefine/>
    <w:uiPriority w:val="39"/>
    <w:unhideWhenUsed/>
    <w:qFormat/>
    <w:pPr>
      <w:spacing w:before="480" w:line="276" w:lineRule="auto"/>
      <w:ind w:firstLine="0"/>
      <w:outlineLvl w:val="9"/>
    </w:pPr>
    <w:rPr>
      <w:b/>
      <w:bCs/>
      <w:sz w:val="28"/>
      <w:szCs w:val="28"/>
      <w:lang w:val="en-US" w:eastAsia="en-US"/>
    </w:rPr>
  </w:style>
  <w:style w:type="character" w:customStyle="1" w:styleId="HeaderChar">
    <w:name w:val="Header Char"/>
    <w:basedOn w:val="DefaultParagraphFont"/>
    <w:link w:val="Header"/>
    <w:autoRedefine/>
    <w:uiPriority w:val="99"/>
    <w:qFormat/>
    <w:rPr>
      <w:rFonts w:ascii="Times New Roman" w:eastAsia="SimSun" w:hAnsi="Times New Roman" w:cs="Times New Roman"/>
      <w:lang w:val="de-DE" w:eastAsia="de-DE"/>
    </w:rPr>
  </w:style>
  <w:style w:type="character" w:customStyle="1" w:styleId="CommentSubjectChar">
    <w:name w:val="Comment Subject Char"/>
    <w:basedOn w:val="CommentTextChar"/>
    <w:link w:val="CommentSubject"/>
    <w:autoRedefine/>
    <w:uiPriority w:val="99"/>
    <w:semiHidden/>
    <w:qFormat/>
    <w:rPr>
      <w:rFonts w:ascii="Times New Roman" w:eastAsia="SimSun" w:hAnsi="Times New Roman" w:cs="Times New Roman"/>
      <w:b/>
      <w:bCs/>
      <w:sz w:val="20"/>
      <w:szCs w:val="20"/>
      <w:lang w:val="de-DE" w:eastAsia="de-DE"/>
    </w:rPr>
  </w:style>
  <w:style w:type="character" w:customStyle="1" w:styleId="BalloonTextChar">
    <w:name w:val="Balloon Text Char"/>
    <w:basedOn w:val="DefaultParagraphFont"/>
    <w:link w:val="BalloonText"/>
    <w:autoRedefine/>
    <w:uiPriority w:val="99"/>
    <w:semiHidden/>
    <w:qFormat/>
    <w:rPr>
      <w:rFonts w:ascii="Segoe UI" w:eastAsia="SimSun" w:hAnsi="Segoe UI" w:cs="Segoe UI"/>
      <w:sz w:val="18"/>
      <w:szCs w:val="18"/>
      <w:lang w:val="de-DE" w:eastAsia="de-DE"/>
    </w:rPr>
  </w:style>
  <w:style w:type="paragraph" w:customStyle="1" w:styleId="xmsonormal">
    <w:name w:val="x_msonormal"/>
    <w:basedOn w:val="Normal"/>
    <w:autoRedefine/>
    <w:qFormat/>
    <w:pPr>
      <w:spacing w:before="100" w:beforeAutospacing="1" w:after="100" w:afterAutospacing="1"/>
    </w:pPr>
  </w:style>
  <w:style w:type="character" w:customStyle="1" w:styleId="currenthithighlight">
    <w:name w:val="currenthithighlight"/>
    <w:basedOn w:val="DefaultParagraphFont"/>
    <w:autoRedefine/>
    <w:qFormat/>
  </w:style>
  <w:style w:type="paragraph" w:customStyle="1" w:styleId="xmsolistparagraph">
    <w:name w:val="x_msolistparagraph"/>
    <w:basedOn w:val="Normal"/>
    <w:autoRedefine/>
    <w:qFormat/>
    <w:pPr>
      <w:spacing w:before="100" w:beforeAutospacing="1" w:after="100" w:afterAutospacing="1"/>
    </w:pPr>
  </w:style>
  <w:style w:type="character" w:customStyle="1" w:styleId="highlight">
    <w:name w:val="highlight"/>
    <w:basedOn w:val="DefaultParagraphFont"/>
    <w:autoRedefine/>
    <w:qFormat/>
  </w:style>
  <w:style w:type="character" w:customStyle="1" w:styleId="Heading3Char">
    <w:name w:val="Heading 3 Char"/>
    <w:basedOn w:val="DefaultParagraphFont"/>
    <w:link w:val="Heading3"/>
    <w:uiPriority w:val="9"/>
    <w:semiHidden/>
    <w:qFormat/>
    <w:rPr>
      <w:b/>
      <w:bCs/>
      <w:kern w:val="2"/>
      <w:sz w:val="32"/>
      <w:szCs w:val="32"/>
      <w:lang w:val="en-GB"/>
    </w:rPr>
  </w:style>
  <w:style w:type="character" w:customStyle="1" w:styleId="HTMLPreformattedChar">
    <w:name w:val="HTML Preformatted Char"/>
    <w:basedOn w:val="DefaultParagraphFont"/>
    <w:link w:val="HTMLPreformatted"/>
    <w:autoRedefine/>
    <w:qFormat/>
    <w:rPr>
      <w:rFonts w:ascii="SimSun" w:eastAsia="SimSun" w:hAnsi="SimSun" w:cs="Times New Roman"/>
      <w:lang w:val="en-US"/>
    </w:rPr>
  </w:style>
  <w:style w:type="paragraph" w:customStyle="1" w:styleId="EndNoteBibliographyTitle">
    <w:name w:val="EndNote Bibliography Title"/>
    <w:basedOn w:val="Normal"/>
    <w:link w:val="EndNoteBibliographyTitleChar"/>
    <w:autoRedefine/>
    <w:qFormat/>
    <w:pPr>
      <w:widowControl w:val="0"/>
      <w:jc w:val="center"/>
    </w:pPr>
    <w:rPr>
      <w:rFonts w:eastAsia="DengXian"/>
      <w:kern w:val="2"/>
      <w:szCs w:val="22"/>
      <w:lang w:val="en-GB"/>
    </w:rPr>
  </w:style>
  <w:style w:type="character" w:customStyle="1" w:styleId="EndNoteBibliographyTitleChar">
    <w:name w:val="EndNote Bibliography Title Char"/>
    <w:basedOn w:val="DefaultParagraphFont"/>
    <w:link w:val="EndNoteBibliographyTitle"/>
    <w:autoRedefine/>
    <w:qFormat/>
    <w:rPr>
      <w:rFonts w:eastAsia="DengXian"/>
      <w:kern w:val="2"/>
      <w:sz w:val="24"/>
      <w:szCs w:val="22"/>
      <w:lang w:val="en-GB"/>
    </w:rPr>
  </w:style>
  <w:style w:type="paragraph" w:customStyle="1" w:styleId="EndNoteBibliography">
    <w:name w:val="EndNote Bibliography"/>
    <w:basedOn w:val="Normal"/>
    <w:link w:val="EndNoteBibliographyChar"/>
    <w:autoRedefine/>
    <w:qFormat/>
    <w:pPr>
      <w:widowControl w:val="0"/>
      <w:jc w:val="both"/>
    </w:pPr>
    <w:rPr>
      <w:rFonts w:eastAsia="DengXian"/>
      <w:kern w:val="2"/>
      <w:szCs w:val="22"/>
      <w:lang w:val="en-GB"/>
    </w:rPr>
  </w:style>
  <w:style w:type="character" w:customStyle="1" w:styleId="EndNoteBibliographyChar">
    <w:name w:val="EndNote Bibliography Char"/>
    <w:basedOn w:val="DefaultParagraphFont"/>
    <w:link w:val="EndNoteBibliography"/>
    <w:autoRedefine/>
    <w:qFormat/>
    <w:rPr>
      <w:rFonts w:eastAsia="DengXian"/>
      <w:kern w:val="2"/>
      <w:sz w:val="24"/>
      <w:szCs w:val="22"/>
      <w:lang w:val="en-GB"/>
    </w:rPr>
  </w:style>
  <w:style w:type="paragraph" w:styleId="NoSpacing">
    <w:name w:val="No Spacing"/>
    <w:autoRedefine/>
    <w:uiPriority w:val="1"/>
    <w:qFormat/>
    <w:rPr>
      <w:rFonts w:eastAsia="Times New Roman"/>
      <w:sz w:val="24"/>
      <w:szCs w:val="24"/>
      <w:lang w:val="de-DE" w:eastAsia="zh-CN"/>
    </w:rPr>
  </w:style>
  <w:style w:type="character" w:customStyle="1" w:styleId="EndNoteBibliographyZchn">
    <w:name w:val="EndNote Bibliography Zchn"/>
    <w:basedOn w:val="DefaultParagraphFont"/>
    <w:autoRedefine/>
    <w:qFormat/>
    <w:rPr>
      <w:rFonts w:ascii="Calibri" w:hAnsi="Calibri" w:cs="Calibri"/>
      <w:sz w:val="22"/>
      <w:szCs w:val="22"/>
      <w:lang w:eastAsia="en-US"/>
    </w:rPr>
  </w:style>
  <w:style w:type="character" w:customStyle="1" w:styleId="NichtaufgelsteErwhnung1">
    <w:name w:val="Nicht aufgelöste Erwähnung1"/>
    <w:basedOn w:val="DefaultParagraphFont"/>
    <w:uiPriority w:val="99"/>
    <w:semiHidden/>
    <w:unhideWhenUsed/>
    <w:qFormat/>
    <w:rPr>
      <w:color w:val="605E5C"/>
      <w:shd w:val="clear" w:color="auto" w:fill="E1DFDD"/>
    </w:rPr>
  </w:style>
  <w:style w:type="table" w:customStyle="1" w:styleId="Tabelraster11">
    <w:name w:val="Tabelraster11"/>
    <w:basedOn w:val="TableNormal"/>
    <w:autoRedefine/>
    <w:uiPriority w:val="39"/>
    <w:unhideWhenUsed/>
    <w:qFormat/>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2050</Words>
  <Characters>11690</Characters>
  <Application>Microsoft Office Word</Application>
  <DocSecurity>0</DocSecurity>
  <Lines>97</Lines>
  <Paragraphs>27</Paragraphs>
  <ScaleCrop>false</ScaleCrop>
  <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Ruijie Xie</dc:creator>
  <cp:lastModifiedBy>Vincy A</cp:lastModifiedBy>
  <cp:revision>15</cp:revision>
  <cp:lastPrinted>2024-09-12T15:45:00Z</cp:lastPrinted>
  <dcterms:created xsi:type="dcterms:W3CDTF">2026-03-27T09:34:00Z</dcterms:created>
  <dcterms:modified xsi:type="dcterms:W3CDTF">2026-05-13T05:23:00Z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3F27F52DBF3242A88E77164389D907D6_12</vt:lpwstr>
  </property>
  <property fmtid="{D5CDD505-2E9C-101B-9397-08002B2CF9AE}" pid="4" name="KSOTemplateDocerSaveRecord">
    <vt:lpwstr>eyJoZGlkIjoiOTM2NGM5Yjk2MjEyNGZlYzgzNmViMDQyZTBkMDNlYzYiLCJ1c2VySWQiOiI4MDEyMjM3NzcifQ==</vt:lpwstr>
  </property>
  <property fmtid="{D5CDD505-2E9C-101B-9397-08002B2CF9AE}" pid="5" name="GrammarlyDocumentId">
    <vt:lpwstr>6779ea86-6ac7-4f95-8bd3-b2f70ae878bb</vt:lpwstr>
  </property>
</Properties>
</file>