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C2E089"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eastAsia="宋体" w:cs="Times New Roman Regular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1"/>
          <w:szCs w:val="21"/>
          <w:lang w:val="en-US" w:eastAsia="zh-CN" w:bidi="ar"/>
        </w:rPr>
        <w:t>Table S3. Incremental predictive performance of CTI and CTI-derived adiposity indices beyond the conventional risk factor model*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1931"/>
        <w:gridCol w:w="852"/>
        <w:gridCol w:w="2439"/>
        <w:gridCol w:w="852"/>
        <w:gridCol w:w="2870"/>
        <w:gridCol w:w="852"/>
      </w:tblGrid>
      <w:tr w14:paraId="3F27E714">
        <w:trPr>
          <w:trHeight w:val="3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B487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Added marker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8EE7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 (95% CI)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C6BF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4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062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Continuous NRI (95% CI)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EAD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4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804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Median improvement (95% CI)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159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4"/>
                <w:rFonts w:hint="default" w:ascii="Times New Roman Regular" w:hAnsi="Times New Roman Regular" w:cs="Times New Roman Regular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</w:tr>
      <w:tr w14:paraId="78357DA0"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2D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28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 (0.000, 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20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F5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0.064 (0.010, 0.105)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38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71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 (0.000, 0.003)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79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</w:tr>
      <w:tr w14:paraId="51C41830"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2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CTI-WHtR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D6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 (0.001, 0.007)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F2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C2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0.092 (0.050, 0.130)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B3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8E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 (0.001, 0.006)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E0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623CD037"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15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CTI-BMI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C27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 (0.001, 0.008)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BC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F6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0.088 (0.046, 0.125)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99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96E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 (0.000, 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8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4D3AFF15"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6C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CTI-BRI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FE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 (0.000, 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78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FF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0.087 (0.042, 0.127)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49E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DA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 (0.000, 0.005)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C74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54BEA630">
        <w:trPr>
          <w:trHeight w:val="336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B23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CTI-WWI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5E7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 (0.000, 0.005)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6FEC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317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0.082 (0.042, 0.124)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C5B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BD8DA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 (0.001, 0.005)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3A4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</w:tbl>
    <w:p w14:paraId="42E3B76D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kern w:val="0"/>
          <w:sz w:val="21"/>
          <w:szCs w:val="21"/>
          <w:lang w:val="en-US" w:eastAsia="zh-CN" w:bidi="ar"/>
        </w:rPr>
      </w:pPr>
    </w:p>
    <w:p w14:paraId="0C491B90">
      <w:pPr>
        <w:jc w:val="both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 xml:space="preserve">           * The conventional risk factor model included age, sex, marital status, residence, education level, smoking status, drinking status,and</w:t>
      </w:r>
    </w:p>
    <w:p w14:paraId="253AAE07">
      <w:pPr>
        <w:ind w:firstLine="1260" w:firstLineChars="600"/>
        <w:jc w:val="both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 xml:space="preserve"> hypertension. Extended models were constructed by additionally adding CTI or each CTI-derived adiposity index to the conventional </w:t>
      </w:r>
    </w:p>
    <w:p w14:paraId="7F704940">
      <w:pPr>
        <w:ind w:firstLine="1260" w:firstLineChars="600"/>
        <w:jc w:val="both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risk factor model. Continuous NRI, IDI, and median improvement were evaluated at the median follow-up time.</w:t>
      </w:r>
    </w:p>
    <w:p w14:paraId="6974FB4F">
      <w:pPr>
        <w:ind w:firstLine="1260" w:firstLineChars="600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CTI, C-reactive protein–triglyceride–glucose index; WHtR, waist-to-height ratio; BMI, body mass index; BRI, body roundness index;</w:t>
      </w:r>
    </w:p>
    <w:p w14:paraId="60A4051E">
      <w:pPr>
        <w:ind w:firstLine="1260" w:firstLineChars="600"/>
        <w:rPr>
          <w:rFonts w:hint="default" w:ascii="Times New Roman Regular" w:hAnsi="Times New Roman Regular" w:cs="Times New Roman Regular"/>
          <w:sz w:val="21"/>
          <w:szCs w:val="21"/>
          <w:lang w:val="en-US"/>
        </w:rPr>
      </w:pPr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 xml:space="preserve"> WWI, w</w:t>
      </w:r>
      <w:bookmarkStart w:id="0" w:name="_GoBack"/>
      <w:bookmarkEnd w:id="0"/>
      <w:r>
        <w:rPr>
          <w:rFonts w:hint="default" w:ascii="Times New Roman Regular" w:hAnsi="Times New Roman Regular" w:cs="Times New Roman Regular"/>
          <w:sz w:val="21"/>
          <w:szCs w:val="21"/>
          <w:lang w:val="en-US"/>
        </w:rPr>
        <w:t>eight-adjusted waist index; IDI, integrated discrimination improvement; NRI, net reclassification improvement; CI, confidence interval.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DF9163"/>
    <w:rsid w:val="77DF9163"/>
    <w:rsid w:val="BAF94388"/>
    <w:rsid w:val="CF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2026-04-28T01:43:00Z</dcterms:created>
  <dc:creator>王双</dc:creator>
  <cp:lastModifiedBy>王双</cp:lastModifiedBy>
  <dcterms:modified xsi:type="dcterms:W3CDTF">2026-04-27T23:23:09Z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D5D767799732FF55F57DEF6989D7A6F2_43</vt:lpwstr>
  </property>
</Properties>
</file>