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32E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84" w:lineRule="auto"/>
        <w:jc w:val="center"/>
        <w:textAlignment w:val="auto"/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6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6"/>
          <w:kern w:val="0"/>
          <w:sz w:val="28"/>
          <w:szCs w:val="28"/>
          <w:shd w:val="clear" w:fill="FFFFFF"/>
          <w:lang w:val="en-US" w:eastAsia="zh-CN" w:bidi="ar"/>
        </w:rPr>
        <w:t>Supplemental Material 1</w:t>
      </w:r>
    </w:p>
    <w:p w14:paraId="1A4AAB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6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6"/>
          <w:kern w:val="0"/>
          <w:sz w:val="21"/>
          <w:szCs w:val="21"/>
          <w:shd w:val="clear" w:fill="FFFFFF"/>
          <w:lang w:val="en-US" w:eastAsia="zh-CN" w:bidi="ar"/>
        </w:rPr>
        <w:t>Differential associations between novel triglyceride-glucose-obesity indices and incident stroke in individuals with early-stage cardiovascular-kidney-metabolic syndrome: a longitudinal cohort study</w:t>
      </w:r>
    </w:p>
    <w:p w14:paraId="41A9B1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center"/>
        <w:textAlignment w:val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21"/>
          <w:szCs w:val="21"/>
          <w:shd w:val="clear" w:fill="FFFFFF"/>
          <w:lang w:val="en-US" w:eastAsia="zh-CN" w:bidi="ar"/>
        </w:rPr>
        <w:t>Zhi-Qing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21"/>
          <w:szCs w:val="21"/>
          <w:shd w:val="clear" w:fill="FFFFFF"/>
          <w:lang w:val="en-US" w:eastAsia="zh-CN" w:bidi="ar"/>
        </w:rPr>
        <w:t>Fu, Li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21"/>
          <w:szCs w:val="21"/>
          <w:shd w:val="clear" w:fill="FFFFFF"/>
          <w:lang w:val="en-US" w:eastAsia="zh-CN" w:bidi="ar"/>
        </w:rPr>
        <w:t>An, Wei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21"/>
          <w:szCs w:val="21"/>
          <w:shd w:val="clear" w:fill="FFFFFF"/>
          <w:lang w:val="en-US" w:eastAsia="zh-CN" w:bidi="ar"/>
        </w:rPr>
        <w:t>Zhang, Yue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21"/>
          <w:szCs w:val="21"/>
          <w:shd w:val="clear" w:fill="FFFFFF"/>
          <w:lang w:val="en-US" w:eastAsia="zh-CN" w:bidi="ar"/>
        </w:rPr>
        <w:t>Lyu, Shan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21"/>
          <w:szCs w:val="21"/>
          <w:shd w:val="clear" w:fill="FFFFFF"/>
          <w:lang w:val="en-US" w:eastAsia="zh-CN" w:bidi="ar"/>
        </w:rPr>
        <w:t>Li*</w:t>
      </w:r>
    </w:p>
    <w:p w14:paraId="65F78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ascii="Times New Roman" w:hAnsi="Times New Roman" w:cs="Times New Roman"/>
          <w:b/>
          <w:bCs/>
          <w:color w:val="auto"/>
          <w:sz w:val="21"/>
          <w:szCs w:val="21"/>
        </w:rPr>
        <w:t>Table S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1. </w:t>
      </w:r>
      <w:r>
        <w:rPr>
          <w:rFonts w:ascii="Times New Roman" w:hAnsi="Times New Roman" w:cs="Times New Roman"/>
          <w:b w:val="0"/>
          <w:bCs w:val="0"/>
          <w:color w:val="auto"/>
          <w:sz w:val="21"/>
          <w:szCs w:val="21"/>
        </w:rPr>
        <w:t>The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</w:rPr>
        <w:t xml:space="preserve"> definitions of various diseases</w:t>
      </w:r>
    </w:p>
    <w:p w14:paraId="2C70C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ascii="Times New Roman" w:hAnsi="Times New Roman" w:cs="Times New Roman"/>
          <w:b w:val="0"/>
          <w:bCs w:val="0"/>
          <w:color w:val="auto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auto"/>
          <w:sz w:val="21"/>
          <w:szCs w:val="21"/>
        </w:rPr>
        <w:t>Table S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2.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1"/>
          <w:szCs w:val="21"/>
        </w:rPr>
        <w:t>Definition of CKM syndrome staging adjusted for data in CHARLS</w:t>
      </w:r>
    </w:p>
    <w:p w14:paraId="20590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ascii="Times New Roman" w:hAnsi="Times New Roman" w:cs="Times New Roman"/>
          <w:b w:val="0"/>
          <w:bCs w:val="0"/>
          <w:color w:val="auto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auto"/>
          <w:sz w:val="21"/>
          <w:szCs w:val="21"/>
        </w:rPr>
        <w:t>Table S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3.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1"/>
          <w:szCs w:val="21"/>
        </w:rPr>
        <w:t>The bas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</w:rPr>
        <w:t>ic</w:t>
      </w:r>
      <w:r>
        <w:rPr>
          <w:rFonts w:ascii="Times New Roman" w:hAnsi="Times New Roman" w:cs="Times New Roman"/>
          <w:b w:val="0"/>
          <w:bCs w:val="0"/>
          <w:color w:val="auto"/>
          <w:sz w:val="21"/>
          <w:szCs w:val="21"/>
        </w:rPr>
        <w:t xml:space="preserve"> PREVENT 10-year risk estimation model equations</w:t>
      </w:r>
    </w:p>
    <w:p w14:paraId="30D96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Table S4. 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Calculation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f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ormula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</w:t>
      </w:r>
    </w:p>
    <w:p w14:paraId="2AD5E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Style w:val="9"/>
          <w:rFonts w:ascii="Times New Roman" w:hAnsi="Times New Roman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Table S5.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The levels of the TyG index and obesity indices at waves 1 and 3</w:t>
      </w:r>
    </w:p>
    <w:p w14:paraId="08A6C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Figure S1.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he elbow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plot for K-means algorithm</w:t>
      </w:r>
    </w:p>
    <w:p w14:paraId="7F27A89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F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1"/>
          <w:szCs w:val="21"/>
          <w:lang w:val="en-US" w:eastAsia="zh-CN" w:bidi="ar-SA"/>
        </w:rPr>
        <w:t>igure S2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Evolution of the number of iterations in the Boruta algorithm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</w:p>
    <w:p w14:paraId="71F9B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Table S6.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The incidence of stroke among different TyG-obesity trajectory groups</w:t>
      </w:r>
    </w:p>
    <w:p w14:paraId="1D338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 xml:space="preserve">Table S7.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Predictive performance of TyG-obesity indices for stroke by ROC analysis</w:t>
      </w:r>
    </w:p>
    <w:p w14:paraId="1A14A7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>Table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>S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>8.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Incremental predictive value of baseline, cumulative, and longitudinal change in TyG-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CVAI and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TyG-BRI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for stroke in CKM syndrome stage 0-3</w:t>
      </w:r>
    </w:p>
    <w:p w14:paraId="4F7E52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>S3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 xml:space="preserve">.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Decis</w:t>
      </w:r>
      <w:bookmarkStart w:id="7" w:name="_GoBack"/>
      <w:bookmarkEnd w:id="7"/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ion curve analysis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for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comparing TyG‑CVAI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and basic model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in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stroke prediction in CKM syndrome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stages 0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-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3</w:t>
      </w:r>
    </w:p>
    <w:p w14:paraId="362F49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>S4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Decision curve analysis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for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comparing TyG‑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BR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I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and basic model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in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stroke prediction in CKM syndrome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stages 0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-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3</w:t>
      </w:r>
    </w:p>
    <w:p w14:paraId="206E28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Figure S5.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Path diagram of the mediation analysis of ePWV</w:t>
      </w:r>
    </w:p>
    <w:p w14:paraId="1043C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ascii="Times New Roman" w:hAnsi="Times New Roman" w:cs="Times New Roman"/>
          <w:b w:val="0"/>
          <w:bCs w:val="0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9.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Association between baseline TyG-obesity indices and stroke in CKM syndrome stages 0</w:t>
      </w:r>
      <w:r>
        <w:rPr>
          <w:rFonts w:hint="eastAsia" w:ascii="Segoe UI" w:hAnsi="Segoe UI" w:eastAsia="宋体" w:cs="Segoe UI"/>
          <w:b w:val="0"/>
          <w:bCs w:val="0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>-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3: Excluding participants with stroke at wave 4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(n=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3,278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)</w:t>
      </w:r>
    </w:p>
    <w:p w14:paraId="06455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S10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Association between cumulative exposure and longitudinal trajectories in TyG-obesity indices and stroke in CKM syndrome stages 0-3: Excluding participants with stroke at wave 4 </w:t>
      </w:r>
    </w:p>
    <w:p w14:paraId="768E6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Figure S6.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Restricted cubic spline curve for the association between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TyG-obesity indices and new-onset stroke : Excluding participants with stroke at wave 4 (n=3,278)</w:t>
      </w:r>
    </w:p>
    <w:p w14:paraId="30062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Figure S7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 Subgroup analyses of associations between baseline TyG-CVAI/BRI and stroke</w:t>
      </w:r>
    </w:p>
    <w:p w14:paraId="67FF4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Figure S8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 Subgroup analyses of associations between cumulative TyG-CVAI/BRI and stroke</w:t>
      </w:r>
    </w:p>
    <w:p w14:paraId="5F6D2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textAlignment w:val="auto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11.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Subgroup analyses of associations between longitudinal change of TyG-CVAI/BRI and incident stroke</w:t>
      </w:r>
    </w:p>
    <w:p w14:paraId="171E7A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Table S1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Associations of baseline, cumulative, and longitudinal change in TyG-CVAI with stroke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in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CKM syndrome stages 0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3: A Fine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noBreakHyphen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Gray competing risks analysis</w:t>
      </w:r>
    </w:p>
    <w:p w14:paraId="12CDF1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13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Associations of baseline, cumulative, and longitudinal change in TyG-BRI with stroke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in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CKM syndrome stages 0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3: A Fine‑Gray competing risks analysis</w:t>
      </w:r>
    </w:p>
    <w:p w14:paraId="049E5A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Style w:val="9"/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Table S14.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Comparison of baseline characteristics of included participants and those excluded due to missing TyG-related indices and CKM staging</w:t>
      </w:r>
      <w:r>
        <w:rPr>
          <w:rStyle w:val="9"/>
          <w:rFonts w:hint="default" w:ascii="Times New Roman" w:hAnsi="Times New Roman" w:cs="Times New Roman"/>
          <w:b/>
          <w:bCs/>
          <w:sz w:val="20"/>
          <w:szCs w:val="20"/>
        </w:rPr>
        <w:br w:type="page"/>
      </w:r>
    </w:p>
    <w:p w14:paraId="07CE3E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Style w:val="9"/>
          <w:rFonts w:hint="default" w:ascii="Times New Roman" w:hAnsi="Times New Roman" w:cs="Times New Roman"/>
          <w:b/>
          <w:bCs/>
          <w:sz w:val="20"/>
          <w:szCs w:val="2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EBEA68B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1. </w:t>
      </w:r>
      <w:r>
        <w:rPr>
          <w:rFonts w:ascii="Times New Roman" w:hAnsi="Times New Roman" w:cs="Times New Roman"/>
          <w:b/>
          <w:bCs/>
          <w:sz w:val="20"/>
          <w:szCs w:val="20"/>
        </w:rPr>
        <w:t>The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definitions of various diseases</w:t>
      </w:r>
    </w:p>
    <w:tbl>
      <w:tblPr>
        <w:tblStyle w:val="6"/>
        <w:tblW w:w="13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11485"/>
      </w:tblGrid>
      <w:tr w14:paraId="534C2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5" w:type="dxa"/>
          </w:tcPr>
          <w:p w14:paraId="45034902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bookmarkStart w:id="0" w:name="_Hlk198580585"/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Prediabetes</w:t>
            </w:r>
            <w:bookmarkEnd w:id="0"/>
          </w:p>
        </w:tc>
        <w:tc>
          <w:tcPr>
            <w:tcW w:w="11485" w:type="dxa"/>
          </w:tcPr>
          <w:p w14:paraId="0804E8D4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Fasting blood glucose ≥ 100-12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 xml:space="preserve"> mg/dL or HbA1c ≥ 5.7%-6.4% and without self-reported diagnosis of diabetes, use of insulin, or oral hypoglycemic agents</w:t>
            </w:r>
          </w:p>
        </w:tc>
      </w:tr>
      <w:tr w14:paraId="247B3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5" w:type="dxa"/>
          </w:tcPr>
          <w:p w14:paraId="41B72937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bookmarkStart w:id="1" w:name="_Hlk198580605"/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Diabetes</w:t>
            </w:r>
            <w:bookmarkEnd w:id="1"/>
          </w:p>
        </w:tc>
        <w:tc>
          <w:tcPr>
            <w:tcW w:w="11485" w:type="dxa"/>
          </w:tcPr>
          <w:p w14:paraId="67D4BDF3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Fasting blood glucose ≥ 12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 xml:space="preserve"> mg/dL or HbA1c ≥ 6.5% or self-reported diagnosis of diabetes, use of insulin, or oral hypoglycemic agents</w:t>
            </w:r>
          </w:p>
        </w:tc>
      </w:tr>
      <w:tr w14:paraId="41CAA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5" w:type="dxa"/>
          </w:tcPr>
          <w:p w14:paraId="62A73D06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bookmarkStart w:id="2" w:name="_Hlk198580621"/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Hypertension</w:t>
            </w:r>
            <w:bookmarkEnd w:id="2"/>
          </w:p>
        </w:tc>
        <w:tc>
          <w:tcPr>
            <w:tcW w:w="11485" w:type="dxa"/>
          </w:tcPr>
          <w:p w14:paraId="4B9F4123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SBP ≥1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0 mm Hg or DBP ≥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0 mm Hg or self-reported diagnosis of hypertension or use of antihypertensive medications</w:t>
            </w:r>
          </w:p>
        </w:tc>
      </w:tr>
      <w:tr w14:paraId="651B1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5" w:type="dxa"/>
          </w:tcPr>
          <w:p w14:paraId="6B7EF1E1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bookmarkStart w:id="3" w:name="_Hlk198580635"/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  <w14:ligatures w14:val="standardContextual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hronic kidney disease</w:t>
            </w:r>
            <w:bookmarkEnd w:id="3"/>
          </w:p>
        </w:tc>
        <w:tc>
          <w:tcPr>
            <w:tcW w:w="11485" w:type="dxa"/>
          </w:tcPr>
          <w:p w14:paraId="21084A71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Any of the two criteria is met：</w:t>
            </w:r>
          </w:p>
          <w:p w14:paraId="144CD602">
            <w:pPr>
              <w:pStyle w:val="13"/>
              <w:numPr>
                <w:ilvl w:val="0"/>
                <w:numId w:val="0"/>
              </w:numPr>
              <w:ind w:leftChars="0"/>
              <w:contextualSpacing w:val="0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① Self-reported history of chronic kidney disease</w:t>
            </w:r>
          </w:p>
          <w:p w14:paraId="6713E40B">
            <w:pPr>
              <w:pStyle w:val="13"/>
              <w:numPr>
                <w:ilvl w:val="0"/>
                <w:numId w:val="0"/>
              </w:numPr>
              <w:ind w:leftChars="0"/>
              <w:contextualSpacing w:val="0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②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eGFR &lt; 60 ml/min/1.73m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superscript"/>
                <w14:ligatures w14:val="standardContextual"/>
              </w:rPr>
              <w:t>2</w:t>
            </w:r>
          </w:p>
        </w:tc>
      </w:tr>
      <w:tr w14:paraId="4CE6F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5" w:type="dxa"/>
          </w:tcPr>
          <w:p w14:paraId="1F9D39BC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bookmarkStart w:id="4" w:name="_Hlk198580646"/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Hypertriglyceridemia</w:t>
            </w:r>
            <w:bookmarkEnd w:id="4"/>
          </w:p>
        </w:tc>
        <w:tc>
          <w:tcPr>
            <w:tcW w:w="11485" w:type="dxa"/>
          </w:tcPr>
          <w:p w14:paraId="1F31B3E8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Triglycerides ≥ 135 mg/dL</w:t>
            </w:r>
          </w:p>
        </w:tc>
      </w:tr>
      <w:tr w14:paraId="3F597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5" w:type="dxa"/>
          </w:tcPr>
          <w:p w14:paraId="16245DC6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  <w14:ligatures w14:val="standardContextual"/>
              </w:rPr>
              <w:t>M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etabolic syndrome</w:t>
            </w:r>
          </w:p>
        </w:tc>
        <w:tc>
          <w:tcPr>
            <w:tcW w:w="11485" w:type="dxa"/>
          </w:tcPr>
          <w:p w14:paraId="333A2EB2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Meet any three or more of the five</w:t>
            </w:r>
          </w:p>
          <w:p w14:paraId="741BDFAA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① Waist circumference ≥ 80/90 cm in female/male</w:t>
            </w:r>
          </w:p>
          <w:p w14:paraId="4B3E34A9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②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 xml:space="preserve">HDL cholesterol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50/40 mg/dL in female/male</w:t>
            </w:r>
          </w:p>
          <w:p w14:paraId="4686AE3D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③ Triglycerides ≥150 mg/dL</w:t>
            </w:r>
          </w:p>
          <w:p w14:paraId="31A244DB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④ Elevated blood pressure (SBP ≥130 mm Hg or DBP ≥80 mm Hg and/or use of antihypertensive medications)</w:t>
            </w:r>
          </w:p>
          <w:p w14:paraId="0DE373C2">
            <w:p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⑤ Fasting blood glucose ≥100 mg/dL</w:t>
            </w:r>
          </w:p>
        </w:tc>
      </w:tr>
      <w:tr w14:paraId="74DD4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485" w:type="dxa"/>
          </w:tcPr>
          <w:p w14:paraId="68F4D416"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Cardiovascular diseas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</w:t>
            </w:r>
          </w:p>
        </w:tc>
        <w:tc>
          <w:tcPr>
            <w:tcW w:w="11485" w:type="dxa"/>
          </w:tcPr>
          <w:p w14:paraId="2D43D22F"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 xml:space="preserve">①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self-reported diagnosis of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heart disease</w:t>
            </w:r>
          </w:p>
          <w:p w14:paraId="596BECA6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②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or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self-reported diagnosis of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stroke</w:t>
            </w:r>
          </w:p>
        </w:tc>
      </w:tr>
    </w:tbl>
    <w:p w14:paraId="75FF2EAE">
      <w:pPr>
        <w:rPr>
          <w:rFonts w:hint="default" w:ascii="Times New Roman" w:hAnsi="Times New Roman" w:cs="Times New Roman"/>
        </w:rPr>
      </w:pPr>
    </w:p>
    <w:p w14:paraId="1D43C0B5">
      <w:pPr>
        <w:rPr>
          <w:rFonts w:hint="default" w:ascii="Times New Roman" w:hAnsi="Times New Roman" w:cs="Times New Roman"/>
        </w:rPr>
      </w:pPr>
    </w:p>
    <w:p w14:paraId="1094AD91">
      <w:pPr>
        <w:rPr>
          <w:rFonts w:hint="default" w:ascii="Times New Roman" w:hAnsi="Times New Roman" w:cs="Times New Roman"/>
        </w:rPr>
      </w:pPr>
    </w:p>
    <w:p w14:paraId="64B471B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168D3B9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Definition of CKM syndrome staging adjusted for data in CHARLS</w:t>
      </w:r>
    </w:p>
    <w:tbl>
      <w:tblPr>
        <w:tblStyle w:val="11"/>
        <w:tblW w:w="5000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9814"/>
      </w:tblGrid>
      <w:tr w14:paraId="5F0E377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53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  <w:insideV w:val="nil"/>
              <w:tl2br w:val="nil"/>
              <w:tr2bl w:val="nil"/>
            </w:tcBorders>
          </w:tcPr>
          <w:p w14:paraId="43338464">
            <w:pPr>
              <w:ind w:right="964" w:firstLine="201" w:firstLineChars="100"/>
              <w:jc w:val="center"/>
              <w:rPr>
                <w:rFonts w:ascii="Times New Roman" w:hAnsi="Times New Roman" w:cs="Times New Roman"/>
                <w:b w:val="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  <w:lang w:eastAsia="en-US"/>
              </w:rPr>
              <w:t>Stages</w:t>
            </w:r>
          </w:p>
        </w:tc>
        <w:tc>
          <w:tcPr>
            <w:tcW w:w="3462" w:type="pct"/>
            <w:tcBorders>
              <w:top w:val="single" w:color="auto" w:sz="12" w:space="0"/>
              <w:bottom w:val="single" w:color="auto" w:sz="12" w:space="0"/>
              <w:right w:val="nil"/>
              <w:insideV w:val="nil"/>
              <w:tl2br w:val="nil"/>
              <w:tr2bl w:val="nil"/>
            </w:tcBorders>
          </w:tcPr>
          <w:p w14:paraId="2A6AD230">
            <w:pPr>
              <w:jc w:val="center"/>
              <w:rPr>
                <w:rFonts w:ascii="Times New Roman" w:hAnsi="Times New Roman" w:cs="Times New Roman"/>
                <w:b w:val="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  <w:lang w:eastAsia="en-US"/>
              </w:rPr>
              <w:t>Definition</w:t>
            </w:r>
          </w:p>
        </w:tc>
      </w:tr>
      <w:tr w14:paraId="60F4AD4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pct"/>
            <w:tcBorders>
              <w:top w:val="single" w:color="auto" w:sz="12" w:space="0"/>
            </w:tcBorders>
          </w:tcPr>
          <w:p w14:paraId="3F7249F0">
            <w:pPr>
              <w:ind w:right="72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Stage 0: No CKM risk factors</w:t>
            </w:r>
          </w:p>
        </w:tc>
        <w:tc>
          <w:tcPr>
            <w:tcW w:w="3462" w:type="pct"/>
            <w:tcBorders>
              <w:top w:val="single" w:color="auto" w:sz="12" w:space="0"/>
            </w:tcBorders>
          </w:tcPr>
          <w:p w14:paraId="1E8B4C2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Individuals who meet all of the following criteria: 1. Not overweight or obese (BMI &lt; 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 kg/m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; waist circumference &lt; 8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/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0 cm for women/men). 2. Absence of metabolic risk factors such as hypertension, hypertriglyceridemia (&lt;135 mg/dL), metabolic syndrome, prediabetes, diabetes, or chronic kidney disease (CKD).</w:t>
            </w:r>
          </w:p>
        </w:tc>
      </w:tr>
      <w:tr w14:paraId="21234EB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pct"/>
          </w:tcPr>
          <w:p w14:paraId="25A8A9CE">
            <w:pPr>
              <w:ind w:right="72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Stage 1: Excess adiposity or dysfunctional metabolism</w:t>
            </w:r>
          </w:p>
        </w:tc>
        <w:tc>
          <w:tcPr>
            <w:tcW w:w="3462" w:type="pct"/>
          </w:tcPr>
          <w:p w14:paraId="528706F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Individuals with a BMI ≥ 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 kg/m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, or a waist circumference ≥ 80/9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 cm for women/men, and/or prediabetes, but without additional metabolic risk factors or CKD.</w:t>
            </w:r>
          </w:p>
        </w:tc>
      </w:tr>
      <w:tr w14:paraId="49553B2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pct"/>
            <w:tcBorders>
              <w:bottom w:val="single" w:color="auto" w:sz="8" w:space="0"/>
            </w:tcBorders>
            <w:vAlign w:val="top"/>
          </w:tcPr>
          <w:p w14:paraId="628F3DD5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Stage 2: Presence of metabolic risk factors and CKD</w:t>
            </w:r>
          </w:p>
        </w:tc>
        <w:tc>
          <w:tcPr>
            <w:tcW w:w="3462" w:type="pct"/>
            <w:tcBorders>
              <w:bottom w:val="single" w:color="auto" w:sz="8" w:space="0"/>
            </w:tcBorders>
            <w:vAlign w:val="top"/>
          </w:tcPr>
          <w:p w14:paraId="2C440A8B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Individuals who exhibit at least one metabolic risk factor such as hypertriglyceridemia (≥135 mg/dL), hypertension, metabolic syndrome, diabetes, or have been diagnosed with CKD.</w:t>
            </w:r>
          </w:p>
        </w:tc>
      </w:tr>
      <w:tr w14:paraId="052053E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pct"/>
            <w:tcBorders>
              <w:top w:val="single" w:color="auto" w:sz="8" w:space="0"/>
              <w:bottom w:val="single" w:color="auto" w:sz="8" w:space="0"/>
            </w:tcBorders>
          </w:tcPr>
          <w:p w14:paraId="65CA498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Stage 3: Subclinical Cardiovascular Disease (CVD) in CKM</w:t>
            </w:r>
          </w:p>
        </w:tc>
        <w:tc>
          <w:tcPr>
            <w:tcW w:w="3462" w:type="pct"/>
            <w:tcBorders>
              <w:top w:val="single" w:color="auto" w:sz="8" w:space="0"/>
              <w:bottom w:val="single" w:color="auto" w:sz="8" w:space="0"/>
            </w:tcBorders>
          </w:tcPr>
          <w:p w14:paraId="3686B1BB">
            <w:pPr>
              <w:numPr>
                <w:ilvl w:val="0"/>
                <w:numId w:val="1"/>
              </w:numPr>
              <w:jc w:val="left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Subclinical ASCVD or subclinical HF among individuals with excess/dysfunctional adiposity, other </w:t>
            </w:r>
          </w:p>
          <w:p w14:paraId="6DF5E328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eastAsia="en-US"/>
              </w:rPr>
              <w:t>metabolic risk factors, or CKD</w:t>
            </w:r>
          </w:p>
          <w:p w14:paraId="7C075701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eastAsia="en-US"/>
              </w:rPr>
              <w:t>Risk equivalents of subclinical CVD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*</w:t>
            </w:r>
          </w:p>
          <w:p w14:paraId="2831C76E">
            <w:pPr>
              <w:ind w:firstLine="200" w:firstLineChars="1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eastAsia="en-US"/>
              </w:rPr>
              <w:t>High predicted 10-y CVD risk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20% or higher, based on the PREVENT model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)</w:t>
            </w:r>
          </w:p>
          <w:p w14:paraId="3AA4A7A2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eastAsia="en-US"/>
              </w:rPr>
              <w:t>Very high-risk CKD (G4 or G5 CKD or very high risk per KDIGO classification)</w:t>
            </w:r>
          </w:p>
        </w:tc>
      </w:tr>
      <w:tr w14:paraId="5B2B54E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pct"/>
            <w:tcBorders>
              <w:top w:val="single" w:color="auto" w:sz="8" w:space="0"/>
              <w:bottom w:val="single" w:color="auto" w:sz="12" w:space="0"/>
            </w:tcBorders>
          </w:tcPr>
          <w:p w14:paraId="443F697C">
            <w:pPr>
              <w:ind w:right="72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Stage 4: Clinical CVD in CKM</w:t>
            </w:r>
          </w:p>
        </w:tc>
        <w:tc>
          <w:tcPr>
            <w:tcW w:w="3462" w:type="pct"/>
            <w:tcBorders>
              <w:top w:val="single" w:color="auto" w:sz="8" w:space="0"/>
              <w:bottom w:val="single" w:color="auto" w:sz="12" w:space="0"/>
            </w:tcBorders>
          </w:tcPr>
          <w:p w14:paraId="4FBE8619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Individuals have been diagnosed with c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linical CVD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highlight w:val="none"/>
                <w:lang w:eastAsia="en-US"/>
              </w:rPr>
              <w:t>heart disease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highlight w:val="none"/>
                <w:lang w:val="en-US" w:eastAsia="zh-CN"/>
              </w:rPr>
              <w:t xml:space="preserve"> or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highlight w:val="none"/>
                <w:lang w:eastAsia="en-US"/>
              </w:rPr>
              <w:t xml:space="preserve"> stroke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highlight w:val="none"/>
                <w:lang w:val="en-US" w:eastAsia="zh-CN"/>
              </w:rPr>
              <w:t xml:space="preserve">) </w:t>
            </w:r>
          </w:p>
        </w:tc>
      </w:tr>
    </w:tbl>
    <w:p w14:paraId="191DF21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CKM syndrome, Cardiovascular-Kidney-Metabolic syndrome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9"/>
          <w:rFonts w:hint="eastAsia" w:ascii="Times New Roman" w:hAnsi="Times New Roman" w:cs="Times New Roman"/>
          <w:b w:val="0"/>
          <w:bCs w:val="0"/>
          <w:sz w:val="20"/>
          <w:szCs w:val="20"/>
        </w:rPr>
        <w:t>CHARLS</w:t>
      </w:r>
      <w:r>
        <w:rPr>
          <w:rStyle w:val="9"/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,</w:t>
      </w:r>
      <w:r>
        <w:rPr>
          <w:rStyle w:val="9"/>
          <w:rFonts w:hint="eastAsia" w:ascii="Times New Roman" w:hAnsi="Times New Roman" w:cs="Times New Roman"/>
          <w:b w:val="0"/>
          <w:bCs w:val="0"/>
          <w:sz w:val="20"/>
          <w:szCs w:val="20"/>
        </w:rPr>
        <w:t xml:space="preserve"> China Health and Retirement Longitudinal Study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CKD, chronic kidney disease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CVD, cardiovascular disease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ASCVD，atherosclerotic </w:t>
      </w:r>
      <w:r>
        <w:rPr>
          <w:rFonts w:ascii="Times New Roman" w:hAnsi="Times New Roman" w:cs="Times New Roman"/>
          <w:sz w:val="20"/>
          <w:szCs w:val="20"/>
        </w:rPr>
        <w:t>cardiovascular disease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A145539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045C2D4F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*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Due to the lack of relevant diagnostic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data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on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subclinical CVD,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such as coronary catheterisation, computed tomography angiography, echocardiography or cardiac biomarkers,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we defined subclinical CVD using risk equivalents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 This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includ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ed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individuals with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 a predicted 10-year CVD risk of 20% or higher, based on the PREVENT (Predict Risk of Cardiovascular Disease EVENTs)</w:t>
      </w:r>
      <w:r>
        <w:rPr>
          <w:rFonts w:hint="eastAsia" w:ascii="Times New Roman" w:hAnsi="Times New Roman" w:cs="Times New Roman"/>
          <w:kern w:val="0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model</w:t>
      </w:r>
      <w:r>
        <w:rPr>
          <w:rFonts w:hint="eastAsia" w:ascii="Times New Roman" w:hAnsi="Times New Roman" w:cs="Times New Roman"/>
          <w:kern w:val="0"/>
          <w:sz w:val="20"/>
          <w:szCs w:val="20"/>
          <w:lang w:val="en-US" w:eastAsia="zh-CN"/>
        </w:rPr>
        <w:t xml:space="preserve">, or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those with very high-risk CKD at Stages G4 or G5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p w14:paraId="10549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Times New Roman" w:hAnsi="Times New Roman" w:cs="Times New Roman"/>
          <w:sz w:val="16"/>
          <w:szCs w:val="16"/>
        </w:rPr>
      </w:pPr>
    </w:p>
    <w:p w14:paraId="20CAE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>Reference</w:t>
      </w:r>
    </w:p>
    <w:p w14:paraId="501DC96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fldChar w:fldCharType="begin"/>
      </w:r>
      <w:r>
        <w:rPr>
          <w:rFonts w:hint="default" w:ascii="Times New Roman" w:hAnsi="Times New Roman" w:cs="Times New Roman"/>
          <w:sz w:val="16"/>
          <w:szCs w:val="16"/>
        </w:rPr>
        <w:instrText xml:space="preserve"> ADDIN EN.REFLIST </w:instrText>
      </w:r>
      <w:r>
        <w:rPr>
          <w:rFonts w:hint="default" w:ascii="Times New Roman" w:hAnsi="Times New Roman" w:cs="Times New Roman"/>
          <w:sz w:val="16"/>
          <w:szCs w:val="16"/>
        </w:rPr>
        <w:fldChar w:fldCharType="separate"/>
      </w:r>
      <w:r>
        <w:rPr>
          <w:rFonts w:hint="default" w:ascii="Times New Roman" w:hAnsi="Times New Roman" w:cs="Times New Roman"/>
          <w:sz w:val="16"/>
          <w:szCs w:val="16"/>
        </w:rPr>
        <w:t>1.</w:t>
      </w:r>
      <w:r>
        <w:rPr>
          <w:rFonts w:hint="default" w:ascii="Times New Roman" w:hAnsi="Times New Roman" w:cs="Times New Roman"/>
          <w:sz w:val="16"/>
          <w:szCs w:val="16"/>
        </w:rPr>
        <w:tab/>
      </w:r>
      <w:r>
        <w:rPr>
          <w:rFonts w:hint="default" w:ascii="Times New Roman" w:hAnsi="Times New Roman" w:cs="Times New Roman"/>
          <w:sz w:val="16"/>
          <w:szCs w:val="16"/>
        </w:rPr>
        <w:t>KDIGO 2024 Clinical Practice Guideline for the Evaluation and Management of Chronic Kidney Disease. Kidney international. 2024;105(4s):S117-s314.</w:t>
      </w:r>
    </w:p>
    <w:p w14:paraId="480A511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>2.</w:t>
      </w:r>
      <w:r>
        <w:rPr>
          <w:rFonts w:hint="default" w:ascii="Times New Roman" w:hAnsi="Times New Roman" w:cs="Times New Roman"/>
          <w:sz w:val="16"/>
          <w:szCs w:val="16"/>
        </w:rPr>
        <w:tab/>
      </w:r>
      <w:r>
        <w:rPr>
          <w:rFonts w:hint="default" w:ascii="Times New Roman" w:hAnsi="Times New Roman" w:cs="Times New Roman"/>
          <w:sz w:val="16"/>
          <w:szCs w:val="16"/>
        </w:rPr>
        <w:t>Inker LA, Eneanya ND, Coresh J, Tighiouart H, Wang D, Sang Y, et al. New Creatinine- and Cystatin C-Based Equations to Estimate GFR without Race. The New England journal of medicine. 2021;385(19):1737-49.</w:t>
      </w:r>
    </w:p>
    <w:p w14:paraId="117A4130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>3.</w:t>
      </w:r>
      <w:r>
        <w:rPr>
          <w:rFonts w:hint="default" w:ascii="Times New Roman" w:hAnsi="Times New Roman" w:cs="Times New Roman"/>
          <w:sz w:val="16"/>
          <w:szCs w:val="16"/>
        </w:rPr>
        <w:tab/>
      </w:r>
      <w:r>
        <w:rPr>
          <w:rFonts w:hint="default" w:ascii="Times New Roman" w:hAnsi="Times New Roman" w:cs="Times New Roman"/>
          <w:sz w:val="16"/>
          <w:szCs w:val="16"/>
        </w:rPr>
        <w:t>Whelton PK, Carey RM. The 2017 American College of Cardiology/American Heart Association Clinical Practice Guideline for High Blood Pressure in Adults. JAMA cardiology. 2018;3(4):352-3.</w:t>
      </w:r>
    </w:p>
    <w:p w14:paraId="62DF15C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>4.</w:t>
      </w:r>
      <w:r>
        <w:rPr>
          <w:rFonts w:hint="default" w:ascii="Times New Roman" w:hAnsi="Times New Roman" w:cs="Times New Roman"/>
          <w:sz w:val="16"/>
          <w:szCs w:val="16"/>
        </w:rPr>
        <w:tab/>
      </w:r>
      <w:r>
        <w:rPr>
          <w:rFonts w:hint="default" w:ascii="Times New Roman" w:hAnsi="Times New Roman" w:cs="Times New Roman"/>
          <w:sz w:val="16"/>
          <w:szCs w:val="16"/>
        </w:rPr>
        <w:t>Classification and Diagnosis of Diabetes: Standards of Medical Care in Diabetes-2022. Diabetes care. 2022;45(Suppl 1):S17-s38.</w:t>
      </w:r>
    </w:p>
    <w:p w14:paraId="10BFE1BD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textAlignment w:val="auto"/>
        <w:rPr>
          <w:rStyle w:val="9"/>
          <w:rFonts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>5.</w:t>
      </w:r>
      <w:r>
        <w:rPr>
          <w:rFonts w:hint="default" w:ascii="Times New Roman" w:hAnsi="Times New Roman" w:cs="Times New Roman"/>
          <w:sz w:val="16"/>
          <w:szCs w:val="16"/>
        </w:rPr>
        <w:tab/>
      </w:r>
      <w:r>
        <w:rPr>
          <w:rFonts w:hint="default" w:ascii="Times New Roman" w:hAnsi="Times New Roman" w:cs="Times New Roman"/>
          <w:sz w:val="16"/>
          <w:szCs w:val="16"/>
        </w:rPr>
        <w:t>Khan SS, Matsushita K, Sang Y, Ballew SH, Grams ME, Surapaneni A, et al. Development and Validation of the American Heart Association's PREVENT Equations. Circulation. 2024;149(6):430-49.</w:t>
      </w:r>
      <w:r>
        <w:rPr>
          <w:rFonts w:hint="default" w:ascii="Times New Roman" w:hAnsi="Times New Roman" w:cs="Times New Roman"/>
          <w:sz w:val="16"/>
          <w:szCs w:val="16"/>
        </w:rPr>
        <w:fldChar w:fldCharType="end"/>
      </w:r>
      <w:r>
        <w:rPr>
          <w:rStyle w:val="9"/>
          <w:rFonts w:ascii="Times New Roman" w:hAnsi="Times New Roman" w:cs="Times New Roman"/>
          <w:sz w:val="16"/>
          <w:szCs w:val="16"/>
        </w:rPr>
        <w:br w:type="page"/>
      </w:r>
    </w:p>
    <w:p w14:paraId="10F48BC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The bas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ic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PREVENT 10-year risk estimation model equations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2099"/>
      </w:tblGrid>
      <w:tr w14:paraId="746C0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228" w:type="dxa"/>
            <w:gridSpan w:val="2"/>
            <w:shd w:val="clear" w:color="auto" w:fill="FFFFFF" w:themeFill="background1"/>
            <w:vAlign w:val="center"/>
          </w:tcPr>
          <w:p w14:paraId="10A3BB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10-year CVD risk assessment equation</w:t>
            </w:r>
          </w:p>
        </w:tc>
      </w:tr>
      <w:tr w14:paraId="07017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vAlign w:val="center"/>
          </w:tcPr>
          <w:p w14:paraId="708EA9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</w:t>
            </w:r>
          </w:p>
        </w:tc>
        <w:tc>
          <w:tcPr>
            <w:tcW w:w="12099" w:type="dxa"/>
            <w:vAlign w:val="center"/>
          </w:tcPr>
          <w:p w14:paraId="2C02EB1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log-Odds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-3.031168 + 0.7688528 × (age – 55) /10 + 0.0736174 × ((TC – HDL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× 0.02586 – 3.5) – 0.0954431 × (HDL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× 0.02586 – 1.3) /0.3 – 0.4347345 × (min(SBP, 110) – 110) /20 + 0.3362658 × (max(SBP, 110) – 130) /20 + 0.7692857 × (if diabetes) + 0.4386871 × (if current smoker) + 0.5378979 × (min(eGFR, 60) – 60) / -15 + 0.0164827 × (max(eGFR, 60) – 90) / -15 + 0.288879 × (if using anti hypertensive medication) – 0.1337349 × (if using statin) – 0.0475924 × (if using anti-hypertensive medication) × (max(SBP, 110) – 130) /20 + 0.150273 × (if using statin) × ((TC – HDL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× 0.02586 – 3.5) – 0.0517874 × (age – 55) /10 × ((TC – HDL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× 0.02586 – 3.5) + 0.0191169 × (age – 55) /10 × (HDL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× 0.02586 – 1.3) /0.3 – 0.1049477 × (age – 55) /10 × (max(SBP, 110) – 130) /20 – 0.2251948 × (age – 55) /10 × (if diabetes) – 0.0895067 × (age – 55) /10 × (if current smoker) – 0.1543702 × (age – 55) /10 × (min(eGFR, 60) – 60) / -15</w:t>
            </w:r>
          </w:p>
        </w:tc>
      </w:tr>
      <w:tr w14:paraId="18DC6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 w14:paraId="5D3E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9" w:type="dxa"/>
            <w:vAlign w:val="center"/>
          </w:tcPr>
          <w:p w14:paraId="31A4C31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1 / (1 +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exp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(-log-Odds))</w:t>
            </w:r>
          </w:p>
        </w:tc>
      </w:tr>
      <w:tr w14:paraId="1959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vAlign w:val="center"/>
          </w:tcPr>
          <w:p w14:paraId="59FCF0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Women</w:t>
            </w:r>
          </w:p>
        </w:tc>
        <w:tc>
          <w:tcPr>
            <w:tcW w:w="12099" w:type="dxa"/>
            <w:vAlign w:val="center"/>
          </w:tcPr>
          <w:p w14:paraId="57A2BD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log-Odds = -3.307728 + 0.7939329 × (age – 55) /10 + 0.0305239 × ((TC – HDL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× 0.02586 – 3.5) – 0.1606857 × (HDL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× 0.02586 – 1.3) /0.3 – 0.2394003 × (min(SBP, 110) – 110) /20 + 0.360078 × (max(SBP, 110) – 130) /20 + 0.8667604 × (if diabetes) + 0.5360739 × (if current smoker) + 0.6045917 × (min(eGFR, 60) – 60) / -15 + 0.0433769 × (max(eGFR, 60) – 90) / -15 + 0.3151672 × (if using anti hypertensive medication) – 0.1477655 × (if using statin) – 0.0663612 × (if using anti-hypertensive medication) × (max(SBP, 110) – 130) /20 + 0.1197879 × (if using statin) × ((TC – HDL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× 0.02586 – 3.5) – 0.0819715 × (age – 55) /10 × ((TC – HDL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× 0.02586 – 3.5) + 0.0306769 × (age – 55) /10 × (HDL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× 0.02586 × 0.02586 – 1.3) /0.3 – 0.0946348 × (age – 55) /10 × (max(SBP, 110) – 130) /20 – 0.27057 × (age – 55) /10 × (if diabetes) – 0.078715 × (age – 55) /10 × (if current smoker) – 0.1637806 × (age – 55) /10 × (min(eGFR, 60) – 60) / -15</w:t>
            </w:r>
          </w:p>
        </w:tc>
      </w:tr>
      <w:tr w14:paraId="6160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129" w:type="dxa"/>
            <w:vMerge w:val="continue"/>
            <w:vAlign w:val="center"/>
          </w:tcPr>
          <w:p w14:paraId="15C6B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9" w:type="dxa"/>
            <w:vAlign w:val="center"/>
          </w:tcPr>
          <w:p w14:paraId="03B211C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1 / (1 +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exp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(-log-Odds))</w:t>
            </w:r>
          </w:p>
        </w:tc>
      </w:tr>
    </w:tbl>
    <w:p w14:paraId="59DBB184">
      <w:pPr>
        <w:rPr>
          <w:rFonts w:hint="eastAsia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TC,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otal cholesterol</w:t>
      </w:r>
      <w:r>
        <w:rPr>
          <w:rFonts w:hint="eastAsia" w:ascii="Times New Roman" w:hAnsi="Times New Roman" w:cs="Times New Roman"/>
          <w:sz w:val="20"/>
          <w:szCs w:val="20"/>
        </w:rPr>
        <w:t>; HDL-C, high-density lipoprotein cholesterol; SBP, s</w:t>
      </w:r>
      <w:r>
        <w:rPr>
          <w:rFonts w:ascii="Times New Roman" w:hAnsi="Times New Roman" w:cs="Times New Roman"/>
          <w:sz w:val="20"/>
          <w:szCs w:val="20"/>
        </w:rPr>
        <w:t>ystolic blood pressure</w:t>
      </w:r>
      <w:r>
        <w:rPr>
          <w:rFonts w:hint="eastAsia" w:ascii="Times New Roman" w:hAnsi="Times New Roman" w:cs="Times New Roman"/>
          <w:sz w:val="20"/>
          <w:szCs w:val="20"/>
        </w:rPr>
        <w:t xml:space="preserve">; eGFR, </w:t>
      </w:r>
      <w:r>
        <w:rPr>
          <w:rFonts w:ascii="Times New Roman" w:hAnsi="Times New Roman" w:cs="Times New Roman"/>
          <w:sz w:val="20"/>
          <w:szCs w:val="20"/>
        </w:rPr>
        <w:t>estimated glomerular filtration rate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49C29D98">
      <w:pPr>
        <w:rPr>
          <w:rStyle w:val="9"/>
          <w:rFonts w:ascii="Times New Roman" w:hAnsi="Times New Roman" w:cs="Times New Roman"/>
          <w:b/>
          <w:bCs/>
          <w:sz w:val="24"/>
        </w:rPr>
      </w:pPr>
      <w:r>
        <w:rPr>
          <w:rStyle w:val="9"/>
          <w:rFonts w:ascii="Times New Roman" w:hAnsi="Times New Roman" w:cs="Times New Roman"/>
          <w:b/>
          <w:bCs/>
          <w:sz w:val="24"/>
        </w:rPr>
        <w:br w:type="page"/>
      </w:r>
    </w:p>
    <w:p w14:paraId="7C07925D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S4.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Calculation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f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ormula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</w:p>
    <w:tbl>
      <w:tblPr>
        <w:tblStyle w:val="5"/>
        <w:tblW w:w="5015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430"/>
        <w:gridCol w:w="5840"/>
        <w:gridCol w:w="5685"/>
      </w:tblGrid>
      <w:tr w14:paraId="2F399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EAA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Indicator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F4EE35">
            <w:pPr>
              <w:keepNext w:val="0"/>
              <w:keepLines w:val="0"/>
              <w:widowControl/>
              <w:suppressLineNumbers w:val="0"/>
              <w:ind w:firstLine="3413" w:firstLineChars="1700"/>
              <w:jc w:val="both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Calculation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Formula</w:t>
            </w:r>
          </w:p>
        </w:tc>
      </w:tr>
      <w:tr w14:paraId="254B0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9FBEE"/>
            <w:noWrap/>
            <w:vAlign w:val="bottom"/>
          </w:tcPr>
          <w:p w14:paraId="1745DA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TyG Index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F9FBEE"/>
            <w:noWrap/>
            <w:vAlign w:val="bottom"/>
          </w:tcPr>
          <w:p w14:paraId="4CA5CA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TyG Index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 ln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[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 (mg/dL) × F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 (mg/dL) / 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]</w:t>
            </w:r>
          </w:p>
        </w:tc>
      </w:tr>
      <w:tr w14:paraId="0492F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43" w:type="pct"/>
            <w:vMerge w:val="restart"/>
            <w:tcBorders>
              <w:tl2br w:val="nil"/>
              <w:tr2bl w:val="nil"/>
            </w:tcBorders>
            <w:shd w:val="clear" w:color="auto" w:fill="F9FBEE"/>
            <w:noWrap/>
            <w:vAlign w:val="center"/>
          </w:tcPr>
          <w:p w14:paraId="3744B2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CVAI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F9FBEE"/>
            <w:noWrap/>
            <w:vAlign w:val="center"/>
          </w:tcPr>
          <w:p w14:paraId="4A40241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F9FBEE"/>
            <w:noWrap/>
            <w:vAlign w:val="bottom"/>
          </w:tcPr>
          <w:p w14:paraId="184353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CVAI = -67.93 + 0.68×Age (years) + 0.03×BMI (kg/m²) + 4.00×WC (cm) + 22.00×log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[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 (mmol/L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- 16.32×HDL-C (mmol/L)</w:t>
            </w:r>
          </w:p>
        </w:tc>
      </w:tr>
      <w:tr w14:paraId="5B070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43" w:type="pct"/>
            <w:vMerge w:val="continue"/>
            <w:tcBorders>
              <w:tl2br w:val="nil"/>
              <w:tr2bl w:val="nil"/>
            </w:tcBorders>
            <w:shd w:val="clear" w:color="auto" w:fill="F9FBEE"/>
            <w:noWrap/>
            <w:vAlign w:val="bottom"/>
          </w:tcPr>
          <w:p w14:paraId="51C084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F9FBEE"/>
            <w:noWrap/>
            <w:vAlign w:val="center"/>
          </w:tcPr>
          <w:p w14:paraId="146CCE6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F9FBEE"/>
            <w:noWrap/>
            <w:vAlign w:val="bottom"/>
          </w:tcPr>
          <w:p w14:paraId="6E3007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CVAI = -187.32 + 1.71×Age (years) + 4.23×BMI (kg/m²) + 1.12×WC (cm) + 39.76×log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[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 (mmol/L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- 11.66×HDL-C (mmol/L)</w:t>
            </w:r>
          </w:p>
        </w:tc>
      </w:tr>
      <w:tr w14:paraId="61940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9FBEE"/>
            <w:noWrap/>
            <w:vAlign w:val="bottom"/>
          </w:tcPr>
          <w:p w14:paraId="26908A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BRI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F9FBEE"/>
            <w:noWrap/>
            <w:vAlign w:val="bottom"/>
          </w:tcPr>
          <w:p w14:paraId="655BA0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BRI= 364.2-365.5×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{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1-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WC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(m)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/2π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]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}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 xml:space="preserve"> / 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0.5×height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(m)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vertAlign w:val="superscript"/>
              </w:rPr>
              <w:t>2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vertAlign w:val="baseline"/>
                <w:lang w:val="en-US" w:eastAsia="zh-CN"/>
              </w:rPr>
              <w:t>]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vertAlign w:val="superscript"/>
              </w:rPr>
              <w:t>1/2</w:t>
            </w:r>
          </w:p>
        </w:tc>
      </w:tr>
      <w:tr w14:paraId="69DE5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9FBEE"/>
            <w:noWrap/>
            <w:vAlign w:val="bottom"/>
          </w:tcPr>
          <w:p w14:paraId="3034C8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CI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F9FBEE"/>
            <w:noWrap/>
            <w:vAlign w:val="bottom"/>
          </w:tcPr>
          <w:p w14:paraId="32D6833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shd w:val="clear" w:fill="F9FBEE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shd w:val="clear" w:fill="F9FBEE"/>
              </w:rPr>
              <w:t>CI = W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shd w:val="clear" w:fill="F9FBE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shd w:val="clear" w:fill="F9FBEE"/>
              </w:rPr>
              <w:t xml:space="preserve"> (m) / 0.109 × (Weight (kg) / Height (m)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shd w:val="clear" w:fill="F9FBEE"/>
                <w:vertAlign w:val="superscript"/>
              </w:rPr>
              <w:t>1/2</w:t>
            </w:r>
          </w:p>
        </w:tc>
      </w:tr>
      <w:tr w14:paraId="6EF4D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9FBEE"/>
            <w:noWrap/>
            <w:vAlign w:val="bottom"/>
          </w:tcPr>
          <w:p w14:paraId="358A0A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WWI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F9FBEE"/>
            <w:noWrap/>
            <w:vAlign w:val="bottom"/>
          </w:tcPr>
          <w:p w14:paraId="6901F125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WWI= WC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(cm) 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/weight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(kg)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vertAlign w:val="superscript"/>
              </w:rPr>
              <w:t>1/2</w:t>
            </w:r>
          </w:p>
        </w:tc>
      </w:tr>
      <w:tr w14:paraId="13139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9FBEE"/>
            <w:noWrap/>
            <w:vAlign w:val="bottom"/>
          </w:tcPr>
          <w:p w14:paraId="159649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ABSI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F9FBEE"/>
            <w:noWrap/>
            <w:vAlign w:val="bottom"/>
          </w:tcPr>
          <w:p w14:paraId="033D23FB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BSI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=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WC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(m)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/(BMI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vertAlign w:val="superscript"/>
              </w:rPr>
              <w:t xml:space="preserve">2/3 </w:t>
            </w:r>
            <m:oMath>
              <m:r>
                <m:rPr>
                  <m:sty m:val="p"/>
                </m:rPr>
                <w:rPr>
                  <w:rFonts w:hint="eastAsia" w:ascii="Times New Roman" w:hAnsi="Times New Roman" w:cs="Times New Roman"/>
                  <w:sz w:val="20"/>
                  <w:szCs w:val="20"/>
                  <w:highlight w:val="none"/>
                </w:rPr>
                <m:t>×</m:t>
              </m:r>
            </m:oMath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height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(m)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vertAlign w:val="superscript"/>
              </w:rPr>
              <w:t>1/2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)</w:t>
            </w:r>
          </w:p>
        </w:tc>
      </w:tr>
      <w:tr w14:paraId="1C915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9FBEE"/>
            <w:noWrap/>
            <w:vAlign w:val="center"/>
          </w:tcPr>
          <w:p w14:paraId="5ECC41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RFM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F9FBEE"/>
            <w:noWrap/>
            <w:vAlign w:val="bottom"/>
          </w:tcPr>
          <w:p w14:paraId="3FFDEB7E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RFM = 64 -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[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 × Height (m) / Waist Circumference (m)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], </w:t>
            </w:r>
            <w:r>
              <w:rPr>
                <w:rFonts w:hint="eastAsia" w:ascii="Times New Roman" w:hAnsi="Times New Roman" w:cs="Times New Roman"/>
                <w:highlight w:val="none"/>
              </w:rPr>
              <w:t>sex= 0 for males and 1 for females</w:t>
            </w:r>
          </w:p>
        </w:tc>
      </w:tr>
      <w:tr w14:paraId="1641A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8FDFB"/>
            <w:noWrap/>
            <w:vAlign w:val="center"/>
          </w:tcPr>
          <w:p w14:paraId="499157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Baseline TyG-CVAI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F8FDFB"/>
            <w:noWrap/>
            <w:vAlign w:val="bottom"/>
          </w:tcPr>
          <w:p w14:paraId="79CB957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TyG-CVAI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= TyG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×CVAI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</w:p>
        </w:tc>
        <w:tc>
          <w:tcPr>
            <w:tcW w:w="1999" w:type="pct"/>
            <w:tcBorders>
              <w:tl2br w:val="nil"/>
              <w:tr2bl w:val="nil"/>
            </w:tcBorders>
            <w:shd w:val="clear" w:color="auto" w:fill="F8FDFB"/>
            <w:noWrap/>
            <w:vAlign w:val="bottom"/>
          </w:tcPr>
          <w:p w14:paraId="0AADE378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TyG-CVAI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= TyG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×CVAI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</w:p>
        </w:tc>
      </w:tr>
      <w:tr w14:paraId="5342A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8FDFB"/>
            <w:noWrap/>
            <w:vAlign w:val="center"/>
          </w:tcPr>
          <w:p w14:paraId="43B88C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Baseline TyG-BRI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F8FDFB"/>
            <w:noWrap/>
            <w:vAlign w:val="bottom"/>
          </w:tcPr>
          <w:p w14:paraId="5B0D118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TyG-BRI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= TyG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×BRI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999" w:type="pct"/>
            <w:tcBorders>
              <w:tl2br w:val="nil"/>
              <w:tr2bl w:val="nil"/>
            </w:tcBorders>
            <w:shd w:val="clear" w:color="auto" w:fill="F8FDFB"/>
            <w:noWrap/>
            <w:vAlign w:val="bottom"/>
          </w:tcPr>
          <w:p w14:paraId="72D7B379">
            <w:pP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TyG-BRI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= TyG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×BRI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  <w:tr w14:paraId="1190D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8FDFB"/>
            <w:noWrap/>
            <w:vAlign w:val="center"/>
          </w:tcPr>
          <w:p w14:paraId="38F0A5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Baseline TyG-CI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F8FDFB"/>
            <w:noWrap/>
            <w:vAlign w:val="bottom"/>
          </w:tcPr>
          <w:p w14:paraId="2D92653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TyG-CI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= TyG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×CI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999" w:type="pct"/>
            <w:tcBorders>
              <w:tl2br w:val="nil"/>
              <w:tr2bl w:val="nil"/>
            </w:tcBorders>
            <w:shd w:val="clear" w:color="auto" w:fill="F8FDFB"/>
            <w:noWrap/>
            <w:vAlign w:val="bottom"/>
          </w:tcPr>
          <w:p w14:paraId="79FFB48F">
            <w:pP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TyG-CI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= TyG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×CI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  <w:tr w14:paraId="50643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8FDFB"/>
            <w:noWrap/>
            <w:vAlign w:val="center"/>
          </w:tcPr>
          <w:p w14:paraId="286526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Baseline TyG-WWI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F8FDFB"/>
            <w:noWrap/>
            <w:vAlign w:val="bottom"/>
          </w:tcPr>
          <w:p w14:paraId="430F6CB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TyG-WWI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= TyG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×WWI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999" w:type="pct"/>
            <w:tcBorders>
              <w:tl2br w:val="nil"/>
              <w:tr2bl w:val="nil"/>
            </w:tcBorders>
            <w:shd w:val="clear" w:color="auto" w:fill="F8FDFB"/>
            <w:noWrap/>
            <w:vAlign w:val="bottom"/>
          </w:tcPr>
          <w:p w14:paraId="3B7278FE">
            <w:pP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TyG-WWI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= TyG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×WWI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  <w:tr w14:paraId="6FEE6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8FDFB"/>
            <w:noWrap/>
            <w:vAlign w:val="center"/>
          </w:tcPr>
          <w:p w14:paraId="4D050E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Baseline TyG-ABSI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F8FDFB"/>
            <w:noWrap/>
            <w:vAlign w:val="bottom"/>
          </w:tcPr>
          <w:p w14:paraId="115B111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TyG-ABSI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= TyG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×ABSI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999" w:type="pct"/>
            <w:tcBorders>
              <w:tl2br w:val="nil"/>
              <w:tr2bl w:val="nil"/>
            </w:tcBorders>
            <w:shd w:val="clear" w:color="auto" w:fill="F8FDFB"/>
            <w:noWrap/>
            <w:vAlign w:val="bottom"/>
          </w:tcPr>
          <w:p w14:paraId="570144BA">
            <w:pP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TyG-ABSI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= TyG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×ABSI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  <w:tr w14:paraId="30000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8FDFB"/>
            <w:noWrap/>
            <w:vAlign w:val="center"/>
          </w:tcPr>
          <w:p w14:paraId="249F81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Baseline TyG-RFM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F8FDFB"/>
            <w:noWrap/>
            <w:vAlign w:val="bottom"/>
          </w:tcPr>
          <w:p w14:paraId="3C2FB80C">
            <w:pP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TyG-RFM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= TyG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×RFM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999" w:type="pct"/>
            <w:tcBorders>
              <w:tl2br w:val="nil"/>
              <w:tr2bl w:val="nil"/>
            </w:tcBorders>
            <w:shd w:val="clear" w:color="auto" w:fill="F8FDFB"/>
            <w:noWrap/>
            <w:vAlign w:val="bottom"/>
          </w:tcPr>
          <w:p w14:paraId="4947FD3E">
            <w:pP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TyG-RFM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= TyG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×RFM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  <w:tr w14:paraId="0FAA7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FF8FA"/>
            <w:noWrap/>
            <w:vAlign w:val="top"/>
          </w:tcPr>
          <w:p w14:paraId="4138C4E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Cumulative TyG-CVAI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FFF8FA"/>
            <w:noWrap/>
            <w:vAlign w:val="center"/>
          </w:tcPr>
          <w:p w14:paraId="1D564C9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Cumulative TyG-CVAI = (TyG-CVAI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+ TyG-CVAI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)/2 ×ΔTime, 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ΔTime is the time interval between 2012 and 2015</w:t>
            </w:r>
          </w:p>
        </w:tc>
      </w:tr>
      <w:tr w14:paraId="7007E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FF8FA"/>
            <w:noWrap/>
            <w:vAlign w:val="bottom"/>
          </w:tcPr>
          <w:p w14:paraId="048E1EB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Cumulative TyG-BRI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FFF8FA"/>
            <w:noWrap/>
            <w:vAlign w:val="center"/>
          </w:tcPr>
          <w:p w14:paraId="1877400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Cumulative TyG-BRI = (TyG-BRI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+ TyG-BRI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)/2 ×ΔTime</w:t>
            </w:r>
          </w:p>
        </w:tc>
      </w:tr>
      <w:tr w14:paraId="4AA3F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FF8FA"/>
            <w:noWrap/>
            <w:vAlign w:val="bottom"/>
          </w:tcPr>
          <w:p w14:paraId="2A0091D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Cumulative TyG-CI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FFF8FA"/>
            <w:noWrap/>
            <w:vAlign w:val="center"/>
          </w:tcPr>
          <w:p w14:paraId="6B7636A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Cumulative TyG-CI = (TyG-CI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+ TyG-CI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)/2 ×ΔTime</w:t>
            </w:r>
          </w:p>
        </w:tc>
      </w:tr>
      <w:tr w14:paraId="23EBD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FF8FA"/>
            <w:noWrap/>
            <w:vAlign w:val="bottom"/>
          </w:tcPr>
          <w:p w14:paraId="6817B09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Cumulative TyG-WWI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FFF8FA"/>
            <w:noWrap/>
            <w:vAlign w:val="center"/>
          </w:tcPr>
          <w:p w14:paraId="23EE8E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Cumulative TyG-WWI = (TyG-WWI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+ TyG-WWI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)/2 ×ΔTime</w:t>
            </w:r>
          </w:p>
        </w:tc>
      </w:tr>
      <w:tr w14:paraId="4D49D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FF8FA"/>
            <w:noWrap/>
            <w:vAlign w:val="bottom"/>
          </w:tcPr>
          <w:p w14:paraId="21CAB2E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Cumulative TyG-ABSI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FFF8FA"/>
            <w:noWrap/>
            <w:vAlign w:val="center"/>
          </w:tcPr>
          <w:p w14:paraId="2B2AF9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Cumulative TyG-ABSI = (TyG-ABSI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+ TyG-ABSI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)/2 ×ΔTime</w:t>
            </w:r>
          </w:p>
        </w:tc>
      </w:tr>
      <w:tr w14:paraId="50A63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FFF8FA"/>
            <w:noWrap/>
            <w:vAlign w:val="bottom"/>
          </w:tcPr>
          <w:p w14:paraId="05DBA19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Cumulative TyG-RFM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FFF8FA"/>
            <w:noWrap/>
            <w:vAlign w:val="center"/>
          </w:tcPr>
          <w:p w14:paraId="64AEA90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Cumulative TyG-RFM = (TyG-RFM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2012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 xml:space="preserve"> + TyG-RFM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vertAlign w:val="subscript"/>
                <w:lang w:val="en-US" w:eastAsia="zh-CN" w:bidi="ar"/>
              </w:rPr>
              <w:t>2015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)/2 ×ΔTime</w:t>
            </w:r>
          </w:p>
        </w:tc>
      </w:tr>
      <w:tr w14:paraId="7411E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6" w:type="pct"/>
            <w:gridSpan w:val="2"/>
            <w:tcBorders>
              <w:tl2br w:val="nil"/>
              <w:tr2bl w:val="nil"/>
            </w:tcBorders>
            <w:shd w:val="clear" w:color="auto" w:fill="EFF2F4"/>
            <w:noWrap/>
            <w:vAlign w:val="center"/>
          </w:tcPr>
          <w:p w14:paraId="7C3094D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ePWV</w:t>
            </w:r>
          </w:p>
        </w:tc>
        <w:tc>
          <w:tcPr>
            <w:tcW w:w="4053" w:type="pct"/>
            <w:gridSpan w:val="2"/>
            <w:tcBorders>
              <w:tl2br w:val="nil"/>
              <w:tr2bl w:val="nil"/>
            </w:tcBorders>
            <w:shd w:val="clear" w:color="auto" w:fill="EFF2F4"/>
            <w:noWrap/>
            <w:vAlign w:val="center"/>
          </w:tcPr>
          <w:p w14:paraId="6A213A9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ePWV = 9.587 - 0.402×Age (years) + 4.560×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-3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×Age (years)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- 2.621×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-5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×Age (years)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×MBP + 3.176×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-3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×Age (years)× MBP - 1.832×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-2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×MBP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baseli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MBP = DBP + 0.4×(SBP - DBP)</w:t>
            </w:r>
          </w:p>
        </w:tc>
      </w:tr>
    </w:tbl>
    <w:p w14:paraId="433BE9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60" w:lineRule="auto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TyG, triglyceride-glucose index. WC, waist circumference. CVAI, Chinese visceral adiposity index. BRI, body roundness index.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CI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,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 conicity index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. ABSI, a body shape index. WWI, weight-adjusted waist index.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RFM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,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 relative fat mass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ePWV,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estimated pulse wave velocity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. </w:t>
      </w:r>
    </w:p>
    <w:p w14:paraId="3C6AF020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S5.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The levels of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the TyG index and novel obesity indices at waves 1 and 3</w:t>
      </w:r>
    </w:p>
    <w:p w14:paraId="3E0A6B09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tbl>
      <w:tblPr>
        <w:tblStyle w:val="5"/>
        <w:tblW w:w="85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3120"/>
        <w:gridCol w:w="3120"/>
      </w:tblGrid>
      <w:tr w14:paraId="3FB5B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F7C5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</w:t>
            </w:r>
          </w:p>
        </w:tc>
        <w:tc>
          <w:tcPr>
            <w:tcW w:w="312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4A46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2012</w:t>
            </w:r>
          </w:p>
        </w:tc>
        <w:tc>
          <w:tcPr>
            <w:tcW w:w="312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030F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</w:t>
            </w:r>
          </w:p>
        </w:tc>
      </w:tr>
      <w:tr w14:paraId="43B83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1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A4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</w:t>
            </w:r>
          </w:p>
        </w:tc>
        <w:tc>
          <w:tcPr>
            <w:tcW w:w="312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33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8.59 ± 0.56</w:t>
            </w:r>
          </w:p>
        </w:tc>
        <w:tc>
          <w:tcPr>
            <w:tcW w:w="312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71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8.61 ± 0.55</w:t>
            </w:r>
          </w:p>
        </w:tc>
      </w:tr>
      <w:tr w14:paraId="09421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7F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cm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D4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84.79 ± 9.27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30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85.70 ± 9.74</w:t>
            </w:r>
          </w:p>
        </w:tc>
      </w:tr>
      <w:tr w14:paraId="6D6A7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E8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Height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m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05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 ± 0.08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D3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 ± 0.08</w:t>
            </w:r>
          </w:p>
        </w:tc>
      </w:tr>
      <w:tr w14:paraId="68CF4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00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Weight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B4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58.56 ± 10.21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61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58.84 ± 10.55</w:t>
            </w:r>
          </w:p>
        </w:tc>
      </w:tr>
      <w:tr w14:paraId="55697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20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CVAI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5A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92.53 ± 36.26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B8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101.27 ± 37.27</w:t>
            </w:r>
          </w:p>
        </w:tc>
      </w:tr>
      <w:tr w14:paraId="64234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0C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5A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4.15 ± 1.25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A6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4.31 ± 1.33</w:t>
            </w:r>
          </w:p>
        </w:tc>
      </w:tr>
      <w:tr w14:paraId="6FCE7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33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CE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 ± 0.08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2F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 ± 0.08</w:t>
            </w:r>
          </w:p>
        </w:tc>
      </w:tr>
      <w:tr w14:paraId="49538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48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WWI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04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11.13 ± 0.79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21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11.22 ± 0.81</w:t>
            </w:r>
          </w:p>
        </w:tc>
      </w:tr>
      <w:tr w14:paraId="66D1E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C1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ABSI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07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0.083 ± 0.005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9A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0.083 ± 0.005</w:t>
            </w:r>
          </w:p>
        </w:tc>
      </w:tr>
      <w:tr w14:paraId="3D820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1BB0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RFM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793A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32.75 ± 8.45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FA2A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33.21 ± 8.61</w:t>
            </w:r>
          </w:p>
        </w:tc>
      </w:tr>
    </w:tbl>
    <w:p w14:paraId="62160C63">
      <w:pPr>
        <w:rPr>
          <w:rFonts w:hint="default" w:ascii="Times New Roman" w:hAnsi="Times New Roman" w:cs="Times New Roman"/>
        </w:rPr>
      </w:pPr>
    </w:p>
    <w:p w14:paraId="3C80C5F5">
      <w:pP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 w14:paraId="6950534C">
      <w:pP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Figure S1. T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he elbow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plot for K-means algorithm</w:t>
      </w:r>
    </w:p>
    <w:p w14:paraId="7537ED8A">
      <w:pPr>
        <w:jc w:val="center"/>
        <w:rPr>
          <w:rStyle w:val="9"/>
          <w:rFonts w:ascii="Times New Roman" w:hAnsi="Times New Roman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drawing>
          <wp:inline distT="0" distB="0" distL="114300" distR="114300">
            <wp:extent cx="5365115" cy="2628265"/>
            <wp:effectExtent l="0" t="0" r="6985" b="635"/>
            <wp:docPr id="4" name="图片 4" descr="手肘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手肘图"/>
                    <pic:cNvPicPr>
                      <a:picLocks noChangeAspect="1"/>
                    </pic:cNvPicPr>
                  </pic:nvPicPr>
                  <pic:blipFill>
                    <a:blip r:embed="rId5"/>
                    <a:srcRect t="-2136"/>
                    <a:stretch>
                      <a:fillRect/>
                    </a:stretch>
                  </pic:blipFill>
                  <pic:spPr>
                    <a:xfrm>
                      <a:off x="0" y="0"/>
                      <a:ext cx="5365115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587E7">
      <w:pP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 w14:paraId="0F803C91">
      <w:pPr>
        <w:pStyle w:val="4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p w14:paraId="735954B3">
      <w:pPr>
        <w:pStyle w:val="4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p w14:paraId="2D741063">
      <w:pPr>
        <w:pStyle w:val="4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p w14:paraId="1E5FB96A">
      <w:pPr>
        <w:pStyle w:val="4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p w14:paraId="689CADAC">
      <w:pPr>
        <w:pStyle w:val="4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p w14:paraId="5BC07C0D">
      <w:pPr>
        <w:pStyle w:val="4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p w14:paraId="5F4A9B13">
      <w:pPr>
        <w:pStyle w:val="4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p w14:paraId="6602983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Figure S2. 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Evolution of the number of iterations in the Boruta algorithm</w:t>
      </w:r>
      <w:r>
        <w:rPr>
          <w:rFonts w:hint="eastAsia"/>
          <w:lang w:val="en-US" w:eastAsia="zh-CN"/>
        </w:rPr>
        <w:t xml:space="preserve"> </w:t>
      </w:r>
    </w:p>
    <w:p w14:paraId="4E5C35E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textAlignment w:val="auto"/>
        <w:rPr>
          <w:rFonts w:hint="eastAsia"/>
          <w:lang w:val="en-US" w:eastAsia="zh-CN"/>
        </w:rPr>
      </w:pPr>
    </w:p>
    <w:p w14:paraId="2557DBA9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0"/>
          <w:szCs w:val="20"/>
          <w:lang w:val="en-US" w:eastAsia="zh-CN" w:bidi="ar-SA"/>
        </w:rPr>
        <w:t xml:space="preserve">                                         (B)</w:t>
      </w:r>
    </w:p>
    <w:p w14:paraId="16D8D44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textAlignment w:val="auto"/>
        <w:rPr>
          <w:rFonts w:hint="default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0300" cy="2160270"/>
            <wp:effectExtent l="9525" t="9525" r="13335" b="9525"/>
            <wp:docPr id="2" name="图片 2" descr="Boruta.Attribute.z.score.base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oruta.Attribute.z.score.baselin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1602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400300" cy="2160270"/>
            <wp:effectExtent l="9525" t="9525" r="13335" b="9525"/>
            <wp:docPr id="5" name="图片 5" descr="Boruta.Attribute.z.score.c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oruta.Attribute.z.score.cum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1602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ED057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textAlignment w:val="auto"/>
        <w:rPr>
          <w:rFonts w:hint="default"/>
          <w:lang w:val="en-US" w:eastAsia="zh-CN"/>
        </w:rPr>
      </w:pPr>
    </w:p>
    <w:p w14:paraId="345389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firstLine="3990" w:firstLineChars="1900"/>
        <w:textAlignment w:val="auto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(C)</w:t>
      </w:r>
    </w:p>
    <w:p w14:paraId="371465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00300" cy="2160270"/>
            <wp:effectExtent l="9525" t="9525" r="13335" b="9525"/>
            <wp:docPr id="6" name="图片 6" descr="Boruta.Attribute.z.score.clu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oruta.Attribute.z.score.cluster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1602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7DC4C1">
      <w:pPr>
        <w:numPr>
          <w:ilvl w:val="0"/>
          <w:numId w:val="3"/>
        </w:numPr>
        <w:spacing w:line="360" w:lineRule="auto"/>
        <w:rPr>
          <w:rFonts w:hint="eastAsia" w:ascii="Times New Roman" w:hAnsi="Times New Roman" w:cs="Times New Roman"/>
          <w:b w:val="0"/>
          <w:bCs w:val="0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5"/>
          <w:szCs w:val="15"/>
          <w:lang w:val="en-US" w:eastAsia="zh-CN"/>
        </w:rPr>
        <w:t>Baseline TyG-obesity indices. (B) Cumulative TyG-obesity indices. (C) Longitudinal change patterns of TyG-obesity indices.</w:t>
      </w:r>
    </w:p>
    <w:p w14:paraId="0A4A183D">
      <w:pP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15"/>
          <w:szCs w:val="15"/>
          <w:lang w:val="en-US" w:eastAsia="zh-CN"/>
        </w:rPr>
        <w:t xml:space="preserve">The plot shows the importance trajectories of each feature over 100 random forest runs. Green lines indicate confirmed features; yellow lines, tentative features; red lines, rejected features; blue lines represent shadow features. </w:t>
      </w:r>
    </w:p>
    <w:p w14:paraId="505EECCD">
      <w:pP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 w14:paraId="7576E6C9">
      <w:pP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 w14:paraId="6C81893C">
      <w:pP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 w14:paraId="24A4C1AA">
      <w:pP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 w14:paraId="6941292A">
      <w:pP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 w14:paraId="1EB92CE9">
      <w:pP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 w14:paraId="60050321">
      <w:pP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 w14:paraId="4857FD36">
      <w:pP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p w14:paraId="5E37F4C5">
      <w:pP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p w14:paraId="3776D1DA">
      <w:pP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p w14:paraId="187F5CD7">
      <w:pP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p w14:paraId="470DCBE4">
      <w:pP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p w14:paraId="32E48D8F">
      <w:pP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p w14:paraId="77A3C571">
      <w:pP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p w14:paraId="2B7CB55F">
      <w:pP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p w14:paraId="6AB8B5AD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Table S6. 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The incidence of stroke among different TyG-obesity longitudinal change groups</w:t>
      </w:r>
    </w:p>
    <w:p w14:paraId="2A81AC1F">
      <w:pP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tbl>
      <w:tblPr>
        <w:tblStyle w:val="5"/>
        <w:tblW w:w="4951" w:type="pct"/>
        <w:tblInd w:w="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764"/>
        <w:gridCol w:w="1627"/>
        <w:gridCol w:w="1233"/>
        <w:gridCol w:w="1235"/>
        <w:gridCol w:w="873"/>
      </w:tblGrid>
      <w:tr w14:paraId="381F1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011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A3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</w:t>
            </w:r>
          </w:p>
        </w:tc>
        <w:tc>
          <w:tcPr>
            <w:tcW w:w="2009" w:type="pct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832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16"/>
                <w:szCs w:val="16"/>
                <w:shd w:val="clear" w:fill="FFFFFF"/>
                <w:lang w:val="en-US" w:eastAsia="zh-CN"/>
              </w:rPr>
              <w:t>M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16"/>
                <w:szCs w:val="16"/>
                <w:shd w:val="clear" w:fill="FFFFFF"/>
              </w:rPr>
              <w:t xml:space="preserve">ean ±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16"/>
                <w:szCs w:val="16"/>
                <w:shd w:val="clear" w:fill="FFFFFF"/>
                <w:lang w:val="en-US" w:eastAsia="zh-CN"/>
              </w:rPr>
              <w:t>SD</w:t>
            </w:r>
          </w:p>
        </w:tc>
        <w:tc>
          <w:tcPr>
            <w:tcW w:w="730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0C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Number</w:t>
            </w:r>
          </w:p>
          <w:p w14:paraId="19FCE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n,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%)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7D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Events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  <w:p w14:paraId="02AAD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n,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17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3E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 value</w:t>
            </w:r>
          </w:p>
        </w:tc>
      </w:tr>
      <w:tr w14:paraId="2A930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011" w:type="pct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164D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45" w:type="pct"/>
            <w:tcBorders>
              <w:top w:val="single" w:color="000000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EA4E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2012</w:t>
            </w:r>
          </w:p>
        </w:tc>
        <w:tc>
          <w:tcPr>
            <w:tcW w:w="963" w:type="pct"/>
            <w:tcBorders>
              <w:top w:val="single" w:color="000000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64E2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</w:t>
            </w:r>
          </w:p>
        </w:tc>
        <w:tc>
          <w:tcPr>
            <w:tcW w:w="730" w:type="pct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ECB9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31" w:type="pct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61EE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17" w:type="pct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A548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1159F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482" w:type="pct"/>
            <w:gridSpan w:val="5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7E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TyG-CVAI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longitudinal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change pattern</w:t>
            </w:r>
          </w:p>
        </w:tc>
        <w:tc>
          <w:tcPr>
            <w:tcW w:w="51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79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77308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75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AE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461.33 ± 161.99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E7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520.28 ± 176.67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4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1160 (34.1)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0AA8A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 (3.8)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7D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3EA00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12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C4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824.23 ± 150.07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69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915.82 ± 155.42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95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1411 (41.5)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3E113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 (6.5)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D3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23813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2A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76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1254.57 ± 197.54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44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1335.20 ± 203.04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B5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829 (24.4)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44822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 (11.6)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EB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B614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48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70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TyG-BRI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longitudinal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change pattern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EA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1BEBC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00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AA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24.95 ± 4.85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BC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25.44 ± 5.36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9C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1275 (37.5)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32062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 (4.5)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45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2A979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F3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39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37.06 ± 5.48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41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39.00 ± 5.62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D4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1381 (40.6)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0CE23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 (6.8)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2C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26A24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44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C4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52.26 ± 7.17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F3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54.66 ± 7.67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CA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744 (21.9)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29170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 (10.9)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2C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97D4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48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52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TyG-CI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longitudinal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change pattern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B6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DAED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6F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46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9.96 ± 0.62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BD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10.01 ± 0.64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6D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1101 (32.4)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3F3F9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 (4.4)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BC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2A0AC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3C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ED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11.07 ± 0.59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71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11.22 ± 0.61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DE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1449 (42.6)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7832D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 (6.8)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58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01E1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55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82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12.33 ± 0.70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F1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12.43 ± 0.75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F6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850 (25.0)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5C2CE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 (10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5B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215B9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48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9C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TyG-WWI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longitudinal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change pattern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D1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5DA67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83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1E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85.81 ± 5.44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47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86.22 ± 5.57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C6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1097 (32.3)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47ECE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 (4.6)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D1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E310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77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DC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96.06 ± 5.19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35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97.50 ± 5.41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6A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1461 (43.0)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745FF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 (7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75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6DF8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62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42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107.82 ± 6.40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AD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109.12 ± 6.77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F2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842 (24.8)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6E6EB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 (9.4)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DD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0C546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48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62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TyG-ABSI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longitudinal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change pattern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8C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5540D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76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AE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 ± 0.04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7E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 ± 0.04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D6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1069 (31.4)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07F17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 (5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17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3F43A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5A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02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 ± 0.04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B0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 ± 0.04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44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1445 (42.5)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1A80E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 (6.4)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62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20D3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F2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DE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 ± 0.05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7C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 ± 0.05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DD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886 (26.1)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107A8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 (9.8)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F7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512B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48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F1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TyG-RFM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longitudinal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change pattern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0A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</w:t>
            </w:r>
          </w:p>
        </w:tc>
      </w:tr>
      <w:tr w14:paraId="2214E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F2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8B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193.15 ± 29.60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B2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195.08 ± 32.46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4E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1146 (33.7)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2FAF3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 (6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33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50818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F2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91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279.80 ± 30.66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9B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285.62 ± 30.68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D1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981 (28.9)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65B5D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 (6.2)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67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0751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170B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04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7FE9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364.72 ± 32.73</w:t>
            </w:r>
          </w:p>
        </w:tc>
        <w:tc>
          <w:tcPr>
            <w:tcW w:w="96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0749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371.93 ± 32.63</w:t>
            </w:r>
          </w:p>
        </w:tc>
        <w:tc>
          <w:tcPr>
            <w:tcW w:w="73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E10F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1273 (37.4)</w:t>
            </w:r>
          </w:p>
        </w:tc>
        <w:tc>
          <w:tcPr>
            <w:tcW w:w="73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DBE3F4" w:themeFill="accent1" w:themeFillTint="32"/>
            <w:noWrap/>
            <w:vAlign w:val="center"/>
          </w:tcPr>
          <w:p w14:paraId="5FF83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 (8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109A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</w:tbl>
    <w:p w14:paraId="7DEC2EBF">
      <w:pP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</w:pPr>
    </w:p>
    <w:p w14:paraId="48538C0C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717B8EFF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79A446E3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60F598D1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36CAF16D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35359426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3D935C4E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2DCF8A57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713557F0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180960B7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7E7C86BE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084EDDB8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453BC6D4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02C5B797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129865C4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2CF95E0B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6B1D6C85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2BF5E808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Table S7. Predictive performance of TyG-obesity indices for stroke by ROC analysis</w:t>
      </w:r>
    </w:p>
    <w:p w14:paraId="73819521">
      <w:pP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975"/>
        <w:gridCol w:w="1020"/>
        <w:gridCol w:w="1096"/>
        <w:gridCol w:w="1086"/>
        <w:gridCol w:w="876"/>
        <w:gridCol w:w="1163"/>
      </w:tblGrid>
      <w:tr w14:paraId="5CC90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89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0FD0FA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A14D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AUC (95% CI)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92E4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 value</w:t>
            </w:r>
          </w:p>
        </w:tc>
        <w:tc>
          <w:tcPr>
            <w:tcW w:w="1096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04E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Sensitivity</w:t>
            </w:r>
          </w:p>
        </w:tc>
        <w:tc>
          <w:tcPr>
            <w:tcW w:w="1086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BB4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Specificity</w:t>
            </w:r>
          </w:p>
        </w:tc>
        <w:tc>
          <w:tcPr>
            <w:tcW w:w="876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51C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Youden</w:t>
            </w:r>
          </w:p>
        </w:tc>
        <w:tc>
          <w:tcPr>
            <w:tcW w:w="1163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9F20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Best threshold</w:t>
            </w:r>
          </w:p>
        </w:tc>
      </w:tr>
      <w:tr w14:paraId="61C2C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405" w:type="dxa"/>
            <w:gridSpan w:val="7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8E5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Baseline level</w:t>
            </w:r>
          </w:p>
        </w:tc>
      </w:tr>
      <w:tr w14:paraId="122D3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8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A6A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 index</w:t>
            </w:r>
          </w:p>
        </w:tc>
        <w:tc>
          <w:tcPr>
            <w:tcW w:w="197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D0D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0.567 (0.531 ~ 0.604)</w:t>
            </w:r>
          </w:p>
        </w:tc>
        <w:tc>
          <w:tcPr>
            <w:tcW w:w="102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70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9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48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0.828</w:t>
            </w:r>
          </w:p>
        </w:tc>
        <w:tc>
          <w:tcPr>
            <w:tcW w:w="108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7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0.306</w:t>
            </w:r>
          </w:p>
        </w:tc>
        <w:tc>
          <w:tcPr>
            <w:tcW w:w="87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B5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0.134</w:t>
            </w:r>
          </w:p>
        </w:tc>
        <w:tc>
          <w:tcPr>
            <w:tcW w:w="116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1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8.259</w:t>
            </w:r>
          </w:p>
        </w:tc>
      </w:tr>
      <w:tr w14:paraId="1A6FE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4C0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TyG-CVAI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B23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(0.590 ~ 0.663)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B4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0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DA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95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B9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835.479</w:t>
            </w:r>
          </w:p>
        </w:tc>
      </w:tr>
      <w:tr w14:paraId="2C178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AC2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TyG-BRI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A69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(0.5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~ 0.64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0D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6C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F6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8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9A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36.482</w:t>
            </w:r>
          </w:p>
        </w:tc>
      </w:tr>
      <w:tr w14:paraId="2188A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8F0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TyG-CI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BFF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(0.573 ~ 0.64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0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6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0.301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B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72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16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10.358</w:t>
            </w:r>
          </w:p>
        </w:tc>
      </w:tr>
      <w:tr w14:paraId="7BC7C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2CC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TyG-WWI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225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0.604 (0.568 ~ 0.640)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2D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2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3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4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B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99.545</w:t>
            </w:r>
          </w:p>
        </w:tc>
      </w:tr>
      <w:tr w14:paraId="7A0CB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EE2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TyG-ABSI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971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0.598 (0.561 ~ 0.634)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BF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0.0238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3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9C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93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92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0.685</w:t>
            </w:r>
          </w:p>
        </w:tc>
      </w:tr>
      <w:tr w14:paraId="12035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8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6AE0D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TyG-RFM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E60AC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0.563 (0.524 ~ 0.601)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8A1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0.8428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8ED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0.371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302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8598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0.118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9C0E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344.829</w:t>
            </w:r>
          </w:p>
        </w:tc>
      </w:tr>
      <w:tr w14:paraId="0DC8E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405" w:type="dxa"/>
            <w:gridSpan w:val="7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FDFC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Cumulative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exposure</w:t>
            </w:r>
          </w:p>
        </w:tc>
      </w:tr>
      <w:tr w14:paraId="11804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8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C54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 Index</w:t>
            </w:r>
          </w:p>
        </w:tc>
        <w:tc>
          <w:tcPr>
            <w:tcW w:w="197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34E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0.553 (0.516 ~ 0.590)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B4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E9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0.642</w:t>
            </w:r>
          </w:p>
        </w:tc>
        <w:tc>
          <w:tcPr>
            <w:tcW w:w="108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80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87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3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0.092</w:t>
            </w:r>
          </w:p>
        </w:tc>
        <w:tc>
          <w:tcPr>
            <w:tcW w:w="116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D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 w14:paraId="158E9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317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TyG-CVAI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968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0.622 (0.585 ~ 0.659)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B1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B7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0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BD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D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4265.407</w:t>
            </w:r>
          </w:p>
        </w:tc>
      </w:tr>
      <w:tr w14:paraId="32089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BFB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TyG-BRI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113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0.600 (0.561 ~ 0.639)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1F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D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A6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E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C6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152.554</w:t>
            </w:r>
          </w:p>
        </w:tc>
      </w:tr>
      <w:tr w14:paraId="1D8CA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364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TyG-CI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75D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0.598 (0.562 ~ 0.635)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0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D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E5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4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03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44.287</w:t>
            </w:r>
          </w:p>
        </w:tc>
      </w:tr>
      <w:tr w14:paraId="20F86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855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TyG-WWI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F21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0.593 (0.555 ~0.630)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C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8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E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7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43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380.984</w:t>
            </w:r>
          </w:p>
        </w:tc>
      </w:tr>
      <w:tr w14:paraId="1F821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89C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TyG-ABSI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668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0.590 (0.552 ~ 0.628)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7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BC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A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E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D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2.854</w:t>
            </w:r>
          </w:p>
        </w:tc>
      </w:tr>
      <w:tr w14:paraId="65495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74C05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TyG-RFM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964CA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0.558 (0.519 ~ 0.596)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2AAA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0.8811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E5E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0.409</w:t>
            </w:r>
          </w:p>
        </w:tc>
        <w:tc>
          <w:tcPr>
            <w:tcW w:w="108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2266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75F8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0.109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E420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1342.697</w:t>
            </w:r>
          </w:p>
        </w:tc>
      </w:tr>
    </w:tbl>
    <w:p w14:paraId="5DB12D8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3C5FC0B">
      <w:pP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Table S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8.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Incremental predictive value of baseline, cumulative, and longitudinal change in TyG-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CVAI and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TyG-BRI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for stroke in CKM syndrome stage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s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0-3</w:t>
      </w:r>
    </w:p>
    <w:p w14:paraId="5EDAD2C0">
      <w:pP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tbl>
      <w:tblPr>
        <w:tblStyle w:val="6"/>
        <w:tblW w:w="4994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4"/>
        <w:gridCol w:w="2125"/>
        <w:gridCol w:w="860"/>
        <w:gridCol w:w="2101"/>
        <w:gridCol w:w="872"/>
      </w:tblGrid>
      <w:tr w14:paraId="1A165A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50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FB6BD8D">
            <w:pPr>
              <w:ind w:firstLine="0" w:firstLineChars="0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Model</w:t>
            </w:r>
          </w:p>
        </w:tc>
        <w:tc>
          <w:tcPr>
            <w:tcW w:w="1248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0929C32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NRI (95%CI)</w:t>
            </w:r>
          </w:p>
        </w:tc>
        <w:tc>
          <w:tcPr>
            <w:tcW w:w="505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37EF911">
            <w:pPr>
              <w:ind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Style w:val="16"/>
                <w:rFonts w:hint="eastAsia" w:eastAsia="宋体"/>
                <w:b w:val="0"/>
                <w:bCs w:val="0"/>
                <w:sz w:val="16"/>
                <w:szCs w:val="16"/>
                <w:lang w:val="en-US" w:eastAsia="zh-CN" w:bidi="ar"/>
              </w:rPr>
              <w:t>value</w:t>
            </w:r>
          </w:p>
        </w:tc>
        <w:tc>
          <w:tcPr>
            <w:tcW w:w="123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925BEEB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IDI (95%CI)</w:t>
            </w:r>
          </w:p>
        </w:tc>
        <w:tc>
          <w:tcPr>
            <w:tcW w:w="512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81A0A9E">
            <w:pPr>
              <w:ind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Style w:val="16"/>
                <w:rFonts w:hint="eastAsia" w:eastAsia="宋体"/>
                <w:b w:val="0"/>
                <w:bCs w:val="0"/>
                <w:sz w:val="16"/>
                <w:szCs w:val="16"/>
                <w:lang w:val="en-US" w:eastAsia="zh-CN" w:bidi="ar"/>
              </w:rPr>
              <w:t>value</w:t>
            </w:r>
          </w:p>
        </w:tc>
      </w:tr>
      <w:tr w14:paraId="50C0C9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tcBorders>
              <w:top w:val="single" w:color="auto" w:sz="8" w:space="0"/>
              <w:bottom w:val="nil"/>
            </w:tcBorders>
            <w:shd w:val="clear" w:color="auto" w:fill="F1F1F1" w:themeFill="background1" w:themeFillShade="F2"/>
            <w:vAlign w:val="center"/>
          </w:tcPr>
          <w:p w14:paraId="668826CA">
            <w:pPr>
              <w:ind w:firstLine="0" w:firstLineChars="0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Basic model</w:t>
            </w:r>
          </w:p>
        </w:tc>
        <w:tc>
          <w:tcPr>
            <w:tcW w:w="1248" w:type="pct"/>
            <w:tcBorders>
              <w:top w:val="single" w:color="auto" w:sz="8" w:space="0"/>
              <w:bottom w:val="nil"/>
            </w:tcBorders>
            <w:shd w:val="clear" w:color="auto" w:fill="F1F1F1" w:themeFill="background1" w:themeFillShade="F2"/>
            <w:vAlign w:val="center"/>
          </w:tcPr>
          <w:p w14:paraId="1044FD56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505" w:type="pct"/>
            <w:tcBorders>
              <w:top w:val="single" w:color="auto" w:sz="8" w:space="0"/>
              <w:bottom w:val="nil"/>
            </w:tcBorders>
            <w:shd w:val="clear" w:color="auto" w:fill="F1F1F1" w:themeFill="background1" w:themeFillShade="F2"/>
            <w:vAlign w:val="center"/>
          </w:tcPr>
          <w:p w14:paraId="41B77993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1234" w:type="pct"/>
            <w:tcBorders>
              <w:top w:val="single" w:color="auto" w:sz="8" w:space="0"/>
              <w:bottom w:val="nil"/>
            </w:tcBorders>
            <w:shd w:val="clear" w:color="auto" w:fill="F1F1F1" w:themeFill="background1" w:themeFillShade="F2"/>
            <w:vAlign w:val="center"/>
          </w:tcPr>
          <w:p w14:paraId="36BFD21F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512" w:type="pct"/>
            <w:tcBorders>
              <w:top w:val="single" w:color="auto" w:sz="8" w:space="0"/>
              <w:bottom w:val="nil"/>
            </w:tcBorders>
            <w:shd w:val="clear" w:color="auto" w:fill="F1F1F1" w:themeFill="background1" w:themeFillShade="F2"/>
          </w:tcPr>
          <w:p w14:paraId="77ECC14E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</w:tr>
      <w:tr w14:paraId="0BD9F8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tcBorders>
              <w:top w:val="nil"/>
              <w:bottom w:val="nil"/>
            </w:tcBorders>
            <w:vAlign w:val="center"/>
          </w:tcPr>
          <w:p w14:paraId="0F019FD0">
            <w:pPr>
              <w:ind w:firstLine="0" w:firstLineChars="0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+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Baseline 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TyG</w:t>
            </w:r>
          </w:p>
        </w:tc>
        <w:tc>
          <w:tcPr>
            <w:tcW w:w="12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5CA3C3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  <w:t>0.006 (-0.002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  <w:t>0.017)</w:t>
            </w:r>
          </w:p>
        </w:tc>
        <w:tc>
          <w:tcPr>
            <w:tcW w:w="505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19034855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  <w:t>0.059</w:t>
            </w:r>
          </w:p>
        </w:tc>
        <w:tc>
          <w:tcPr>
            <w:tcW w:w="1234" w:type="pct"/>
            <w:tcBorders>
              <w:top w:val="nil"/>
              <w:bottom w:val="nil"/>
            </w:tcBorders>
            <w:vAlign w:val="center"/>
          </w:tcPr>
          <w:p w14:paraId="2DFAAC36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0.005 (-0.002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0.012)</w:t>
            </w:r>
          </w:p>
        </w:tc>
        <w:tc>
          <w:tcPr>
            <w:tcW w:w="512" w:type="pct"/>
            <w:tcBorders>
              <w:top w:val="nil"/>
              <w:bottom w:val="nil"/>
            </w:tcBorders>
          </w:tcPr>
          <w:p w14:paraId="04AD6A77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0.099</w:t>
            </w:r>
          </w:p>
        </w:tc>
      </w:tr>
      <w:tr w14:paraId="41A4EA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tcBorders>
              <w:top w:val="nil"/>
              <w:bottom w:val="nil"/>
            </w:tcBorders>
            <w:vAlign w:val="center"/>
          </w:tcPr>
          <w:p w14:paraId="00C0A53B">
            <w:pPr>
              <w:ind w:firstLine="0" w:firstLineChars="0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+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Cumulative 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TyG</w:t>
            </w:r>
          </w:p>
        </w:tc>
        <w:tc>
          <w:tcPr>
            <w:tcW w:w="1248" w:type="pct"/>
            <w:tcBorders>
              <w:top w:val="nil"/>
              <w:bottom w:val="nil"/>
            </w:tcBorders>
            <w:vAlign w:val="center"/>
          </w:tcPr>
          <w:p w14:paraId="32D6492D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0.013 (-0.045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0.119)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4D969B72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0.812</w:t>
            </w:r>
          </w:p>
        </w:tc>
        <w:tc>
          <w:tcPr>
            <w:tcW w:w="1234" w:type="pct"/>
            <w:tcBorders>
              <w:top w:val="nil"/>
              <w:bottom w:val="nil"/>
            </w:tcBorders>
            <w:vAlign w:val="center"/>
          </w:tcPr>
          <w:p w14:paraId="1599F0A0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-0.001 (-0.003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0.005)</w:t>
            </w:r>
          </w:p>
        </w:tc>
        <w:tc>
          <w:tcPr>
            <w:tcW w:w="512" w:type="pct"/>
            <w:tcBorders>
              <w:top w:val="nil"/>
              <w:bottom w:val="nil"/>
            </w:tcBorders>
          </w:tcPr>
          <w:p w14:paraId="2F294A53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0.713</w:t>
            </w:r>
          </w:p>
        </w:tc>
      </w:tr>
      <w:tr w14:paraId="6A037A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tcBorders>
              <w:top w:val="nil"/>
              <w:bottom w:val="nil"/>
            </w:tcBorders>
            <w:vAlign w:val="center"/>
          </w:tcPr>
          <w:p w14:paraId="2E797014">
            <w:pPr>
              <w:ind w:firstLine="0" w:firstLineChars="0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+TyG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longitudinal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change</w:t>
            </w:r>
          </w:p>
        </w:tc>
        <w:tc>
          <w:tcPr>
            <w:tcW w:w="1248" w:type="pct"/>
            <w:tcBorders>
              <w:top w:val="nil"/>
              <w:bottom w:val="nil"/>
            </w:tcBorders>
            <w:vAlign w:val="center"/>
          </w:tcPr>
          <w:p w14:paraId="5F9B7F5E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0.085 (-0.025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0.196)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1489E38E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0.128</w:t>
            </w:r>
          </w:p>
        </w:tc>
        <w:tc>
          <w:tcPr>
            <w:tcW w:w="1234" w:type="pct"/>
            <w:tcBorders>
              <w:top w:val="nil"/>
              <w:bottom w:val="nil"/>
            </w:tcBorders>
            <w:vAlign w:val="center"/>
          </w:tcPr>
          <w:p w14:paraId="1AE759C5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0.003 (-0.002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0.014)</w:t>
            </w:r>
          </w:p>
        </w:tc>
        <w:tc>
          <w:tcPr>
            <w:tcW w:w="512" w:type="pct"/>
            <w:tcBorders>
              <w:top w:val="nil"/>
              <w:bottom w:val="nil"/>
            </w:tcBorders>
          </w:tcPr>
          <w:p w14:paraId="07DD84F6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0.291</w:t>
            </w:r>
          </w:p>
        </w:tc>
      </w:tr>
      <w:tr w14:paraId="4E31C8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tcBorders>
              <w:top w:val="nil"/>
              <w:bottom w:val="nil"/>
            </w:tcBorders>
            <w:shd w:val="clear" w:color="auto" w:fill="F1F1F1" w:themeFill="background1" w:themeFillShade="F2"/>
            <w:vAlign w:val="center"/>
          </w:tcPr>
          <w:p w14:paraId="105F7A04">
            <w:pPr>
              <w:ind w:firstLine="0" w:firstLineChars="0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shd w:val="clear" w:color="auto" w:fill="auto"/>
              </w:rPr>
              <w:t>+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 xml:space="preserve">Baseline 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shd w:val="clear" w:color="auto" w:fill="auto"/>
              </w:rPr>
              <w:t>TyG-CVAI</w:t>
            </w:r>
          </w:p>
        </w:tc>
        <w:tc>
          <w:tcPr>
            <w:tcW w:w="1248" w:type="pct"/>
            <w:tcBorders>
              <w:top w:val="nil"/>
              <w:bottom w:val="nil"/>
            </w:tcBorders>
            <w:shd w:val="clear" w:color="auto" w:fill="F1F1F1" w:themeFill="background1" w:themeFillShade="F2"/>
            <w:vAlign w:val="center"/>
          </w:tcPr>
          <w:p w14:paraId="6CEB7936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0.141 (0.023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0.265)</w:t>
            </w:r>
          </w:p>
        </w:tc>
        <w:tc>
          <w:tcPr>
            <w:tcW w:w="505" w:type="pct"/>
            <w:tcBorders>
              <w:top w:val="nil"/>
              <w:bottom w:val="nil"/>
            </w:tcBorders>
            <w:shd w:val="clear" w:color="auto" w:fill="F1F1F1" w:themeFill="background1" w:themeFillShade="F2"/>
            <w:vAlign w:val="top"/>
          </w:tcPr>
          <w:p w14:paraId="6C9090F2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0.030</w:t>
            </w:r>
          </w:p>
        </w:tc>
        <w:tc>
          <w:tcPr>
            <w:tcW w:w="1234" w:type="pct"/>
            <w:tcBorders>
              <w:top w:val="nil"/>
              <w:bottom w:val="nil"/>
            </w:tcBorders>
            <w:shd w:val="clear" w:color="auto" w:fill="F1F1F1" w:themeFill="background1" w:themeFillShade="F2"/>
            <w:vAlign w:val="center"/>
          </w:tcPr>
          <w:p w14:paraId="1A1FE06A"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0.009 (0.001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0.026)</w:t>
            </w:r>
          </w:p>
        </w:tc>
        <w:tc>
          <w:tcPr>
            <w:tcW w:w="512" w:type="pct"/>
            <w:tcBorders>
              <w:top w:val="nil"/>
              <w:bottom w:val="nil"/>
            </w:tcBorders>
            <w:shd w:val="clear" w:color="auto" w:fill="F1F1F1" w:themeFill="background1" w:themeFillShade="F2"/>
            <w:vAlign w:val="top"/>
          </w:tcPr>
          <w:p w14:paraId="7F848546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0.020</w:t>
            </w:r>
          </w:p>
        </w:tc>
      </w:tr>
      <w:tr w14:paraId="7D9B2C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tcBorders>
              <w:top w:val="nil"/>
              <w:bottom w:val="nil"/>
            </w:tcBorders>
            <w:shd w:val="clear" w:color="auto" w:fill="F1F1F1" w:themeFill="background1" w:themeFillShade="F2"/>
            <w:vAlign w:val="center"/>
          </w:tcPr>
          <w:p w14:paraId="0B3D9A43">
            <w:pPr>
              <w:ind w:firstLine="0" w:firstLineChars="0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shd w:val="clear" w:color="auto" w:fill="auto"/>
              </w:rPr>
              <w:t>+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 xml:space="preserve">Cumulative 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shd w:val="clear" w:color="auto" w:fill="auto"/>
              </w:rPr>
              <w:t>TyG-CVAI</w:t>
            </w:r>
          </w:p>
        </w:tc>
        <w:tc>
          <w:tcPr>
            <w:tcW w:w="1248" w:type="pct"/>
            <w:tcBorders>
              <w:top w:val="nil"/>
              <w:bottom w:val="nil"/>
            </w:tcBorders>
            <w:shd w:val="clear" w:color="auto" w:fill="F1F1F1" w:themeFill="background1" w:themeFillShade="F2"/>
            <w:vAlign w:val="center"/>
          </w:tcPr>
          <w:p w14:paraId="7128E82C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0.123 (0.029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0.255)</w:t>
            </w:r>
          </w:p>
        </w:tc>
        <w:tc>
          <w:tcPr>
            <w:tcW w:w="505" w:type="pct"/>
            <w:tcBorders>
              <w:top w:val="nil"/>
              <w:bottom w:val="nil"/>
            </w:tcBorders>
            <w:shd w:val="clear" w:color="auto" w:fill="F1F1F1" w:themeFill="background1" w:themeFillShade="F2"/>
          </w:tcPr>
          <w:p w14:paraId="023F9FD9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0.020</w:t>
            </w:r>
          </w:p>
        </w:tc>
        <w:tc>
          <w:tcPr>
            <w:tcW w:w="1234" w:type="pct"/>
            <w:tcBorders>
              <w:top w:val="nil"/>
              <w:bottom w:val="nil"/>
            </w:tcBorders>
            <w:shd w:val="clear" w:color="auto" w:fill="F1F1F1" w:themeFill="background1" w:themeFillShade="F2"/>
            <w:vAlign w:val="center"/>
          </w:tcPr>
          <w:p w14:paraId="67758EA8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0.007 (0.001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0.022)</w:t>
            </w:r>
          </w:p>
        </w:tc>
        <w:tc>
          <w:tcPr>
            <w:tcW w:w="512" w:type="pct"/>
            <w:tcBorders>
              <w:top w:val="nil"/>
              <w:bottom w:val="nil"/>
            </w:tcBorders>
            <w:shd w:val="clear" w:color="auto" w:fill="F1F1F1" w:themeFill="background1" w:themeFillShade="F2"/>
            <w:vAlign w:val="top"/>
          </w:tcPr>
          <w:p w14:paraId="79748702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0.021</w:t>
            </w:r>
          </w:p>
        </w:tc>
      </w:tr>
      <w:tr w14:paraId="196E7F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tcBorders>
              <w:top w:val="nil"/>
              <w:bottom w:val="nil"/>
            </w:tcBorders>
            <w:shd w:val="clear" w:color="auto" w:fill="F1F1F1" w:themeFill="background1" w:themeFillShade="F2"/>
            <w:vAlign w:val="center"/>
          </w:tcPr>
          <w:p w14:paraId="6157B6C6">
            <w:pPr>
              <w:ind w:firstLine="0" w:firstLineChars="0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shd w:val="clear" w:color="auto" w:fill="auto"/>
              </w:rPr>
              <w:t>+TyG-CVAI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 xml:space="preserve">longitudinal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change</w:t>
            </w:r>
          </w:p>
        </w:tc>
        <w:tc>
          <w:tcPr>
            <w:tcW w:w="1248" w:type="pct"/>
            <w:tcBorders>
              <w:top w:val="nil"/>
              <w:bottom w:val="nil"/>
            </w:tcBorders>
            <w:shd w:val="clear" w:color="auto" w:fill="F1F1F1" w:themeFill="background1" w:themeFillShade="F2"/>
            <w:vAlign w:val="center"/>
          </w:tcPr>
          <w:p w14:paraId="6FB46059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0.130 (0.058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0.238)</w:t>
            </w:r>
          </w:p>
        </w:tc>
        <w:tc>
          <w:tcPr>
            <w:tcW w:w="505" w:type="pct"/>
            <w:tcBorders>
              <w:top w:val="nil"/>
              <w:bottom w:val="nil"/>
            </w:tcBorders>
            <w:shd w:val="clear" w:color="auto" w:fill="F1F1F1" w:themeFill="background1" w:themeFillShade="F2"/>
          </w:tcPr>
          <w:p w14:paraId="1C07D545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1234" w:type="pct"/>
            <w:tcBorders>
              <w:top w:val="nil"/>
              <w:bottom w:val="nil"/>
            </w:tcBorders>
            <w:shd w:val="clear" w:color="auto" w:fill="F1F1F1" w:themeFill="background1" w:themeFillShade="F2"/>
            <w:vAlign w:val="center"/>
          </w:tcPr>
          <w:p w14:paraId="48B3A4EA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0.008 (0.002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0.025)</w:t>
            </w:r>
          </w:p>
        </w:tc>
        <w:tc>
          <w:tcPr>
            <w:tcW w:w="512" w:type="pct"/>
            <w:tcBorders>
              <w:top w:val="nil"/>
              <w:bottom w:val="nil"/>
            </w:tcBorders>
            <w:shd w:val="clear" w:color="auto" w:fill="F1F1F1" w:themeFill="background1" w:themeFillShade="F2"/>
          </w:tcPr>
          <w:p w14:paraId="311DA68B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shd w:val="clear" w:color="auto" w:fill="auto"/>
                <w:lang w:val="en-US" w:eastAsia="zh-CN"/>
              </w:rPr>
              <w:t>0.020</w:t>
            </w:r>
          </w:p>
        </w:tc>
      </w:tr>
      <w:tr w14:paraId="56907D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tcBorders>
              <w:top w:val="nil"/>
              <w:bottom w:val="nil"/>
            </w:tcBorders>
            <w:vAlign w:val="center"/>
          </w:tcPr>
          <w:p w14:paraId="1DA06B18">
            <w:pPr>
              <w:ind w:firstLine="0" w:firstLineChars="0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+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Baseline 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TyG-BRI</w:t>
            </w:r>
          </w:p>
        </w:tc>
        <w:tc>
          <w:tcPr>
            <w:tcW w:w="1248" w:type="pct"/>
            <w:tcBorders>
              <w:top w:val="nil"/>
              <w:bottom w:val="nil"/>
            </w:tcBorders>
            <w:vAlign w:val="center"/>
          </w:tcPr>
          <w:p w14:paraId="2E394BDD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0.113 ( 0.035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0.208)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67203673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1234" w:type="pct"/>
            <w:tcBorders>
              <w:top w:val="nil"/>
              <w:bottom w:val="nil"/>
            </w:tcBorders>
            <w:vAlign w:val="center"/>
          </w:tcPr>
          <w:p w14:paraId="45505C1B"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0.006 (0.001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0.021)</w:t>
            </w:r>
          </w:p>
        </w:tc>
        <w:tc>
          <w:tcPr>
            <w:tcW w:w="512" w:type="pct"/>
            <w:tcBorders>
              <w:top w:val="nil"/>
              <w:bottom w:val="nil"/>
            </w:tcBorders>
          </w:tcPr>
          <w:p w14:paraId="7738BBFB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0.048</w:t>
            </w:r>
          </w:p>
        </w:tc>
      </w:tr>
      <w:tr w14:paraId="4E06C5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56ADD5">
            <w:pPr>
              <w:ind w:firstLine="0" w:firstLineChars="0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+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Cumulative 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TyG-BRI</w:t>
            </w:r>
          </w:p>
        </w:tc>
        <w:tc>
          <w:tcPr>
            <w:tcW w:w="1248" w:type="pct"/>
            <w:tcBorders>
              <w:top w:val="nil"/>
              <w:bottom w:val="nil"/>
            </w:tcBorders>
            <w:vAlign w:val="center"/>
          </w:tcPr>
          <w:p w14:paraId="19999516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0.080 (0.001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0.200)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14:paraId="3BF703EE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0.047</w:t>
            </w:r>
          </w:p>
        </w:tc>
        <w:tc>
          <w:tcPr>
            <w:tcW w:w="1234" w:type="pct"/>
            <w:tcBorders>
              <w:top w:val="nil"/>
              <w:bottom w:val="nil"/>
            </w:tcBorders>
            <w:vAlign w:val="center"/>
          </w:tcPr>
          <w:p w14:paraId="1F125CA4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0.005 (0.001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0.019)</w:t>
            </w:r>
          </w:p>
        </w:tc>
        <w:tc>
          <w:tcPr>
            <w:tcW w:w="512" w:type="pct"/>
            <w:tcBorders>
              <w:top w:val="nil"/>
              <w:bottom w:val="nil"/>
            </w:tcBorders>
          </w:tcPr>
          <w:p w14:paraId="337B52F5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0.047</w:t>
            </w:r>
          </w:p>
        </w:tc>
      </w:tr>
      <w:tr w14:paraId="5B6460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tcBorders>
              <w:top w:val="nil"/>
              <w:bottom w:val="single" w:color="auto" w:sz="8" w:space="0"/>
            </w:tcBorders>
            <w:shd w:val="clear" w:color="auto" w:fill="auto"/>
            <w:vAlign w:val="center"/>
          </w:tcPr>
          <w:p w14:paraId="389C7E7D">
            <w:pPr>
              <w:ind w:firstLine="0" w:firstLineChars="0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+TyG-BRI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longitudinal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change</w:t>
            </w:r>
          </w:p>
        </w:tc>
        <w:tc>
          <w:tcPr>
            <w:tcW w:w="1248" w:type="pct"/>
            <w:tcBorders>
              <w:top w:val="nil"/>
              <w:bottom w:val="single" w:color="auto" w:sz="8" w:space="0"/>
            </w:tcBorders>
            <w:vAlign w:val="center"/>
          </w:tcPr>
          <w:p w14:paraId="66AD4E96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0.102 (0.011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0.198)</w:t>
            </w:r>
          </w:p>
        </w:tc>
        <w:tc>
          <w:tcPr>
            <w:tcW w:w="505" w:type="pct"/>
            <w:tcBorders>
              <w:top w:val="nil"/>
              <w:bottom w:val="single" w:color="auto" w:sz="8" w:space="0"/>
            </w:tcBorders>
          </w:tcPr>
          <w:p w14:paraId="21ACADC8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0.020</w:t>
            </w:r>
          </w:p>
        </w:tc>
        <w:tc>
          <w:tcPr>
            <w:tcW w:w="1234" w:type="pct"/>
            <w:tcBorders>
              <w:top w:val="nil"/>
              <w:bottom w:val="single" w:color="auto" w:sz="8" w:space="0"/>
            </w:tcBorders>
            <w:vAlign w:val="center"/>
          </w:tcPr>
          <w:p w14:paraId="78938A99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0.006 (0.001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0.021)</w:t>
            </w:r>
          </w:p>
        </w:tc>
        <w:tc>
          <w:tcPr>
            <w:tcW w:w="512" w:type="pct"/>
            <w:tcBorders>
              <w:top w:val="nil"/>
              <w:bottom w:val="single" w:color="auto" w:sz="8" w:space="0"/>
            </w:tcBorders>
          </w:tcPr>
          <w:p w14:paraId="4F391195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0.045</w:t>
            </w:r>
          </w:p>
        </w:tc>
      </w:tr>
    </w:tbl>
    <w:p w14:paraId="71AFBB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249CAB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The basic model included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age,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sex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smoking, drinkin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g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SBP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DBP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HDL-C,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LDL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-C, uric acid, hemoglobin, e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GFR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hypertension, diabetes, chronic kidney disease, lung disease.</w:t>
      </w:r>
    </w:p>
    <w:p w14:paraId="1AE327D1">
      <w:pPr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NRI, net reclassification improvement; Ref, reference; IDI, integrated discrimination improvement; CI, confidence interval; TyG, triglyceride-glucose index; TyG-CVAI, triglyceride glucose-Chinese visceral adiposity index; TyG-BRI, triglyceride glucose-body roundness index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.</w:t>
      </w:r>
    </w:p>
    <w:p w14:paraId="726144A0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4762A67E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0504DD77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7CAC1244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05B3933B">
      <w:pP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S3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. Decision curve analysis 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for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comparing TyG‑CVAI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and basic model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in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stroke prediction in CKM 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syndrome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stages 0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-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3</w:t>
      </w:r>
    </w:p>
    <w:p w14:paraId="7E6540B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9070" cy="1691005"/>
            <wp:effectExtent l="0" t="0" r="6350" b="635"/>
            <wp:docPr id="7" name="图片 7" descr="CV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VAI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6813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baseline TyG-CVAI, (B) cumulative TyG-CVAI, (C) TyG-CVAI longitudinal change. The y-axis represents net benefits,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calculated by subtracting the relative harm (false positives) from the benefits (true positives). The x-axis calculates the threshold probability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.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The basic model included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age,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sex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smoking, drinkin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g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SBP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DBP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HDL-C,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LDL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-C, uric acid, hemoglobin, e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GFR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hypertension, diabetes, chronic kidney disease, lung disease.</w:t>
      </w:r>
    </w:p>
    <w:p w14:paraId="5DAC99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.</w:t>
      </w:r>
    </w:p>
    <w:p w14:paraId="1009CDC6">
      <w:pP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0E5B6A96">
      <w:pP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S4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. Decision curve analysis 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for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comparing TyG‑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BR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I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and basic model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in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stroke prediction in CKM 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syndrome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stages 0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-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3</w:t>
      </w:r>
    </w:p>
    <w:p w14:paraId="2E8F7737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4310" cy="1638300"/>
            <wp:effectExtent l="0" t="0" r="6350" b="0"/>
            <wp:docPr id="8" name="图片 8" descr="B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RI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4386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baseline TyG-BRI, (B) cumulative TyG-BRI, (C) TyG-BRI longitudinal change. The y-axis represents net benefits,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calculated by subtracting the relative harm (false positives) from the benefits (true positives). The x-axis calculates the threshold probability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The basic model included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age,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sex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smoking, drinkin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g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SBP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DBP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HDL-C,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LDL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-C, uric acid, hemoglobin, e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GFR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hypertension, diabetes, chronic kidney disease, lung disease.</w:t>
      </w:r>
    </w:p>
    <w:p w14:paraId="0791D90E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57DA5B69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528E9EC0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40EF5A75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19F39921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57E1E3E2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6F8B485E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1007E831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3ABEF7E7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27C327D0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6AF00CBA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4AA56203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6F691456">
      <w:pP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</w:p>
    <w:p w14:paraId="49D27F1D">
      <w:pP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Figure S5.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Path diagram of the mediation analysis of ePWV</w:t>
      </w:r>
    </w:p>
    <w:p w14:paraId="04843762">
      <w:pPr>
        <w:spacing w:line="360" w:lineRule="auto"/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5267325" cy="3867150"/>
            <wp:effectExtent l="0" t="0" r="5715" b="3810"/>
            <wp:docPr id="15" name="图片 15" descr="Fig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F5FC6">
      <w:pPr>
        <w:spacing w:line="360" w:lineRule="auto"/>
        <w:rPr>
          <w:rFonts w:hint="default" w:ascii="Times New Roman" w:hAnsi="Times New Roman" w:cs="Times New Roman"/>
          <w:b w:val="0"/>
          <w:bCs w:val="0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5"/>
          <w:szCs w:val="15"/>
          <w:lang w:val="en-US" w:eastAsia="zh-CN"/>
        </w:rPr>
        <w:t xml:space="preserve">(A) Baseline TyG-obesity indices. (B) Cumulative TyG-obesity indices. </w:t>
      </w:r>
    </w:p>
    <w:p w14:paraId="598F2B8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93BD56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93C5BC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4C458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5FC4FC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E54319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568057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B25BCF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7875A5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1CF18D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2AF94D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0A6C9A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28CDD4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0E7B47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3419F2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D8A897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4638A9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682400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7B1A8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AB8C39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0B20BB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34EDB1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622290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9.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Association between baseline TyG-obesity indices and stroke in CKM syndrome stages 0-3: Excluding participants with stroke at wave 4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(n=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3,278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D86C0D7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5"/>
        <w:tblW w:w="9211" w:type="dxa"/>
        <w:tblInd w:w="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6"/>
        <w:gridCol w:w="813"/>
        <w:gridCol w:w="1290"/>
        <w:gridCol w:w="807"/>
        <w:gridCol w:w="1304"/>
        <w:gridCol w:w="816"/>
        <w:gridCol w:w="1301"/>
        <w:gridCol w:w="764"/>
      </w:tblGrid>
      <w:tr w14:paraId="1FFED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11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D8B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>s</w:t>
            </w:r>
          </w:p>
        </w:tc>
        <w:tc>
          <w:tcPr>
            <w:tcW w:w="81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C8E92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Event 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>(%)</w:t>
            </w:r>
          </w:p>
        </w:tc>
        <w:tc>
          <w:tcPr>
            <w:tcW w:w="209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3CAD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 I</w:t>
            </w:r>
          </w:p>
        </w:tc>
        <w:tc>
          <w:tcPr>
            <w:tcW w:w="212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0C4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 II</w:t>
            </w:r>
          </w:p>
        </w:tc>
        <w:tc>
          <w:tcPr>
            <w:tcW w:w="206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00C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 III</w:t>
            </w:r>
          </w:p>
        </w:tc>
      </w:tr>
      <w:tr w14:paraId="66D04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11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3C401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6C8849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9CB5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 (95%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 xml:space="preserve"> CI)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123C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 value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F6D2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 (95%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 xml:space="preserve"> CI)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C162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 value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8783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 (95%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 xml:space="preserve"> CI)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985C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 value</w:t>
            </w:r>
          </w:p>
        </w:tc>
      </w:tr>
      <w:tr w14:paraId="29F6B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71C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Baseline 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>TyG-CVAI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6698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8BEF0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E65F8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3A4E2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97D3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3EA0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6719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DBA2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9916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1 (2.77-624.89)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8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 (1.7)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8E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62B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47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E7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DC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5D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</w:tr>
      <w:tr w14:paraId="0DC13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7214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2 (625.42-934.27)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06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 (3.1)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1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1.72 (0.98~3.01)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4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D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1.69 (0.96~2.97)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BC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53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 (0.80~2.52)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C6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FA0D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F7FE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3 (934.57-1895.51)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D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 (5.2)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5A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2.95 (1.76~4.97)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C9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B0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2.82 (1.67~4.76)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D5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7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2.07 (1.17~3.64)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35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0.012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</w:tr>
      <w:tr w14:paraId="41A61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D1C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Baseline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>TyG-BRI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93F8C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DF03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BE90C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0FDE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9588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3A0B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F7D9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3099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6094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1 (11.27-29.44)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49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 (1.9)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CC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Style w:val="16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E2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4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05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24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86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</w:tr>
      <w:tr w14:paraId="0720C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5757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2 (29.45-39.80)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03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 (2.9)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A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1.48 (0.85~2.57)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65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F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1.63 (0.94~2.84)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CD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01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 (0.78~2.4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71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8634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DDE6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3 (39.81-72.55)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A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 (5.2)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3D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2.57 (1.56~4.24)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F9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0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2.95 (1.75~4.97)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9B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6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2.12 (1.2~3.73)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C6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0.010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</w:tr>
      <w:tr w14:paraId="16A68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DA7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Baseline 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>TyG-CI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827D7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98A31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9C7F9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DAF28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2DB42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2BDD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3885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522B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824D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1 (8.27-10.48)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B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 (1.7)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E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Style w:val="16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AA8E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6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2A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BE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C1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</w:tr>
      <w:tr w14:paraId="559AC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23CA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2 (10.49-11.45)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5B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 (3.8)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C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2.16 (1.25~3.72)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FF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3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2.12 (1.23~3.67)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4B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65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1.91 (1.1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~3.33)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B5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170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550B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3 (11.46-14.40)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E9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 (4.6)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C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2.73 (1.61~4.64)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C9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5D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2.69 (1.57~4.61)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C6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1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1.97 (1.13~3.45)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52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0.017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</w:tr>
      <w:tr w14:paraId="56DF5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724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Baseline 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>TyG-WWI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C9212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6C97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BE50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3A2BA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BAF2D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354D8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282B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ED83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F1F5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1 (71.27-90.73)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D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 (2.0)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97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Style w:val="16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864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35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54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C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D1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</w:tr>
      <w:tr w14:paraId="3755B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454B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2 (90.74-99.67)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DE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 (3.1)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AB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1.55 (0.91~2.65)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E8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94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1.63 (0.95~2.80)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D7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5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(0.81~2.42)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76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63D7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3A02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3 (99.68-128.52)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F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 (4.9)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C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2.47 (1.51~4.06)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A4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0F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2.67 (1.58~4.51)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F0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1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1.90 (1.10~3.29)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C0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0.022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</w:tr>
      <w:tr w14:paraId="2BB1D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610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Baseline 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>TyG-ABSI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57A2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D030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6EF0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6DEE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EC91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DF39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FC7C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F12D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92E6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1 (0.53-0.68)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CF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 (2.1)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14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Style w:val="16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897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3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06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B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01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</w:tr>
      <w:tr w14:paraId="26B3E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45D2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2 (0.69-0.73)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4B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 (3.7)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06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1.80 (1.08~3.01)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43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53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1.73 (1.03~2.90)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A7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4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1.51 (0.9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~2.55)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A5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08F1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3DAB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3 (0.74-0.93)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C8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 (4.3)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CE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2.18 (1.32~3.59)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75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7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2.06 (1.24~3.44)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52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9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(0.89~2.55)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86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0.130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</w:tr>
      <w:tr w14:paraId="2846B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144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Baseline 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>TyG-RFM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B1CA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F583F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F69AF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BDBF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7B443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395C9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9BAAF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52A6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5AD6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1 (102.92-235.06)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A4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 (2.7)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D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Style w:val="16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6B95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88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B9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31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64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</w:tr>
      <w:tr w14:paraId="0F2F3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4FCF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2 (235.11-328.33)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3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 (3.3)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6F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 (0.68~1.80)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7D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0A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1.97 (1.16~3.37)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0D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51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 (0.89~2.79)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97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7A70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68B2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3 (345.80-456.64)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8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 (4.0)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55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 (0.85~2.14)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DE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0.211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67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1.15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3~1.45)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3F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170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9B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65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微软雅黑" w:cs="Times New Roman"/>
                <w:sz w:val="14"/>
                <w:szCs w:val="14"/>
                <w:vertAlign w:val="baseline"/>
                <w:lang w:val="en-US" w:eastAsia="zh-CN"/>
              </w:rPr>
              <w:t>＊</w:t>
            </w:r>
          </w:p>
        </w:tc>
      </w:tr>
      <w:tr w14:paraId="4116C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8C9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>er SD increase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3455F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01CA0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2D18B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EFFC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2A03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B5CB1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E905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3EB7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13D2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Baseline 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>TyG-CVAI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4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 (3.4)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D2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1.62 (1.35~1.94)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5F733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C7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1.56 (1.30~1.88)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9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3B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 (1.14~1.71)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F9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</w:tr>
      <w:tr w14:paraId="2A6DB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EF29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Baseline 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 xml:space="preserve">TyG-BRI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FD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 (3.4)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2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 (1.19~1.69)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73C13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8C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1.52 (1.26~1.83)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8F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6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1.30 (1.06~1.61)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2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0.014</w:t>
            </w:r>
          </w:p>
        </w:tc>
      </w:tr>
      <w:tr w14:paraId="409A3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8802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Baseline 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>TyG-CI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1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 (3.4)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10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 (1.20~1.73)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AE982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0C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1.43 (1.19~1.72)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3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2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 (1.01~1.51)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47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0.042</w:t>
            </w:r>
          </w:p>
        </w:tc>
      </w:tr>
      <w:tr w14:paraId="7EF2E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8E26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Baseline 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 xml:space="preserve">TyG-WWI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2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 (3.4)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6B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 (1.15~1.65)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0C4AF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3C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 (1.16~1.72)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B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5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1.20 (0.97~1.49)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18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0.088</w:t>
            </w:r>
          </w:p>
        </w:tc>
      </w:tr>
      <w:tr w14:paraId="4B6A6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1DE1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Baseline 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 xml:space="preserve">TyG-ABSI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F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 (3.4)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5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1.36 (1.14~1.63)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82298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4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 (1.10~1.60)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A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6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 (0.96~1.43)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AC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0.122</w:t>
            </w:r>
          </w:p>
        </w:tc>
      </w:tr>
      <w:tr w14:paraId="54FB3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1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FF0A89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Baseline </w:t>
            </w:r>
            <w:r>
              <w:rPr>
                <w:rStyle w:val="16"/>
                <w:rFonts w:eastAsia="宋体"/>
                <w:sz w:val="16"/>
                <w:szCs w:val="16"/>
                <w:lang w:val="en-US" w:eastAsia="zh-CN" w:bidi="ar"/>
              </w:rPr>
              <w:t>TyG-RFM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5F5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 (3.4)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9F95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 (0.96~1.41)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04A6481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0.126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593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2.09 (1.47~2.96)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22FC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73BD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1.56 (1.06~2.30)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B53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0.026</w:t>
            </w:r>
          </w:p>
        </w:tc>
      </w:tr>
    </w:tbl>
    <w:p w14:paraId="661F2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微软雅黑" w:cs="Times New Roman"/>
          <w:sz w:val="16"/>
          <w:szCs w:val="16"/>
          <w:vertAlign w:val="baseline"/>
          <w:lang w:val="en-US" w:eastAsia="zh-CN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Model I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un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adjusted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.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Model II adjust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ed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for age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and sex.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Model III adjust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ed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for age,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sex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smoking, drinkin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g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SBP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DBP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marital status, hukou status,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education,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HDL-C,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LDL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-C, uric acid, hemoglobin, e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GFR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hypertension, diabetes, chronic kidney disease, lung disease,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ntihypertensive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ntidiabetic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and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ntihyperlipidemic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.</w:t>
      </w:r>
      <w:r>
        <w:rPr>
          <w:rFonts w:hint="default" w:ascii="Times New Roman" w:hAnsi="Times New Roman" w:eastAsia="微软雅黑" w:cs="Times New Roman"/>
          <w:sz w:val="16"/>
          <w:szCs w:val="16"/>
          <w:vertAlign w:val="baseline"/>
          <w:lang w:val="en-US" w:eastAsia="zh-CN"/>
        </w:rPr>
        <w:t>＊</w:t>
      </w:r>
      <w:r>
        <w:rPr>
          <w:rFonts w:hint="eastAsia" w:ascii="Times New Roman" w:hAnsi="Times New Roman" w:eastAsia="微软雅黑" w:cs="Times New Roman"/>
          <w:sz w:val="16"/>
          <w:szCs w:val="16"/>
          <w:vertAlign w:val="baseline"/>
          <w:lang w:val="en-US" w:eastAsia="zh-CN"/>
        </w:rPr>
        <w:t>P for trend.</w:t>
      </w:r>
    </w:p>
    <w:p w14:paraId="13907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微软雅黑" w:cs="Times New Roman"/>
          <w:sz w:val="14"/>
          <w:szCs w:val="14"/>
          <w:vertAlign w:val="baseline"/>
          <w:lang w:val="en-US" w:eastAsia="zh-CN"/>
        </w:rPr>
      </w:pPr>
    </w:p>
    <w:p w14:paraId="08C7630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6789AC8F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S10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Association between cumulative exposure and longitudinal change pattern in TyG-obesity indices and stroke in CKM syndrome stages 0-3: Excluding participants with stroke at wave 4 (n=3,278)</w:t>
      </w:r>
    </w:p>
    <w:p w14:paraId="55E74312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tbl>
      <w:tblPr>
        <w:tblStyle w:val="5"/>
        <w:tblW w:w="9375" w:type="dxa"/>
        <w:tblInd w:w="-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825"/>
        <w:gridCol w:w="1315"/>
        <w:gridCol w:w="840"/>
        <w:gridCol w:w="1295"/>
        <w:gridCol w:w="860"/>
        <w:gridCol w:w="1295"/>
        <w:gridCol w:w="765"/>
      </w:tblGrid>
      <w:tr w14:paraId="245B1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18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E0CA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Variables</w:t>
            </w:r>
          </w:p>
        </w:tc>
        <w:tc>
          <w:tcPr>
            <w:tcW w:w="82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496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Event (%)</w:t>
            </w:r>
          </w:p>
        </w:tc>
        <w:tc>
          <w:tcPr>
            <w:tcW w:w="215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CCB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 I</w:t>
            </w:r>
          </w:p>
        </w:tc>
        <w:tc>
          <w:tcPr>
            <w:tcW w:w="215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804E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 II</w:t>
            </w:r>
          </w:p>
        </w:tc>
        <w:tc>
          <w:tcPr>
            <w:tcW w:w="206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4B4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 III</w:t>
            </w:r>
          </w:p>
        </w:tc>
      </w:tr>
      <w:tr w14:paraId="79EE7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18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113C7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3D90C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C84A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7FE9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 value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B486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22ED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 value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3F56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23FA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 value</w:t>
            </w:r>
          </w:p>
        </w:tc>
      </w:tr>
      <w:tr w14:paraId="561E5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E85E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Cumulative TyG-CVAI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B2B95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D2AF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FDAB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7232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2C7B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3669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8423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CBDA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46F7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1 (87.65-2671.40)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A1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 (1.8)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8A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3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28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7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61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7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</w:tr>
      <w:tr w14:paraId="5DDD3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B2DE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2 (2671.88-3907.92)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D7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 (3.0)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B3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1.60 (0.92~2.79)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D9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08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1.65 (0.94~2.89)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6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15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1.41 (0.80~2.50)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14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6E11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3982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3 (3908.50-7602.28)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C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 (5.2)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1B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2.70 (1.62~4.50)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7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EE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2.64 (1.58~4.42)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F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FA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1.97 (1.13~3.44)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5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0.016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</w:tr>
      <w:tr w14:paraId="663E8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0C5B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Cumulative TyG-BRI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265C3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33FB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A452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D0F70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C0AD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CB13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55D6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ED65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8EE7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1 (43.70-119.93)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59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 (2.5)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94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1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C5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D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3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4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</w:tr>
      <w:tr w14:paraId="6E774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858C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2 (119.93-161.86)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B2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 (2.3)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13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 (0.51~1.52)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4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CC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 (0.57~1.72)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1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C2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 (0.45~1.41)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38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C229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42B5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3 (161.87-292.28)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1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 (5.3)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6B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1.93 (1.22~3.05)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B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78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2.25 (1.38~3.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C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76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1.65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~2.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38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</w:tr>
      <w:tr w14:paraId="15700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CAC8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Cumulative TyG-CI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D0D4A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EE98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4733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9A16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8481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EBCF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1338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9C3B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9422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1 (32.65-42.18)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A0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 (2.2)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E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6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B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1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D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0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</w:tr>
      <w:tr w14:paraId="6F09B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C1F0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2 (42.19-45.91)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E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 (3.3)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29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 (0.79~2.21)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D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4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 (0.79~2.24)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94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32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1.13 (0.67~1.92)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6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7CC1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157A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3 (45.92-56.55)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5F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 (4.6)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F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1.85 (1.13~3.00)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1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0.014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C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1.86 (1.13~3.06)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B1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0.015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4B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 (0.79~2.26)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7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0.276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</w:tr>
      <w:tr w14:paraId="214FB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5A8F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Cumulative TyG-WWI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FAF9F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FB3D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CDD2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60D7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BFAD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15E5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17EF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F9AB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FAD8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1 (282.51-364.81)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5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 (2.2)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8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2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E2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D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3E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B3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</w:tr>
      <w:tr w14:paraId="5D2B6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0260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2 (364.82-398.38)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AB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 (3.2)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31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 (0.79~2.24)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33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5E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1.43 (0.84~2.42)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E7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F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 (0.69~2.02)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76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109B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8A05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3 (398.39-505.17)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1C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 (4.7)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1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1.89 (1.16~3.06)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F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0.010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D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2.05 (1.22~3.45)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5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4F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1.49 (0.86~2.57)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1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0.155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</w:tr>
      <w:tr w14:paraId="309B9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29B5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Cumulative TyG-ABSI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340F4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D30F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3770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90D4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61C9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2269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505F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018E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4DD0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1 (2.17-2.72)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E7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 (2.7)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4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A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3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F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D6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20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</w:tr>
      <w:tr w14:paraId="7C82F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7AFC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2 (2.73-2.94)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D0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 (3.0)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4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 (0.60~1.64)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C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C4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(0.59~1.62)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B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E4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 (0.51~1.43)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B7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F5E9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D71F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3 (2.95-3.61)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A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 (4.4)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8D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1.46 (0.92~2.32)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7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0.107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0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 (0.87~2.24)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B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0.172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5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(0.62~1.66)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25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0.954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</w:tr>
      <w:tr w14:paraId="738AC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9828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Cumulative TyG-RFM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68447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728A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2A98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DA5A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72A2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3221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8601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BEF4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B240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1 (32.65-42.18)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4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 (3.2)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E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79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D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54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8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5C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</w:tr>
      <w:tr w14:paraId="2C563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A766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2 (42.19-45.91)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6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 (2.6)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36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 (0.43~1.17)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9F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17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1.27 (0.73~2.21)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1F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7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1.00 (0.55~1.81)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DF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D56E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C3A2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Tertile 3 (45.92-56.55)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8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 (4.3)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AE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 (0.76~1.82)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50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0.471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F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1.13 (0.81~1.29)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F6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0.344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F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 (0.89~1.09)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BC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0.686</w:t>
            </w:r>
            <w:r>
              <w:rPr>
                <w:rFonts w:hint="default" w:ascii="Times New Roman" w:hAnsi="Times New Roman" w:eastAsia="微软雅黑" w:cs="Times New Roman"/>
                <w:sz w:val="16"/>
                <w:szCs w:val="16"/>
                <w:vertAlign w:val="baseline"/>
                <w:lang w:val="en-US" w:eastAsia="zh-CN"/>
              </w:rPr>
              <w:t>＊</w:t>
            </w:r>
          </w:p>
        </w:tc>
      </w:tr>
      <w:tr w14:paraId="2DDC3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3AF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Per SD increase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90420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A9EF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19EB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4899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F204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9057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092A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7F96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01EC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Cumulative TyG-CVAI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0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 (3.4)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D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1.55 (1.29~1.86)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81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1.51 (1.26~1.80)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8D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6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 (1.09~1.65)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92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</w:p>
        </w:tc>
      </w:tr>
      <w:tr w14:paraId="7A8F6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A8DE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Cumulative TyG-BRI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A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 (3.4)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F0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 (1.16~1.65)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E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13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1.49 (1.24~1.80)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7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8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1.30 (1.05~1.60)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3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0.015</w:t>
            </w:r>
          </w:p>
        </w:tc>
      </w:tr>
      <w:tr w14:paraId="69249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B3F7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Cumulative TyG-CI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0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 (3.4)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BF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 (1.07~1.55)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C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37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 (1.06~1.55)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B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E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1.10 (0.90~1.35)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1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0.360 </w:t>
            </w:r>
          </w:p>
        </w:tc>
      </w:tr>
      <w:tr w14:paraId="5B6E2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F613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Cumulative TyG-WWI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FB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 (3.4)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F4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1.24 (1.03~1.49)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2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8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1.27 (1.04~1.55)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B5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BC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(0.86~1.33)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6C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0.546</w:t>
            </w:r>
          </w:p>
        </w:tc>
      </w:tr>
      <w:tr w14:paraId="5FE56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1062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Cumulative TyG-ABSI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1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 (3.4)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1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 (1.00~1.45)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D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0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 (0.97~1.43)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B6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E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 (0.84~1.26)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2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0.798</w:t>
            </w:r>
          </w:p>
        </w:tc>
      </w:tr>
      <w:tr w14:paraId="1F568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C889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CumulativeTyG-RFM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D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 (3.4)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5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 (0.91~1.34)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C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0.300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C9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1.87 (1.31~2.67)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4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D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 (0.94~2.06)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2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0.102</w:t>
            </w:r>
          </w:p>
        </w:tc>
      </w:tr>
      <w:tr w14:paraId="57986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9DB9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TyG-CVAI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longitudinal change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4C1F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DA95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8FDB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A0CF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ADB0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9E4D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1F37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8B04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ED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 (1.8)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28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2A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86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E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C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E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</w:tr>
      <w:tr w14:paraId="22F09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618D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8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 (3.2)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3A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1.75 (1.03~2.97)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3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BC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1.79 (1.05~3.07)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95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02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1.57 (0.91~2.71)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14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0.108</w:t>
            </w:r>
          </w:p>
        </w:tc>
      </w:tr>
      <w:tr w14:paraId="6DCC7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2518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0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 (6.0)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35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3.34 (1.98~5.64)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A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D6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3.19 (1.88~5.42)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5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89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2.35 (1.32~4.19)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1F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</w:tr>
      <w:tr w14:paraId="3D0CB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E564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TyG-BRI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longitudinal change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D64DF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31BB0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1FC35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D128E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2D6F6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0E9AE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E8B5D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4A22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DF7B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E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 (2.3)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EF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96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F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4A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9A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B6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</w:tr>
      <w:tr w14:paraId="05E3B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17D3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3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 (3.2)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5B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 (0.83~2.12)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32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2A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 (0.93~2.43)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C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6D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 (0.74~2.00)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65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0.441</w:t>
            </w:r>
          </w:p>
        </w:tc>
      </w:tr>
      <w:tr w14:paraId="6D9AA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9AF8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9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 (5.4)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BF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2.15 (1.33~3.49)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31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F4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2.56 (1.53~4.30)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F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45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~3.07)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7D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</w:tr>
      <w:tr w14:paraId="24287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5E6F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TyG-CI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longitudinal change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BE94D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20101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8A535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AEF8F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3806C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694C7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FDCA1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4D5F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B50E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DA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 (2.0)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A1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BD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99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F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B9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62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</w:tr>
      <w:tr w14:paraId="7F0EA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4F2A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D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 (3.4)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7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1.61 (0.97~2.67)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9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31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1.66 (1.00~2.76)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20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77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 (0.83~2.33)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2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0.213</w:t>
            </w:r>
          </w:p>
        </w:tc>
      </w:tr>
      <w:tr w14:paraId="1B87F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5C92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AE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 (5.0)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99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2.34 (1.39~3.93)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A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C0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2.39 (1.40~4.08)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DF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D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1.69 (0.96~2.97)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9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0.071</w:t>
            </w:r>
          </w:p>
        </w:tc>
      </w:tr>
      <w:tr w14:paraId="06622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F44EBE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TyG-WWI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longitudinal change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56C69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FE263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300D9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C9DAB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1E0E4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EC151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8716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2970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F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 (2.2)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B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9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48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CF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7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A2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</w:tr>
      <w:tr w14:paraId="623C4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5D56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E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 (3.5)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7A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1.51 (0.93~2.47)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5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53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1.62 (0.99~2.67)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5F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4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1.36 (0.82~2.26)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E1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0.236</w:t>
            </w:r>
          </w:p>
        </w:tc>
      </w:tr>
      <w:tr w14:paraId="3EA86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C6D0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D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 (4.6)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3A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2.00 (1.2~3.34)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5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89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2.17 (1.25~3.77)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9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C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1.47 (0.82~2.64)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3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0.197</w:t>
            </w:r>
          </w:p>
        </w:tc>
      </w:tr>
      <w:tr w14:paraId="6C3E4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F6BD39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TyG-ABSI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longitudinal change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EC3CE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FB8F2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B0007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C1EE4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8F7B7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434C2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CC6D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9799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B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 (2.7)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0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78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27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5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3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E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</w:tr>
      <w:tr w14:paraId="14F73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180D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98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 (3.0)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A0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 (0.68~1.76)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F2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33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1.08 (0.66~1.75)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F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80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(0.55~1.47)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6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0.680 </w:t>
            </w:r>
          </w:p>
        </w:tc>
      </w:tr>
      <w:tr w14:paraId="74BBE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3D61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5A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 (4.8)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7B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1.75 (1.08~2.84)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E9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69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1.68 (1.01~2.78)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0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3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 (0.69~2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E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0.545</w:t>
            </w:r>
          </w:p>
        </w:tc>
      </w:tr>
      <w:tr w14:paraId="7C25A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94EC9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TyG-RFM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longitudinal change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14613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86949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7EF72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A2CBF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586E3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00D7D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C498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088F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C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 (3.1)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13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89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7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2F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C5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75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</w:tr>
      <w:tr w14:paraId="61962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48C0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3F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 (3.0)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C9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 (0.51~1.38)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A5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8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 (0.79~2.41)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33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C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(0.59~1.94)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99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0.812</w:t>
            </w:r>
          </w:p>
        </w:tc>
      </w:tr>
      <w:tr w14:paraId="63D2B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1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A4C597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8097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 (3.9)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521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1.10 (0.71~1.71)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C829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683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 (1.01~1.12)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225D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0.014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8A1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(0.72~1.09)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4840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0.204</w:t>
            </w:r>
          </w:p>
        </w:tc>
      </w:tr>
    </w:tbl>
    <w:p w14:paraId="28C6D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微软雅黑" w:cs="Times New Roman"/>
          <w:sz w:val="16"/>
          <w:szCs w:val="16"/>
          <w:vertAlign w:val="baseline"/>
          <w:lang w:val="en-US" w:eastAsia="zh-CN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Model I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un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adjusted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.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Model II adjust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ed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for age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and sex.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Model III adjust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ed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for age,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sex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smoking, drinkin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g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SBP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DBP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marital status, hukou status,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education,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HDL-C,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LDL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-C, uric acid, hemoglobin, e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GFR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hypertension, diabetes, chronic kidney disease, lung disease,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ntihypertensive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,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ntidiabetic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 xml:space="preserve"> and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ntihyperlipidemic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6"/>
          <w:szCs w:val="16"/>
          <w:shd w:val="clear" w:fill="FFFFFF"/>
          <w:lang w:val="en-US" w:eastAsia="zh-CN" w:bidi="ar"/>
        </w:rPr>
        <w:t>.</w:t>
      </w:r>
      <w:r>
        <w:rPr>
          <w:rFonts w:hint="default" w:ascii="Times New Roman" w:hAnsi="Times New Roman" w:eastAsia="微软雅黑" w:cs="Times New Roman"/>
          <w:sz w:val="16"/>
          <w:szCs w:val="16"/>
          <w:vertAlign w:val="baseline"/>
          <w:lang w:val="en-US" w:eastAsia="zh-CN"/>
        </w:rPr>
        <w:t>＊</w:t>
      </w:r>
      <w:r>
        <w:rPr>
          <w:rFonts w:hint="eastAsia" w:ascii="Times New Roman" w:hAnsi="Times New Roman" w:eastAsia="微软雅黑" w:cs="Times New Roman"/>
          <w:sz w:val="16"/>
          <w:szCs w:val="16"/>
          <w:vertAlign w:val="baseline"/>
          <w:lang w:val="en-US" w:eastAsia="zh-CN"/>
        </w:rPr>
        <w:t>P for trend.</w:t>
      </w:r>
    </w:p>
    <w:p w14:paraId="3A746C81">
      <w:pPr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</w:p>
    <w:p w14:paraId="0482170F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576C3EF2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22B05FD8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163FAA84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6E605866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39163CE8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16E70BF0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27D515C4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257EBAC4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7791B120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29E78B98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635B40AA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52896C98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05549958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3A0DF8D1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324F679D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7B09B0D3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7C0E9ED9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26126853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4A517B79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4897BC6B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2C2DBFFD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7FC938AD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078B54A1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Figure S6. </w:t>
      </w:r>
      <w:r>
        <w:rPr>
          <w:rFonts w:ascii="Times New Roman" w:hAnsi="Times New Roman" w:cs="Times New Roman"/>
          <w:b/>
          <w:bCs/>
          <w:sz w:val="20"/>
          <w:szCs w:val="20"/>
        </w:rPr>
        <w:t>Restricted cubic spline curve for the association between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TyG-obesity indices and new-onset stroke : Excluding participants with new-onset stroke at wave 4 (n=3,278)</w:t>
      </w:r>
    </w:p>
    <w:p w14:paraId="1F88F121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5268595" cy="5252720"/>
            <wp:effectExtent l="0" t="0" r="4445" b="5080"/>
            <wp:docPr id="11" name="图片 11" descr="删除wav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删除wave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5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78C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Models were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adjust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ed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for age,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sex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smoking, drinkin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g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SBP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DBP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marital status, hukou status,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education,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HDL-C,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LDL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-C, uric acid, hemoglobin, e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GFR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hypertension, diabetes, chronic kidney disease, lung disease,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ntihypertensive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ntidiabetic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and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ntihyperlipidemic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. </w:t>
      </w:r>
    </w:p>
    <w:p w14:paraId="2C671B2F">
      <w:pPr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</w:p>
    <w:p w14:paraId="0BA53345">
      <w:pPr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</w:p>
    <w:p w14:paraId="1348CE7C">
      <w:pPr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</w:p>
    <w:p w14:paraId="1A73736F">
      <w:pPr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</w:p>
    <w:p w14:paraId="416B08F2">
      <w:pPr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</w:p>
    <w:p w14:paraId="007B4E4D">
      <w:pPr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</w:p>
    <w:p w14:paraId="44F47C6D">
      <w:pPr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</w:p>
    <w:p w14:paraId="0DF1E839">
      <w:pPr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</w:p>
    <w:p w14:paraId="221F0D2F">
      <w:pPr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</w:p>
    <w:p w14:paraId="6EA1942D">
      <w:pPr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</w:p>
    <w:p w14:paraId="69B12F9C">
      <w:pPr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</w:p>
    <w:p w14:paraId="4A209EEC">
      <w:pPr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</w:p>
    <w:p w14:paraId="0C02F550">
      <w:pPr>
        <w:rPr>
          <w:rStyle w:val="10"/>
          <w:rFonts w:ascii="Times New Roman" w:hAnsi="Times New Roman" w:cs="Times New Roman"/>
          <w:b/>
          <w:bCs/>
          <w:sz w:val="20"/>
          <w:szCs w:val="20"/>
        </w:rPr>
      </w:pPr>
    </w:p>
    <w:p w14:paraId="0AA60C28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Figure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7. Subgroup analyses of associations between baseline TyG-CVAI/BRI and stroke</w:t>
      </w:r>
    </w:p>
    <w:p w14:paraId="5BA14C21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5268595" cy="2344420"/>
            <wp:effectExtent l="0" t="0" r="0" b="0"/>
            <wp:docPr id="10" name="图片 10" descr="基线亚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基线亚组"/>
                    <pic:cNvPicPr>
                      <a:picLocks noChangeAspect="1"/>
                    </pic:cNvPicPr>
                  </pic:nvPicPr>
                  <pic:blipFill>
                    <a:blip r:embed="rId13"/>
                    <a:srcRect b="793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2E9E0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New-onset stroke</w:t>
      </w:r>
      <w:r>
        <w:rPr>
          <w:rFonts w:hint="default" w:ascii="Times New Roman" w:hAnsi="Times New Roman" w:cs="Times New Roman"/>
          <w:sz w:val="16"/>
          <w:szCs w:val="16"/>
        </w:rPr>
        <w:t xml:space="preserve"> in different strata as functions of 1-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SD</w:t>
      </w:r>
      <w:r>
        <w:rPr>
          <w:rFonts w:hint="default" w:ascii="Times New Roman" w:hAnsi="Times New Roman" w:cs="Times New Roman"/>
          <w:sz w:val="16"/>
          <w:szCs w:val="16"/>
        </w:rPr>
        <w:t xml:space="preserve"> increase in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baseline </w:t>
      </w:r>
      <w:r>
        <w:rPr>
          <w:rFonts w:hint="default" w:ascii="Times New Roman" w:hAnsi="Times New Roman" w:cs="Times New Roman"/>
          <w:sz w:val="16"/>
          <w:szCs w:val="16"/>
        </w:rPr>
        <w:t>TyG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-CVAI/BRI.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Models were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adjust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ed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for age,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sex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smoking, drinkin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g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SBP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DBP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marital status, hukou status,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education,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HDL-C,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LDL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-C, uric acid, hemoglobin, e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GFR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hypertension, diabetes, chronic kidney disease, lung disease,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ntihypertensive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ntidiabetic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and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ntihyperlipidemic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. Not adjust for stratification variables. The Benjamini-Hochberg false discovery rate (FDR) procedure was applied to control for multiplicity in subgroup and interaction tests, with the q-values being reported.</w:t>
      </w:r>
    </w:p>
    <w:p w14:paraId="73BDD26D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</w:pPr>
    </w:p>
    <w:p w14:paraId="6CB32AC9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8. Subgroup analyses of associations between cumulative TyG-CVAI/BRI and stroke</w:t>
      </w:r>
    </w:p>
    <w:p w14:paraId="09A08BA5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5268595" cy="2346325"/>
            <wp:effectExtent l="0" t="0" r="0" b="0"/>
            <wp:docPr id="12" name="图片 12" descr="累积亚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累积亚组"/>
                    <pic:cNvPicPr>
                      <a:picLocks noChangeAspect="1"/>
                    </pic:cNvPicPr>
                  </pic:nvPicPr>
                  <pic:blipFill>
                    <a:blip r:embed="rId14"/>
                    <a:srcRect b="776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980DE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New-onset stroke</w:t>
      </w:r>
      <w:r>
        <w:rPr>
          <w:rFonts w:hint="default" w:ascii="Times New Roman" w:hAnsi="Times New Roman" w:cs="Times New Roman"/>
          <w:sz w:val="16"/>
          <w:szCs w:val="16"/>
        </w:rPr>
        <w:t xml:space="preserve"> in different strata as functions of 1-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SD</w:t>
      </w:r>
      <w:r>
        <w:rPr>
          <w:rFonts w:hint="default" w:ascii="Times New Roman" w:hAnsi="Times New Roman" w:cs="Times New Roman"/>
          <w:sz w:val="16"/>
          <w:szCs w:val="16"/>
        </w:rPr>
        <w:t xml:space="preserve"> increase in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cumulative </w:t>
      </w:r>
      <w:r>
        <w:rPr>
          <w:rFonts w:hint="default" w:ascii="Times New Roman" w:hAnsi="Times New Roman" w:cs="Times New Roman"/>
          <w:sz w:val="16"/>
          <w:szCs w:val="16"/>
        </w:rPr>
        <w:t>TyG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-CVAI/BRI.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Models were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adjust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ed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for age,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sex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smoking, drinkin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g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SBP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DBP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marital status, hukou status,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education,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HDL-C,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LDL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-C, uric acid, hemoglobin, e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GFR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hypertension, diabetes, chronic kidney disease, lung disease,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ntihypertensive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ntidiabetic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and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ntihyperlipidemic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. Not adjust for stratification variables. The Benjamini-Hochberg false discovery rate (FDR) procedure was applied to control for multiplicity in subgroup and interaction tests, with the q-values being reported.</w:t>
      </w:r>
    </w:p>
    <w:p w14:paraId="02954B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</w:pPr>
    </w:p>
    <w:p w14:paraId="7EAC5B11">
      <w:pPr>
        <w:rPr>
          <w:rFonts w:hint="default" w:ascii="Times New Roman" w:hAnsi="Times New Roman" w:cs="Times New Roman"/>
          <w:sz w:val="16"/>
          <w:szCs w:val="16"/>
          <w:lang w:val="en-US"/>
        </w:rPr>
      </w:pPr>
    </w:p>
    <w:p w14:paraId="7E50EEEB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317B659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11. Subgroup analyses of associations between l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ongitudinal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change pattern of TyG-CVAI/BRI and stroke</w:t>
      </w:r>
    </w:p>
    <w:tbl>
      <w:tblPr>
        <w:tblStyle w:val="5"/>
        <w:tblpPr w:leftFromText="180" w:rightFromText="180" w:vertAnchor="text" w:horzAnchor="page" w:tblpXSpec="center" w:tblpY="159"/>
        <w:tblOverlap w:val="never"/>
        <w:tblW w:w="9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750"/>
        <w:gridCol w:w="1085"/>
        <w:gridCol w:w="1565"/>
        <w:gridCol w:w="635"/>
        <w:gridCol w:w="635"/>
        <w:gridCol w:w="1110"/>
        <w:gridCol w:w="1480"/>
        <w:gridCol w:w="655"/>
        <w:gridCol w:w="655"/>
      </w:tblGrid>
      <w:tr w14:paraId="5C19B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60" w:type="dxa"/>
            <w:gridSpan w:val="2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F5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Subgroup</w:t>
            </w:r>
          </w:p>
        </w:tc>
        <w:tc>
          <w:tcPr>
            <w:tcW w:w="265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76A1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TyG-CVAI</w:t>
            </w:r>
          </w:p>
        </w:tc>
        <w:tc>
          <w:tcPr>
            <w:tcW w:w="635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vAlign w:val="center"/>
          </w:tcPr>
          <w:p w14:paraId="29971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bscript"/>
                <w:lang w:val="en-US" w:eastAsia="zh-CN" w:bidi="ar"/>
              </w:rPr>
              <w:t>int</w:t>
            </w:r>
          </w:p>
        </w:tc>
        <w:tc>
          <w:tcPr>
            <w:tcW w:w="635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E7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bookmarkStart w:id="5" w:name="OLE_LINK1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noBreakHyphen/>
            </w:r>
          </w:p>
          <w:p w14:paraId="5B37E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value</w:t>
            </w:r>
            <w:bookmarkEnd w:id="5"/>
          </w:p>
        </w:tc>
        <w:tc>
          <w:tcPr>
            <w:tcW w:w="259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DFE9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TyG-BRI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vAlign w:val="center"/>
          </w:tcPr>
          <w:p w14:paraId="1603C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bscript"/>
                <w:lang w:val="en-US" w:eastAsia="zh-CN" w:bidi="ar"/>
              </w:rPr>
              <w:t>int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72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noBreakHyphen/>
            </w:r>
          </w:p>
          <w:p w14:paraId="6DB94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value</w:t>
            </w:r>
          </w:p>
        </w:tc>
      </w:tr>
      <w:tr w14:paraId="3E474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96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A347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3CD1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ongitudinal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change </w:t>
            </w:r>
          </w:p>
        </w:tc>
        <w:tc>
          <w:tcPr>
            <w:tcW w:w="15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4A6B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63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128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131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BE33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ongitudinal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change 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3AE0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65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7A00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268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D07F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23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 (years)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17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&lt;60</w:t>
            </w:r>
          </w:p>
        </w:tc>
        <w:tc>
          <w:tcPr>
            <w:tcW w:w="10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5C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5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AE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42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0.691</w:t>
            </w:r>
          </w:p>
        </w:tc>
        <w:tc>
          <w:tcPr>
            <w:tcW w:w="6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F9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0.711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88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1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15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560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0.481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40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0.848</w:t>
            </w:r>
          </w:p>
        </w:tc>
      </w:tr>
      <w:tr w14:paraId="69901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23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13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89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16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1.37 (0.81, 2.33)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53B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7F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20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63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1.75 (1.07, 2.86)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1B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0E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12CB8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9D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FE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42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42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2.31 (1.34, 3.99)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FF0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DD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75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 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94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2.48 (1.43, 4.32)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01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11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3A60C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B9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8C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≥60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EF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E0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07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68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00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A0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79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18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331B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FE7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49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02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20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1.60 (0.94, 2.71)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5A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C1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80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46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1.13 (0.69, 1.87)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DE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9B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5363D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36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28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6F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F9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2.06 (1.16, 3.68)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9C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FE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30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2F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1.68 (0.95, 2.96)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C4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46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</w:p>
        </w:tc>
      </w:tr>
      <w:tr w14:paraId="1EDA7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1D431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3EC35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15652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1DFF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7D99A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731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4C601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731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40139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A48D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00AFD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512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4BC0E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788</w:t>
            </w:r>
          </w:p>
        </w:tc>
      </w:tr>
      <w:tr w14:paraId="79C09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033A9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03344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0A655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20D71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1.49 (0.90, 2.44)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46278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1F9D8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26D4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43BB1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1.18 (0.75, 1.85)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4E611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F7AA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761F8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1D383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51133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C48A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1B93D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1.92 (1.13, 3.28)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F69C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E05F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CA69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30DD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2.02 (1.14, 3.56)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A430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23DDE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24EAE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6395C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66064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77EDE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2CBC8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341EC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6CC05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E2ED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07F9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5FC9D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2E35C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02668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4CB09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2A8EC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7153F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00445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1.53 (0.86, 2.73)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77D93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7C7E4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4F915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5C076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1.75 (0.96, 3.17)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5A73E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5A2CD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66C39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41F13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09F36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4D263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5732F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2.50 (1.35, 4.64)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0CB17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2B029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6941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26853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2.30 (1.24, 4.24)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47668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1F0AC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57ABD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3E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Smoking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F9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7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28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B5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515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A1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731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C4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18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78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45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95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848</w:t>
            </w:r>
          </w:p>
        </w:tc>
      </w:tr>
      <w:tr w14:paraId="42D0D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CF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DE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3B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81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1.66 (0.92, 2.97)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AC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4A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07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FC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1.29 (0.74, 2.27)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CC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19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216B3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D1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47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D1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F5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1.82 (0.94, 3.55)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EE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7B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EE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52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2.39 (1.19, 4.81)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EB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85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18100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31C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1FB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AB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17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D5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63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D1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35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03A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69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35FAD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94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E2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8F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34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1.48 (0.91, 2.41)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B1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F60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5C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AD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1.54 (0.97, 2.44)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61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0A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61005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36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18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6C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7E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2.43 (1.46, 4.06)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2D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92B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3B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DC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2.00 (1.22, 3.29)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6C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44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18EB6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10090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Drinking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32543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59692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D001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4B3AA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191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556CA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690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78838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29E3C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BA10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707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0BE7A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848</w:t>
            </w:r>
          </w:p>
        </w:tc>
      </w:tr>
      <w:tr w14:paraId="7B053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367AB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288D5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4128A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B886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2.12 (1.15, 3.90)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4550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725D9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C53F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0F275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1.19 (0.69, 2.04)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592A9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1C304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742E4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1A8CB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30593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D65E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E396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2.22 (1.13, 4.39)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6030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2CEF1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A547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51429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1.77 (0.89, 3.52)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9A35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4CE2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6FDF0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4CF5B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598D6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4B39E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7127D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68835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25D25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72364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135B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25AF3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7B434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27454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344B5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1E34A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E14B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7C590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1.30 (0.81, 2.07)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63B90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421E0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1905B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53BA6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1.58 (0.99, 2.52)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28B3D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545E4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53F56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4E6F9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4B6E2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059E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7CA51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2.35 (1.44, 3.82)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7A190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5467E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10461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09B74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2.33 (1.41, 3.85)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0C1A7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56DEE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48E82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3D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57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77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81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25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507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A8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710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97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D2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18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18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C6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744</w:t>
            </w:r>
          </w:p>
        </w:tc>
      </w:tr>
      <w:tr w14:paraId="1529A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12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4E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CF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99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1.25 (0.66, 2.36)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87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29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0A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0B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1.01 (0.59, 1.74)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BC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61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09A85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B9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7A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11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E2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2.16 (1.17, 3.97)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84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F4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89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DF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1.75 (1.00, 3.06)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89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A4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2BF29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FF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DA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5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D1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76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37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32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EA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66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81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55A87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44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05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67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00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1.77 (1.12, 2.80)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8B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B6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A7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3E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1.80 (1.14, 2.83)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92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E9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55B17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44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F3B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99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9F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2.18 (1.26, 3.77)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D7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BD9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97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BD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2.12 (1.19, 3.77)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C8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E6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336B2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4AD81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55624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00F62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E9F0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3DFA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325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4219E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722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17979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10A0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1F850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72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1593E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72</w:t>
            </w:r>
          </w:p>
        </w:tc>
      </w:tr>
      <w:tr w14:paraId="5E48C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043C4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79AC1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F68E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7592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2.41 (0.65, 4.94)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534EC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62F5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5B3E2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77FFC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1.24 (0.41, 3.77)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C82E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5CBEE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7A2C8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62351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6CB78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0AA9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02E24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2.86 (0.76, 5.74)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5A87E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4D7CF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147D7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064B2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1.65 (0.53, 5.11)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FC6A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5AA9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6A93E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0F590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102B3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52C36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324A1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0F831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40A8A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B730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5B660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reference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4F15E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18299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10A96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5D2D3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45C10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08663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61A31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1.50 (1.02, 2.22)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612C7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3B1C6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5EAC6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center"/>
          </w:tcPr>
          <w:p w14:paraId="0A7CE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1.47 (1.02, 2.13)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2E48B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0F5FB"/>
            <w:vAlign w:val="bottom"/>
          </w:tcPr>
          <w:p w14:paraId="08733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3641B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0F5FB"/>
            <w:vAlign w:val="bottom"/>
          </w:tcPr>
          <w:p w14:paraId="32B09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0F5FB"/>
            <w:vAlign w:val="bottom"/>
          </w:tcPr>
          <w:p w14:paraId="451C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0F5FB"/>
            <w:vAlign w:val="center"/>
          </w:tcPr>
          <w:p w14:paraId="73D1F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0F5FB"/>
            <w:vAlign w:val="center"/>
          </w:tcPr>
          <w:p w14:paraId="22473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2.49 (1.65, 3.77) 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0F5FB"/>
            <w:vAlign w:val="bottom"/>
          </w:tcPr>
          <w:p w14:paraId="3E098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0F5FB"/>
            <w:vAlign w:val="bottom"/>
          </w:tcPr>
          <w:p w14:paraId="3465F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0F5FB"/>
            <w:vAlign w:val="center"/>
          </w:tcPr>
          <w:p w14:paraId="20A5A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Cluster 3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0F5FB"/>
            <w:vAlign w:val="center"/>
          </w:tcPr>
          <w:p w14:paraId="43FFC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 xml:space="preserve">2.28 (1.50, 3.48) 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0F5FB"/>
            <w:vAlign w:val="bottom"/>
          </w:tcPr>
          <w:p w14:paraId="7701F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0F5FB"/>
            <w:vAlign w:val="bottom"/>
          </w:tcPr>
          <w:p w14:paraId="09BDA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</w:tbl>
    <w:p w14:paraId="4498AA0B">
      <w:pP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Models were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adjust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ed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for age,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gender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smoking, drinkin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g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SBP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DBP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marital status, hukou status,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education,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HDL-C,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LDL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-C, uric acid, hemoglobin, e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GFR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hypertension, diabetes, chronic kidney disease, lung disease,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ntihypertensive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ntidiabetic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and 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ntihyperlipidemic agents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. Not adjust for stratification variables.</w:t>
      </w:r>
    </w:p>
    <w:p w14:paraId="3420C617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S1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. Associations of baseline, cumulative, and longitudinal change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in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TyG-CVAI with stroke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in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CKM syndrome stages 0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-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3: A Fine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noBreakHyphen/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Gray competing risks analysis</w:t>
      </w:r>
    </w:p>
    <w:p w14:paraId="53983DC5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696"/>
        <w:gridCol w:w="829"/>
        <w:gridCol w:w="1343"/>
        <w:gridCol w:w="675"/>
        <w:gridCol w:w="1344"/>
        <w:gridCol w:w="675"/>
        <w:gridCol w:w="1344"/>
        <w:gridCol w:w="678"/>
      </w:tblGrid>
      <w:tr w14:paraId="1468B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597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Variable</w:t>
            </w:r>
          </w:p>
        </w:tc>
        <w:tc>
          <w:tcPr>
            <w:tcW w:w="429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DF0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</w:t>
            </w:r>
          </w:p>
        </w:tc>
        <w:tc>
          <w:tcPr>
            <w:tcW w:w="429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19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Event (%)</w:t>
            </w:r>
          </w:p>
        </w:tc>
        <w:tc>
          <w:tcPr>
            <w:tcW w:w="1225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BA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 I</w:t>
            </w:r>
          </w:p>
        </w:tc>
        <w:tc>
          <w:tcPr>
            <w:tcW w:w="1225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519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 II</w:t>
            </w:r>
          </w:p>
        </w:tc>
        <w:tc>
          <w:tcPr>
            <w:tcW w:w="1225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1D6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 III</w:t>
            </w:r>
          </w:p>
        </w:tc>
      </w:tr>
      <w:tr w14:paraId="7192C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AAEE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2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B19D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2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8D75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7C8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sHR (95%CI)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D7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value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B1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sHR (95%CI)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08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value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E35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sHR (95%CI)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5A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value</w:t>
            </w:r>
          </w:p>
        </w:tc>
      </w:tr>
      <w:tr w14:paraId="013B5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ED1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Baseline TyG-CVAI </w:t>
            </w:r>
          </w:p>
        </w:tc>
      </w:tr>
      <w:tr w14:paraId="7749C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9E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per SD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67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3400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93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232 (6.8)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69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1.51 (1.34~1.71)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7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5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1.47 (1.3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~1.66)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8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53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1.51 (1.34~1.71)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EE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  <w:tr w14:paraId="10D53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BA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Tertile1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E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96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 (4.0)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6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C2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A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F53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5D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B4C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BF59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4B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Tertile2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F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F9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 (6.8)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1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1.72 (1.19~2.47)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3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95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1.66 (1.15~2.39)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5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2C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1.49 (1.03~2.16)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C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0.035</w:t>
            </w:r>
          </w:p>
        </w:tc>
      </w:tr>
      <w:tr w14:paraId="77CB2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46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Tertile3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1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3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 (9.7)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18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2.47 (1.75~3.49)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0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8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2.31 (1.64~3.27)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A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97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1.79 (1.24~2.59)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7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</w:tr>
      <w:tr w14:paraId="5FB04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5B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Trend.test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1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3400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71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232 (6.8)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6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1.55 (1.32~1.82)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B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D9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(1.28~1.76)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4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1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1.32 (1.11~1.57)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7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</w:tr>
      <w:tr w14:paraId="6BFF8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22B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Cumulative TyG-CVAI</w:t>
            </w:r>
          </w:p>
        </w:tc>
      </w:tr>
      <w:tr w14:paraId="5D766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5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per SD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C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3400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99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232 (6.8)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9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1.48 (1.31~1.67)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5B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3D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1.44 (1.27~1.62)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3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46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 (1.14~1.5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3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  <w:tr w14:paraId="2E5D1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D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Tertile1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F8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DD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 (3.7)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E7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51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82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8F8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C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1F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</w:tr>
      <w:tr w14:paraId="22929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E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Tertile2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54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F5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 (7.0)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92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1.89 (1.31~2.75)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4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F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1.88 (1.29~2.75)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6D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1.71 (1.16~2.5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A2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</w:t>
            </w:r>
          </w:p>
        </w:tc>
      </w:tr>
      <w:tr w14:paraId="6AC6F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F0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Tertile3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6A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25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111 (9.8)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31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2.65 (1.86~3.77)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18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7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2.52 (1.77~3.58)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11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80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(1.37~2.92)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F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  <w:tr w14:paraId="3693E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29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Trend.test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A9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3400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5A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232 (6.8)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D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1.59 (1.35~1.86)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12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C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1.54 (1.32~1.81)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8C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26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 (1.15~1.63)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02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  <w:tr w14:paraId="5A039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1F2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TyG-CVAI longitudinal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change</w:t>
            </w:r>
          </w:p>
        </w:tc>
      </w:tr>
      <w:tr w14:paraId="4CC7D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310E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Cluster1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82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1160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CF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 (3.8)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F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9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1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0D3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46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4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</w:tr>
      <w:tr w14:paraId="17E22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69A6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Cluster2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AD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8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 (6.5)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FA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1.74 (1.22~2.48)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56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F1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1.72 (1.2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~2.47)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3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16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1.57 (1.09~2.27)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48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0.016</w:t>
            </w:r>
          </w:p>
        </w:tc>
      </w:tr>
      <w:tr w14:paraId="17D0A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51D2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Cluster3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63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2B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 (11.6)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0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3.12 (2.19~4.44)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E0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98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2.92 (2.05~4.17)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B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0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(1.56~3.39)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1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  <w:tr w14:paraId="61503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9BD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Trend.test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A2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3400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DAAD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232 (6.8)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DB0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1.77 (1.49~2.10)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A2B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3C4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1.71 (1.44~2.03)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39E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A7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1.51 (1.25~1.82)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E15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</w:tbl>
    <w:p w14:paraId="00EF3BF1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Model I unadjusted. Model II adjusted for age and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sex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. Model III adjusted for age,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sex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smoking, drinking, SBP, DBP, marital status, hukou status, education, HDL-C, LDL-C, uric acid, hemoglobin, eGFR, hypertension, diabetes, chronic kidney disease, lung disease, antihypertensive agents, antidiabetic agents and antihyperlipidemic agents.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CKM syndrome, cardiovascular kidney-metabolic syndrome; TyG-CVAI, triglyceride glucose-Chinese visceral adiposity index; sHR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subdistribution hazard ratio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;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CI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confidence interval.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</w:t>
      </w:r>
    </w:p>
    <w:p w14:paraId="5916A0BB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</w:pPr>
    </w:p>
    <w:p w14:paraId="459C81F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64733232">
      <w:pP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13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. Associations of baseline, cumulative, and longitudinal change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of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 TyG-BRI with stroke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in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 CKM syndrome stages 0–3: A Fine‑Gray competing risks analysis</w:t>
      </w:r>
    </w:p>
    <w:p w14:paraId="51BC7E88">
      <w:pP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696"/>
        <w:gridCol w:w="829"/>
        <w:gridCol w:w="1343"/>
        <w:gridCol w:w="675"/>
        <w:gridCol w:w="1344"/>
        <w:gridCol w:w="675"/>
        <w:gridCol w:w="1344"/>
        <w:gridCol w:w="678"/>
      </w:tblGrid>
      <w:tr w14:paraId="5BF08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FBD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Variable</w:t>
            </w:r>
          </w:p>
        </w:tc>
        <w:tc>
          <w:tcPr>
            <w:tcW w:w="429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073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</w:t>
            </w:r>
          </w:p>
        </w:tc>
        <w:tc>
          <w:tcPr>
            <w:tcW w:w="429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B2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Event (%)</w:t>
            </w:r>
          </w:p>
        </w:tc>
        <w:tc>
          <w:tcPr>
            <w:tcW w:w="1225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A19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 I</w:t>
            </w:r>
          </w:p>
        </w:tc>
        <w:tc>
          <w:tcPr>
            <w:tcW w:w="1225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63C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 II</w:t>
            </w:r>
          </w:p>
        </w:tc>
        <w:tc>
          <w:tcPr>
            <w:tcW w:w="1225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D0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Model III</w:t>
            </w:r>
          </w:p>
        </w:tc>
      </w:tr>
      <w:tr w14:paraId="01B0C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009B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2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0BA6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2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F135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787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sHR (95%CI)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8A3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value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C0F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sHR (95%CI)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C63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value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3C5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sHR (95%CI)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97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 value</w:t>
            </w:r>
          </w:p>
        </w:tc>
      </w:tr>
      <w:tr w14:paraId="3A09A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304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Baseline TyG-BRI </w:t>
            </w:r>
          </w:p>
        </w:tc>
      </w:tr>
      <w:tr w14:paraId="54032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79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per SD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E7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3400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45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232 (6.8)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4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 (1.26~1.60)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CA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B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1.46 (1.28~1.66)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FC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0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 (1.26~1.60)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F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  <w:tr w14:paraId="7C440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51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Tertile1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2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C6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 (4.0)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A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87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1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579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2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2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</w:tr>
      <w:tr w14:paraId="7A5D0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C7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Tertile2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2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0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 (6.8)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22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1.49 (1.05~2.14)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F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B2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1.58 (1.10~2.26)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6D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1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 (0.98~2.01)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1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0.065</w:t>
            </w:r>
          </w:p>
        </w:tc>
      </w:tr>
      <w:tr w14:paraId="60FA9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9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Tertile3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9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5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 (9.7)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CF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2.17 (1.56~3.03)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1C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B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2.28 (1.61~3.21)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6A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F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1.74 (1.20~2.53)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F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</w:tr>
      <w:tr w14:paraId="33B68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DF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Trend.test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B0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3400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89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232 (6.8)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D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1.47 (1.25~1.73)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70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4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 (1.27~1.77)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E6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5A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 (1.09~1.57)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63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</w:tr>
      <w:tr w14:paraId="72AE7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836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Cumulative TyG-BRI</w:t>
            </w:r>
          </w:p>
        </w:tc>
      </w:tr>
      <w:tr w14:paraId="070C6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06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per SD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6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3400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8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232 (6.8)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87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1.39 (1.23~1.58)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0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C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1.44 (1.26~1.64)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5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7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1.29 (1.12~1.50)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C1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147A9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65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Tertile1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B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4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 (3.7)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63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D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1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40E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7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C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</w:tr>
      <w:tr w14:paraId="04D8A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4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Tertile2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9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8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 (7.0)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E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 (0.92~1.85)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2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97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1.39 (0.97~1.99)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8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0.074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4C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1.22 (0.84~1.76)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2D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0.289</w:t>
            </w:r>
          </w:p>
        </w:tc>
      </w:tr>
      <w:tr w14:paraId="47D89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0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Tertile3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2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DC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111 (9.8)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5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1.97 (1.43~2.72)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1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A9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2.09 (1.49~2.93)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22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7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1.58 (1.08~2.30)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E6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0.018</w:t>
            </w:r>
          </w:p>
        </w:tc>
      </w:tr>
      <w:tr w14:paraId="5570F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E2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Trend.test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CD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3400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3F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232 (6.8)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2E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 (1.20~1.66)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5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0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1.45 (1.23~1.72)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C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A1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1.26 (1.05~1.52)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CD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0.015</w:t>
            </w:r>
          </w:p>
        </w:tc>
      </w:tr>
      <w:tr w14:paraId="75673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ED0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TyG-BRI longitudinal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change</w:t>
            </w:r>
          </w:p>
        </w:tc>
      </w:tr>
      <w:tr w14:paraId="570F6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0C7E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Cluster1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1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1275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0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 (3.8)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50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F0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9F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A54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9D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reference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0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</w:tr>
      <w:tr w14:paraId="400B9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52BE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Cluster2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E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1381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5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 (6.5)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C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1.53 (1.10~2.12)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9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0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1.67 (1.19~2.32)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5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D1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1.47 (1.04~2.08)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4F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</w:tr>
      <w:tr w14:paraId="5FE21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A1D0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Cluster3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D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0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 (11.6)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3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2.45 (1.75~3.42)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E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4E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2.68 (1.88~3.82)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7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0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2.03 (1.37~3.02)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F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  <w:tr w14:paraId="6CED9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A6D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Trend.test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88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3400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902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232 (6.8)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A4F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1.57 (1.33~1.85)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B8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F2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1.63 (1.37~1.95)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0EC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75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 (1.17~1.73)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482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&lt;0.001</w:t>
            </w:r>
          </w:p>
        </w:tc>
      </w:tr>
    </w:tbl>
    <w:p w14:paraId="58DB2ADA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Model I unadjusted. Model II adjusted for age and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sex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. Model III adjusted for age,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sex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 smoking, drinking, SBP, DBP, marital status, hukou status, education, HDL-C, LDL-C, uric acid, hemoglobin, eGFR, hypertension, diabetes, chronic kidney disease, lung disease, antihypertensive agents, antidiabetic agents and antihyperlipidemic agents.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CKM syndrome, cardiovascular kidney-metabolic syndrome; TyG-CVAI, triglyceride glucose-Chinese visceral adiposity index; sHR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subdistribution hazard ratio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;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CI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>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confidence interval.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  <w:t xml:space="preserve"> </w:t>
      </w:r>
    </w:p>
    <w:p w14:paraId="7F919E42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</w:pPr>
    </w:p>
    <w:p w14:paraId="081A5D60">
      <w:pPr>
        <w:rPr>
          <w:rFonts w:hint="eastAsia" w:ascii="Times New Roman" w:hAnsi="Times New Roman" w:cs="Times New Roman"/>
          <w:b/>
          <w:bCs/>
          <w:lang w:val="en-US" w:eastAsia="zh-CN"/>
        </w:rPr>
      </w:pPr>
      <w:bookmarkStart w:id="6" w:name="_Toc224129356"/>
    </w:p>
    <w:p w14:paraId="3FA47EC9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4AA6557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D4420DB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291E864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2E3B6D8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E2F5D57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461FE8E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1745E38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FEDBB46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43ACA03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B8F6E23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8D22C59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18F7B85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184FCEF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999B610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726CFE8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Table S14. Comparison of baseline characteristics of included participants and those excluded due to missing TyG-related indices</w:t>
      </w:r>
      <w:bookmarkEnd w:id="6"/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and CKM staging</w:t>
      </w:r>
    </w:p>
    <w:p w14:paraId="66640E1F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1"/>
        <w:gridCol w:w="1545"/>
        <w:gridCol w:w="1501"/>
        <w:gridCol w:w="775"/>
        <w:gridCol w:w="2007"/>
      </w:tblGrid>
      <w:tr w14:paraId="7C8F9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30F6E2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Variables</w:t>
            </w:r>
          </w:p>
        </w:tc>
        <w:tc>
          <w:tcPr>
            <w:tcW w:w="90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56D4F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Excluded population </w:t>
            </w:r>
          </w:p>
          <w:p w14:paraId="0C75D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(n = 14308)</w:t>
            </w:r>
          </w:p>
        </w:tc>
        <w:tc>
          <w:tcPr>
            <w:tcW w:w="91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51B4F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Included population </w:t>
            </w:r>
          </w:p>
          <w:p w14:paraId="71AAC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(n = 3400)</w:t>
            </w:r>
          </w:p>
        </w:tc>
        <w:tc>
          <w:tcPr>
            <w:tcW w:w="6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CA94D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 values</w:t>
            </w:r>
          </w:p>
        </w:tc>
        <w:tc>
          <w:tcPr>
            <w:tcW w:w="92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B1627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Standardized mean difference</w:t>
            </w:r>
          </w:p>
        </w:tc>
      </w:tr>
      <w:tr w14:paraId="09A14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BD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9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5B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59.0 ± 10.6</w:t>
            </w:r>
          </w:p>
        </w:tc>
        <w:tc>
          <w:tcPr>
            <w:tcW w:w="9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1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58.3 ± 8.2</w:t>
            </w:r>
          </w:p>
        </w:tc>
        <w:tc>
          <w:tcPr>
            <w:tcW w:w="6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17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CE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0.070 (0.033~0.108)</w:t>
            </w:r>
          </w:p>
        </w:tc>
      </w:tr>
      <w:tr w14:paraId="31589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01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Male, n (%)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5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6915 (48.3)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31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1564 (46.0)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2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0.014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E6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0.047 (0.009~0.084)</w:t>
            </w:r>
          </w:p>
        </w:tc>
      </w:tr>
      <w:tr w14:paraId="52DA4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66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Smoking status, n (%)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F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3836 (28.4)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41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1035 (30.4)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F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0.019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AB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0.045 (0.007~0.082)</w:t>
            </w:r>
          </w:p>
        </w:tc>
      </w:tr>
      <w:tr w14:paraId="046B2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BF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Drinking status, n (%)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2C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4615 (32.6)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7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1152 (33.9)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3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0.156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F2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0.027 (-0.010~0.064)</w:t>
            </w:r>
          </w:p>
        </w:tc>
      </w:tr>
      <w:tr w14:paraId="2A613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CF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Systolic blood pressure, mmHg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2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130.3 ± 22.0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9F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.5 ± 20.2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E2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1F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(0.0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3~0.1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1)</w:t>
            </w:r>
          </w:p>
        </w:tc>
      </w:tr>
      <w:tr w14:paraId="2AC6E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73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Diastolic blood pressure, mmHg  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A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75.7 ± 12.4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F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74.7 ± 11.9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6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34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0.085 (0.046~0.124)</w:t>
            </w:r>
          </w:p>
        </w:tc>
      </w:tr>
      <w:tr w14:paraId="215AB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E6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Married status, n (%)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E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12356(86.6)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5C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3061(90.0)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E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74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0.108 (0.071~0.146)</w:t>
            </w:r>
          </w:p>
        </w:tc>
      </w:tr>
      <w:tr w14:paraId="4B4CA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14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Rural Hukou Status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70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10789 (75.6)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93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2905 (85.5)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9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4C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0.252 (0.214~0.289)</w:t>
            </w:r>
          </w:p>
        </w:tc>
      </w:tr>
      <w:tr w14:paraId="21C99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D0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school education or above, n (%)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9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1863 (13.1)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9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305 (9.0)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6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5C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0.130 (0.093~0.168)</w:t>
            </w:r>
          </w:p>
        </w:tc>
      </w:tr>
      <w:tr w14:paraId="2C36B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C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cholesterol, mg/dL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9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192.9 ± 39.6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8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193.1 ± 37.0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4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0.780 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CA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 (-0.034~0.046)</w:t>
            </w:r>
          </w:p>
        </w:tc>
      </w:tr>
      <w:tr w14:paraId="0D0F8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E5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HDL-C, mg/dL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C1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50.4 ± 15.6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C8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51.9 ± 14.7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2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59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(0.062~0.141)</w:t>
            </w:r>
          </w:p>
        </w:tc>
      </w:tr>
      <w:tr w14:paraId="79889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0E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LDL-C, mg/dL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A4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115.1 ± 35.5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36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118.2 ± 33.2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6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8C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0.091 (0.051~0.131)</w:t>
            </w:r>
          </w:p>
        </w:tc>
      </w:tr>
      <w:tr w14:paraId="15195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49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HbA1c, %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B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5.3 ± 0.9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9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5.2 ± 0.6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D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66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0.100 (0.060~0.140)</w:t>
            </w:r>
          </w:p>
        </w:tc>
      </w:tr>
      <w:tr w14:paraId="0E08D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FB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Uric acid, mg/dL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16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 ± 1.3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35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 ± 1.2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9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81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0.168 (0.128~0.208)</w:t>
            </w:r>
          </w:p>
        </w:tc>
      </w:tr>
      <w:tr w14:paraId="5891A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CA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Hemoglobin, g/dL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F2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14.4 ± 2.2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06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14.4 ± 2.2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A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0.136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AF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0.041 (0.006~0.079)</w:t>
            </w:r>
          </w:p>
        </w:tc>
      </w:tr>
      <w:tr w14:paraId="7D93F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AF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eGFR, mL/min/1.73m</w:t>
            </w:r>
            <w:r>
              <w:rPr>
                <w:rStyle w:val="17"/>
                <w:rFonts w:eastAsia="宋体"/>
                <w:sz w:val="16"/>
                <w:szCs w:val="16"/>
                <w:lang w:val="en-US" w:eastAsia="zh-CN" w:bidi="ar"/>
              </w:rPr>
              <w:t>2</w:t>
            </w:r>
            <w:r>
              <w:rPr>
                <w:rStyle w:val="15"/>
                <w:rFonts w:eastAsia="宋体"/>
                <w:sz w:val="16"/>
                <w:szCs w:val="16"/>
                <w:lang w:val="en-US" w:eastAsia="zh-CN" w:bidi="ar"/>
              </w:rPr>
              <w:t xml:space="preserve"> 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2E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96.2 ± 10.5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A2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± 12.6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B6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FD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 (0.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6~0.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6)</w:t>
            </w:r>
          </w:p>
        </w:tc>
      </w:tr>
      <w:tr w14:paraId="1D9E2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36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Hypertension, n (%)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6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3761 (26.3)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7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774 (22.7)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6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75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0.082 (0.045~0.119)</w:t>
            </w:r>
          </w:p>
        </w:tc>
      </w:tr>
      <w:tr w14:paraId="07CCD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90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 mellitus, n (%)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9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907 (6.3)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E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155 (4.5)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9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07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0.078 (0.041~0.116)</w:t>
            </w:r>
          </w:p>
        </w:tc>
      </w:tr>
      <w:tr w14:paraId="1CCC7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11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Chronic kidney disease, n (%)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A5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1030 (7.2)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C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183 (5.4)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6F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EC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0.075 (0.037~0.112)</w:t>
            </w:r>
          </w:p>
        </w:tc>
      </w:tr>
      <w:tr w14:paraId="1D68E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47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Lung disease, n (%)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8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1428 (10.0)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F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276 (8.1)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A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FC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0.065 (0.028~0.102)</w:t>
            </w:r>
          </w:p>
        </w:tc>
      </w:tr>
      <w:tr w14:paraId="73C0D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A1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Antihypertensive agents, n (%)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B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2895 (20.6)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78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519.0 (15.3)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6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E7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0.139 (0.101~0.176)</w:t>
            </w:r>
          </w:p>
        </w:tc>
      </w:tr>
      <w:tr w14:paraId="26A57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2A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Antidiabetic agents, n (%)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2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622 (4.4)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27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90.0 (2.6)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16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3E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0.097 (0.059~0.134)</w:t>
            </w:r>
          </w:p>
        </w:tc>
      </w:tr>
      <w:tr w14:paraId="66A0C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7CF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Antihyperlipidemic agents, n (%)</w:t>
            </w:r>
          </w:p>
        </w:tc>
        <w:tc>
          <w:tcPr>
            <w:tcW w:w="90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624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727 (5.3)</w:t>
            </w:r>
          </w:p>
        </w:tc>
        <w:tc>
          <w:tcPr>
            <w:tcW w:w="91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15E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138.0 (4.1)</w:t>
            </w:r>
          </w:p>
        </w:tc>
        <w:tc>
          <w:tcPr>
            <w:tcW w:w="67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DAE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92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D10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0.057 (0.019~0.094)</w:t>
            </w:r>
          </w:p>
        </w:tc>
      </w:tr>
    </w:tbl>
    <w:p w14:paraId="52642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HDL-C, high-density lipoprotein cholesterol. LDL-C, low-density lipoprotein cholesterol. HbA1c, glycated haemoglobin. </w:t>
      </w:r>
    </w:p>
    <w:p w14:paraId="50FA9479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kern w:val="0"/>
          <w:sz w:val="15"/>
          <w:szCs w:val="15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yriadPro-Ligh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95A3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151CE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151CE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987617"/>
    <w:multiLevelType w:val="singleLevel"/>
    <w:tmpl w:val="F6987617"/>
    <w:lvl w:ilvl="0" w:tentative="0">
      <w:start w:val="1"/>
      <w:numFmt w:val="upperLetter"/>
      <w:suff w:val="space"/>
      <w:lvlText w:val="(%1)"/>
      <w:lvlJc w:val="left"/>
    </w:lvl>
  </w:abstractNum>
  <w:abstractNum w:abstractNumId="1">
    <w:nsid w:val="018FFF78"/>
    <w:multiLevelType w:val="singleLevel"/>
    <w:tmpl w:val="018FFF78"/>
    <w:lvl w:ilvl="0" w:tentative="0">
      <w:start w:val="1"/>
      <w:numFmt w:val="upperLetter"/>
      <w:suff w:val="space"/>
      <w:lvlText w:val="(%1)"/>
      <w:lvlJc w:val="left"/>
    </w:lvl>
  </w:abstractNum>
  <w:abstractNum w:abstractNumId="2">
    <w:nsid w:val="088266A4"/>
    <w:multiLevelType w:val="singleLevel"/>
    <w:tmpl w:val="088266A4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2291E1F4"/>
    <w:multiLevelType w:val="singleLevel"/>
    <w:tmpl w:val="2291E1F4"/>
    <w:lvl w:ilvl="0" w:tentative="0">
      <w:start w:val="1"/>
      <w:numFmt w:val="upperLetter"/>
      <w:suff w:val="space"/>
      <w:lvlText w:val="(%1)"/>
      <w:lvlJc w:val="left"/>
    </w:lvl>
  </w:abstractNum>
  <w:abstractNum w:abstractNumId="4">
    <w:nsid w:val="5BE365C8"/>
    <w:multiLevelType w:val="singleLevel"/>
    <w:tmpl w:val="5BE365C8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20B4D"/>
    <w:rsid w:val="00E35181"/>
    <w:rsid w:val="017A03BD"/>
    <w:rsid w:val="02074EB9"/>
    <w:rsid w:val="020E3E06"/>
    <w:rsid w:val="021D3FED"/>
    <w:rsid w:val="02203F61"/>
    <w:rsid w:val="024E06A7"/>
    <w:rsid w:val="02544EC5"/>
    <w:rsid w:val="02A824AD"/>
    <w:rsid w:val="03F85185"/>
    <w:rsid w:val="048C4D9F"/>
    <w:rsid w:val="05A466AB"/>
    <w:rsid w:val="05A85A39"/>
    <w:rsid w:val="05BC5106"/>
    <w:rsid w:val="05CB19E4"/>
    <w:rsid w:val="05D0614D"/>
    <w:rsid w:val="05D06D02"/>
    <w:rsid w:val="05FA0758"/>
    <w:rsid w:val="060E1C21"/>
    <w:rsid w:val="06133FD9"/>
    <w:rsid w:val="06921B55"/>
    <w:rsid w:val="071512B2"/>
    <w:rsid w:val="07BA557B"/>
    <w:rsid w:val="07C1191B"/>
    <w:rsid w:val="093349FB"/>
    <w:rsid w:val="096A05DC"/>
    <w:rsid w:val="0A01466E"/>
    <w:rsid w:val="0A092A2D"/>
    <w:rsid w:val="0A953D17"/>
    <w:rsid w:val="0AC351F2"/>
    <w:rsid w:val="0AE75CE9"/>
    <w:rsid w:val="0B5133DC"/>
    <w:rsid w:val="0BD76226"/>
    <w:rsid w:val="0C640DEF"/>
    <w:rsid w:val="0C7978EB"/>
    <w:rsid w:val="0CA0370C"/>
    <w:rsid w:val="0CAF654F"/>
    <w:rsid w:val="0CDC778F"/>
    <w:rsid w:val="0CFE3B95"/>
    <w:rsid w:val="0D064AFD"/>
    <w:rsid w:val="0D087414"/>
    <w:rsid w:val="0D0E115E"/>
    <w:rsid w:val="0D33389B"/>
    <w:rsid w:val="0D4241A9"/>
    <w:rsid w:val="0DD006E0"/>
    <w:rsid w:val="0E1B4866"/>
    <w:rsid w:val="0F131DAA"/>
    <w:rsid w:val="0F132E0A"/>
    <w:rsid w:val="0F2773DF"/>
    <w:rsid w:val="105B5122"/>
    <w:rsid w:val="10CB6CDF"/>
    <w:rsid w:val="10D6470C"/>
    <w:rsid w:val="118C49D1"/>
    <w:rsid w:val="1212349F"/>
    <w:rsid w:val="1226066F"/>
    <w:rsid w:val="122E4051"/>
    <w:rsid w:val="125C12F5"/>
    <w:rsid w:val="127F6982"/>
    <w:rsid w:val="128D6FC9"/>
    <w:rsid w:val="12A00AF4"/>
    <w:rsid w:val="12F2507E"/>
    <w:rsid w:val="13CE119B"/>
    <w:rsid w:val="142E65C5"/>
    <w:rsid w:val="146D2C0E"/>
    <w:rsid w:val="14D44FB0"/>
    <w:rsid w:val="15023F0C"/>
    <w:rsid w:val="153E31ED"/>
    <w:rsid w:val="154D23DD"/>
    <w:rsid w:val="15B717F3"/>
    <w:rsid w:val="16B4157E"/>
    <w:rsid w:val="16DC5575"/>
    <w:rsid w:val="17702124"/>
    <w:rsid w:val="17DF301F"/>
    <w:rsid w:val="17E12F85"/>
    <w:rsid w:val="184F0509"/>
    <w:rsid w:val="18506ACF"/>
    <w:rsid w:val="18516BBD"/>
    <w:rsid w:val="187B396A"/>
    <w:rsid w:val="1982373B"/>
    <w:rsid w:val="19B942F7"/>
    <w:rsid w:val="19DD1E9C"/>
    <w:rsid w:val="1A2D43F3"/>
    <w:rsid w:val="1ABE6158"/>
    <w:rsid w:val="1AC96B8F"/>
    <w:rsid w:val="1ACB0145"/>
    <w:rsid w:val="1B4937CB"/>
    <w:rsid w:val="1BE532A6"/>
    <w:rsid w:val="1C094F3E"/>
    <w:rsid w:val="1C185FA6"/>
    <w:rsid w:val="1C3A189F"/>
    <w:rsid w:val="1C575230"/>
    <w:rsid w:val="1C5E643C"/>
    <w:rsid w:val="1C834A65"/>
    <w:rsid w:val="1DC80B4B"/>
    <w:rsid w:val="1E2353C7"/>
    <w:rsid w:val="1E4C6A7F"/>
    <w:rsid w:val="1E9D4A70"/>
    <w:rsid w:val="1EA106E4"/>
    <w:rsid w:val="1F3E1D77"/>
    <w:rsid w:val="1F841754"/>
    <w:rsid w:val="1FC579DF"/>
    <w:rsid w:val="200075F4"/>
    <w:rsid w:val="204A64FA"/>
    <w:rsid w:val="205E1FA5"/>
    <w:rsid w:val="20A76940"/>
    <w:rsid w:val="20A83C2A"/>
    <w:rsid w:val="20B125F9"/>
    <w:rsid w:val="21652ED5"/>
    <w:rsid w:val="21A13790"/>
    <w:rsid w:val="2207036D"/>
    <w:rsid w:val="22141EB4"/>
    <w:rsid w:val="229B4DEB"/>
    <w:rsid w:val="22E91DF4"/>
    <w:rsid w:val="23072F59"/>
    <w:rsid w:val="231D7F19"/>
    <w:rsid w:val="23796448"/>
    <w:rsid w:val="23953D3B"/>
    <w:rsid w:val="23D54BEF"/>
    <w:rsid w:val="24A96F54"/>
    <w:rsid w:val="24F746FE"/>
    <w:rsid w:val="2504553E"/>
    <w:rsid w:val="250C3B4E"/>
    <w:rsid w:val="251451CD"/>
    <w:rsid w:val="25670A84"/>
    <w:rsid w:val="257E33D4"/>
    <w:rsid w:val="25983C28"/>
    <w:rsid w:val="25E93F44"/>
    <w:rsid w:val="262B2929"/>
    <w:rsid w:val="266D5877"/>
    <w:rsid w:val="2673224A"/>
    <w:rsid w:val="269C5F46"/>
    <w:rsid w:val="26EB3E67"/>
    <w:rsid w:val="277638B8"/>
    <w:rsid w:val="27A72FB1"/>
    <w:rsid w:val="27AE408C"/>
    <w:rsid w:val="282109AF"/>
    <w:rsid w:val="297E21B4"/>
    <w:rsid w:val="29DA269C"/>
    <w:rsid w:val="29E467B7"/>
    <w:rsid w:val="29FB11CC"/>
    <w:rsid w:val="2A1543B9"/>
    <w:rsid w:val="2A445FAC"/>
    <w:rsid w:val="2ABC3DC2"/>
    <w:rsid w:val="2B87117D"/>
    <w:rsid w:val="2C1A1476"/>
    <w:rsid w:val="2CF21867"/>
    <w:rsid w:val="2D4E3625"/>
    <w:rsid w:val="2E6A7D67"/>
    <w:rsid w:val="2ECA4025"/>
    <w:rsid w:val="2EDB6F01"/>
    <w:rsid w:val="2F0623C1"/>
    <w:rsid w:val="2F137039"/>
    <w:rsid w:val="2FF42B2A"/>
    <w:rsid w:val="300527EC"/>
    <w:rsid w:val="309D73CE"/>
    <w:rsid w:val="3115220C"/>
    <w:rsid w:val="313A7EC4"/>
    <w:rsid w:val="31FB76DD"/>
    <w:rsid w:val="32CD429B"/>
    <w:rsid w:val="33355846"/>
    <w:rsid w:val="33C83DCD"/>
    <w:rsid w:val="34392946"/>
    <w:rsid w:val="35143A1A"/>
    <w:rsid w:val="351C000D"/>
    <w:rsid w:val="36C37C32"/>
    <w:rsid w:val="36F1077F"/>
    <w:rsid w:val="37B13334"/>
    <w:rsid w:val="39D40AB6"/>
    <w:rsid w:val="3A233BEC"/>
    <w:rsid w:val="3AF027AF"/>
    <w:rsid w:val="3C0E723C"/>
    <w:rsid w:val="3C64039E"/>
    <w:rsid w:val="3C711111"/>
    <w:rsid w:val="3C745E96"/>
    <w:rsid w:val="3CE97C43"/>
    <w:rsid w:val="3CFA2ABD"/>
    <w:rsid w:val="3D6F0EF6"/>
    <w:rsid w:val="3DA74E77"/>
    <w:rsid w:val="3DCE65CA"/>
    <w:rsid w:val="3DEC0266"/>
    <w:rsid w:val="3E2F503D"/>
    <w:rsid w:val="3E686E02"/>
    <w:rsid w:val="3EC139D3"/>
    <w:rsid w:val="3ED93093"/>
    <w:rsid w:val="3F23643C"/>
    <w:rsid w:val="3F4C2F9A"/>
    <w:rsid w:val="3FCF4895"/>
    <w:rsid w:val="3FEF6DC2"/>
    <w:rsid w:val="40187195"/>
    <w:rsid w:val="401F09B1"/>
    <w:rsid w:val="402937DB"/>
    <w:rsid w:val="40B432AC"/>
    <w:rsid w:val="40F6127B"/>
    <w:rsid w:val="41100EA9"/>
    <w:rsid w:val="414C3A28"/>
    <w:rsid w:val="41634F21"/>
    <w:rsid w:val="41863A79"/>
    <w:rsid w:val="41B97EF3"/>
    <w:rsid w:val="41C81664"/>
    <w:rsid w:val="41DC1A63"/>
    <w:rsid w:val="42106E36"/>
    <w:rsid w:val="43571FDC"/>
    <w:rsid w:val="43EC14F2"/>
    <w:rsid w:val="44077173"/>
    <w:rsid w:val="441B5933"/>
    <w:rsid w:val="446A7138"/>
    <w:rsid w:val="447D7074"/>
    <w:rsid w:val="4525393F"/>
    <w:rsid w:val="454B4961"/>
    <w:rsid w:val="46120993"/>
    <w:rsid w:val="462A43DE"/>
    <w:rsid w:val="46A936CA"/>
    <w:rsid w:val="46BB0670"/>
    <w:rsid w:val="471B72A7"/>
    <w:rsid w:val="47690E2D"/>
    <w:rsid w:val="47C5763D"/>
    <w:rsid w:val="48343063"/>
    <w:rsid w:val="484F7D5A"/>
    <w:rsid w:val="489D725F"/>
    <w:rsid w:val="493354CD"/>
    <w:rsid w:val="49504A11"/>
    <w:rsid w:val="49E8204B"/>
    <w:rsid w:val="49FC6C10"/>
    <w:rsid w:val="4A1049CB"/>
    <w:rsid w:val="4A4F1729"/>
    <w:rsid w:val="4B45108D"/>
    <w:rsid w:val="4B7D1E4D"/>
    <w:rsid w:val="4BDF30FA"/>
    <w:rsid w:val="4BE428AA"/>
    <w:rsid w:val="4C3978A6"/>
    <w:rsid w:val="4CD727A3"/>
    <w:rsid w:val="4CDB2104"/>
    <w:rsid w:val="4D306B49"/>
    <w:rsid w:val="4DAC7443"/>
    <w:rsid w:val="4DD059E1"/>
    <w:rsid w:val="4DE92356"/>
    <w:rsid w:val="4EF54406"/>
    <w:rsid w:val="4EF814A0"/>
    <w:rsid w:val="4F635CBD"/>
    <w:rsid w:val="5004411B"/>
    <w:rsid w:val="501A0857"/>
    <w:rsid w:val="5032019A"/>
    <w:rsid w:val="50DB1786"/>
    <w:rsid w:val="50DD2246"/>
    <w:rsid w:val="51123BF3"/>
    <w:rsid w:val="5116137C"/>
    <w:rsid w:val="513B5867"/>
    <w:rsid w:val="517A5834"/>
    <w:rsid w:val="51910813"/>
    <w:rsid w:val="51990D26"/>
    <w:rsid w:val="52755BF9"/>
    <w:rsid w:val="53000B16"/>
    <w:rsid w:val="53226CDE"/>
    <w:rsid w:val="5342169C"/>
    <w:rsid w:val="535E67B3"/>
    <w:rsid w:val="538057B3"/>
    <w:rsid w:val="53BD1B28"/>
    <w:rsid w:val="53E43F94"/>
    <w:rsid w:val="55436A98"/>
    <w:rsid w:val="5579695E"/>
    <w:rsid w:val="55B8083D"/>
    <w:rsid w:val="55B96661"/>
    <w:rsid w:val="55C10F8C"/>
    <w:rsid w:val="55F33D67"/>
    <w:rsid w:val="561E35FB"/>
    <w:rsid w:val="56B63AE3"/>
    <w:rsid w:val="57687A13"/>
    <w:rsid w:val="57990BC1"/>
    <w:rsid w:val="583F3E8F"/>
    <w:rsid w:val="58671099"/>
    <w:rsid w:val="58F702C5"/>
    <w:rsid w:val="59301A29"/>
    <w:rsid w:val="59AE21D5"/>
    <w:rsid w:val="59D10F62"/>
    <w:rsid w:val="5A136DE9"/>
    <w:rsid w:val="5AAB7C96"/>
    <w:rsid w:val="5B4A6C11"/>
    <w:rsid w:val="5B7C71A8"/>
    <w:rsid w:val="5C250EEF"/>
    <w:rsid w:val="5CC418D6"/>
    <w:rsid w:val="5CCF32D9"/>
    <w:rsid w:val="5ECD45B3"/>
    <w:rsid w:val="5F25363F"/>
    <w:rsid w:val="5F2B208D"/>
    <w:rsid w:val="5F9C2019"/>
    <w:rsid w:val="5FC04FA0"/>
    <w:rsid w:val="603451D7"/>
    <w:rsid w:val="60E61D3D"/>
    <w:rsid w:val="6230589F"/>
    <w:rsid w:val="62634DA7"/>
    <w:rsid w:val="62BC7BBE"/>
    <w:rsid w:val="62D022B3"/>
    <w:rsid w:val="62D23905"/>
    <w:rsid w:val="635041B4"/>
    <w:rsid w:val="63FF2D25"/>
    <w:rsid w:val="64484AAB"/>
    <w:rsid w:val="64835103"/>
    <w:rsid w:val="64F311AE"/>
    <w:rsid w:val="64F92CBC"/>
    <w:rsid w:val="6501544B"/>
    <w:rsid w:val="65590FBC"/>
    <w:rsid w:val="660364FC"/>
    <w:rsid w:val="66206BBF"/>
    <w:rsid w:val="668572D9"/>
    <w:rsid w:val="669742EA"/>
    <w:rsid w:val="678809D3"/>
    <w:rsid w:val="685F528E"/>
    <w:rsid w:val="688A32CD"/>
    <w:rsid w:val="69432FFF"/>
    <w:rsid w:val="69700DFD"/>
    <w:rsid w:val="69754DE8"/>
    <w:rsid w:val="6A0B07FE"/>
    <w:rsid w:val="6A165E44"/>
    <w:rsid w:val="6A287B7C"/>
    <w:rsid w:val="6AFD4FB4"/>
    <w:rsid w:val="6B20229A"/>
    <w:rsid w:val="6B4B4D6A"/>
    <w:rsid w:val="6B5A3C18"/>
    <w:rsid w:val="6C050995"/>
    <w:rsid w:val="6CB62952"/>
    <w:rsid w:val="6D251D43"/>
    <w:rsid w:val="6D367431"/>
    <w:rsid w:val="6DB1092B"/>
    <w:rsid w:val="6DB838A9"/>
    <w:rsid w:val="6DF66946"/>
    <w:rsid w:val="6E39488E"/>
    <w:rsid w:val="6F6D49E6"/>
    <w:rsid w:val="6F771D08"/>
    <w:rsid w:val="6FCC5BCB"/>
    <w:rsid w:val="6FEF001D"/>
    <w:rsid w:val="70396AC2"/>
    <w:rsid w:val="70476155"/>
    <w:rsid w:val="709014CD"/>
    <w:rsid w:val="70A00773"/>
    <w:rsid w:val="70E433CD"/>
    <w:rsid w:val="71CF3157"/>
    <w:rsid w:val="7206488F"/>
    <w:rsid w:val="7258787F"/>
    <w:rsid w:val="727442DD"/>
    <w:rsid w:val="72B85232"/>
    <w:rsid w:val="72DF78E4"/>
    <w:rsid w:val="73115DA6"/>
    <w:rsid w:val="737516C5"/>
    <w:rsid w:val="73882459"/>
    <w:rsid w:val="73886292"/>
    <w:rsid w:val="73D51936"/>
    <w:rsid w:val="73D96AEE"/>
    <w:rsid w:val="73EF00BF"/>
    <w:rsid w:val="73EF373A"/>
    <w:rsid w:val="74190C15"/>
    <w:rsid w:val="7420296E"/>
    <w:rsid w:val="745D70B1"/>
    <w:rsid w:val="74B411E1"/>
    <w:rsid w:val="755F74C6"/>
    <w:rsid w:val="758F1B5A"/>
    <w:rsid w:val="75D1171B"/>
    <w:rsid w:val="75F26453"/>
    <w:rsid w:val="765A55CE"/>
    <w:rsid w:val="76E41A45"/>
    <w:rsid w:val="771E6BF7"/>
    <w:rsid w:val="77CD482C"/>
    <w:rsid w:val="78463C60"/>
    <w:rsid w:val="786C470E"/>
    <w:rsid w:val="78737BD4"/>
    <w:rsid w:val="78AA0A59"/>
    <w:rsid w:val="79B85F2C"/>
    <w:rsid w:val="7A94551C"/>
    <w:rsid w:val="7AC66086"/>
    <w:rsid w:val="7AE65551"/>
    <w:rsid w:val="7B392744"/>
    <w:rsid w:val="7BD01955"/>
    <w:rsid w:val="7BEA052D"/>
    <w:rsid w:val="7C1903CF"/>
    <w:rsid w:val="7C3B7086"/>
    <w:rsid w:val="7C5A4544"/>
    <w:rsid w:val="7C7E0232"/>
    <w:rsid w:val="7C8E5457"/>
    <w:rsid w:val="7D627B54"/>
    <w:rsid w:val="7DE02F1E"/>
    <w:rsid w:val="7E187301"/>
    <w:rsid w:val="7E7D4695"/>
    <w:rsid w:val="7EE44735"/>
    <w:rsid w:val="7EEF7811"/>
    <w:rsid w:val="7F01514B"/>
    <w:rsid w:val="7FDE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s4"/>
    <w:basedOn w:val="7"/>
    <w:qFormat/>
    <w:uiPriority w:val="0"/>
  </w:style>
  <w:style w:type="character" w:customStyle="1" w:styleId="10">
    <w:name w:val="fontstyle21"/>
    <w:basedOn w:val="7"/>
    <w:qFormat/>
    <w:uiPriority w:val="0"/>
    <w:rPr>
      <w:rFonts w:hint="default" w:ascii="MyriadPro-Light" w:hAnsi="MyriadPro-Light"/>
      <w:color w:val="000000"/>
      <w:sz w:val="16"/>
      <w:szCs w:val="16"/>
    </w:rPr>
  </w:style>
  <w:style w:type="table" w:customStyle="1" w:styleId="11">
    <w:name w:val="table_template"/>
    <w:basedOn w:val="5"/>
    <w:qFormat/>
    <w:uiPriority w:val="59"/>
    <w:pPr>
      <w:jc w:val="right"/>
    </w:pPr>
    <w:rPr>
      <w:sz w:val="24"/>
      <w:szCs w:val="24"/>
      <w:lang w:eastAsia="en-US"/>
    </w:r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2">
    <w:name w:val="EndNote Bibliography"/>
    <w:basedOn w:val="1"/>
    <w:qFormat/>
    <w:uiPriority w:val="0"/>
    <w:rPr>
      <w:rFonts w:ascii="等线" w:hAnsi="等线" w:eastAsia="等线"/>
      <w:sz w:val="20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font31"/>
    <w:basedOn w:val="7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  <w:vertAlign w:val="subscript"/>
    </w:rPr>
  </w:style>
  <w:style w:type="character" w:customStyle="1" w:styleId="15">
    <w:name w:val="font41"/>
    <w:basedOn w:val="7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  <w:vertAlign w:val="subscript"/>
    </w:rPr>
  </w:style>
  <w:style w:type="character" w:customStyle="1" w:styleId="16">
    <w:name w:val="font21"/>
    <w:basedOn w:val="7"/>
    <w:qFormat/>
    <w:uiPriority w:val="0"/>
    <w:rPr>
      <w:rFonts w:hint="default" w:ascii="Times New Roman" w:hAnsi="Times New Roman" w:cs="Times New Roman"/>
      <w:color w:val="000000"/>
      <w:sz w:val="15"/>
      <w:szCs w:val="15"/>
      <w:u w:val="none"/>
    </w:rPr>
  </w:style>
  <w:style w:type="character" w:customStyle="1" w:styleId="17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tiff"/><Relationship Id="rId13" Type="http://schemas.openxmlformats.org/officeDocument/2006/relationships/image" Target="media/image9.tiff"/><Relationship Id="rId12" Type="http://schemas.openxmlformats.org/officeDocument/2006/relationships/image" Target="media/image8.tiff"/><Relationship Id="rId11" Type="http://schemas.openxmlformats.org/officeDocument/2006/relationships/image" Target="media/image7.png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1856</Words>
  <Characters>9839</Characters>
  <Lines>0</Lines>
  <Paragraphs>0</Paragraphs>
  <TotalTime>3</TotalTime>
  <ScaleCrop>false</ScaleCrop>
  <LinksUpToDate>false</LinksUpToDate>
  <CharactersWithSpaces>11549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2025-12-14T14:34:00Z</dcterms:created>
  <dc:creator>qq</dc:creator>
  <cp:lastModifiedBy>李珊</cp:lastModifiedBy>
  <dcterms:modified xsi:type="dcterms:W3CDTF">2026-05-19T06:29:36Z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eyJoZGlkIjoiMDA2YzAwODM0MzEwNTU2MjYxZjRlMjgxOGZlYjliMWMiLCJ1c2VySWQiOiI1MTA5NTE3ODcifQ==</vt:lpwstr>
  </property>
  <property fmtid="{D5CDD505-2E9C-101B-9397-08002B2CF9AE}" pid="4" name="ICV">
    <vt:lpwstr>DB55F5F26D5442E3ADBE4900A6F9F22C_13</vt:lpwstr>
  </property>
</Properties>
</file>