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C37" w:rsidRPr="00D76404" w:rsidRDefault="00822C37" w:rsidP="00822C37">
      <w:p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 xml:space="preserve">Additional file </w:t>
      </w:r>
    </w:p>
    <w:p w:rsidR="00822C37" w:rsidRPr="00D76404" w:rsidRDefault="00822C37" w:rsidP="00822C37">
      <w:pPr>
        <w:rPr>
          <w:rFonts w:ascii="Arial" w:hAnsi="Arial" w:cs="Arial"/>
          <w:b/>
          <w:bCs/>
          <w:lang w:val="en-GB"/>
        </w:rPr>
      </w:pPr>
    </w:p>
    <w:p w:rsidR="00822C37" w:rsidRPr="00D76404" w:rsidRDefault="00822C37" w:rsidP="00822C37">
      <w:pPr>
        <w:rPr>
          <w:rFonts w:ascii="Arial" w:hAnsi="Arial" w:cs="Arial"/>
          <w:b/>
          <w:bCs/>
          <w:lang w:val="en-GB"/>
        </w:rPr>
      </w:pPr>
      <w:bookmarkStart w:id="0" w:name="_Toc210570953"/>
      <w:r>
        <w:rPr>
          <w:rFonts w:ascii="Arial" w:hAnsi="Arial" w:cs="Arial"/>
          <w:b/>
          <w:bCs/>
          <w:lang w:val="en-GB"/>
        </w:rPr>
        <w:t>Supplementary T</w:t>
      </w:r>
      <w:r>
        <w:rPr>
          <w:rStyle w:val="Heading3Char"/>
          <w:rFonts w:ascii="Arial" w:hAnsi="Arial" w:cs="Arial"/>
          <w:b/>
          <w:bCs/>
          <w:color w:val="000000" w:themeColor="text1"/>
          <w:sz w:val="24"/>
          <w:szCs w:val="24"/>
          <w:lang w:val="en-GB"/>
        </w:rPr>
        <w:t>able 1. Characteristics of study participants</w:t>
      </w:r>
      <w:r>
        <w:rPr>
          <w:rFonts w:ascii="Arial" w:hAnsi="Arial" w:cs="Arial"/>
          <w:b/>
          <w:bCs/>
          <w:lang w:val="en-GB"/>
        </w:rPr>
        <w:t>.</w:t>
      </w:r>
      <w:bookmarkEnd w:id="0"/>
      <w:r>
        <w:rPr>
          <w:rFonts w:ascii="Arial" w:hAnsi="Arial" w:cs="Arial"/>
          <w:b/>
          <w:bCs/>
          <w:lang w:val="en-GB"/>
        </w:rPr>
        <w:t xml:space="preserve"> </w:t>
      </w:r>
    </w:p>
    <w:p w:rsidR="00822C37" w:rsidRPr="00D76404" w:rsidRDefault="00822C37" w:rsidP="00822C37">
      <w:pPr>
        <w:rPr>
          <w:rFonts w:ascii="Arial" w:hAnsi="Arial" w:cs="Arial"/>
          <w:b/>
          <w:bCs/>
          <w:lang w:val="en-GB"/>
        </w:rPr>
      </w:pPr>
    </w:p>
    <w:p w:rsidR="00822C37" w:rsidRDefault="00822C37" w:rsidP="00822C37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Case subjects n=286. Results are expressed in</w:t>
      </w:r>
      <w:r>
        <w:rPr>
          <w:rFonts w:ascii="Arial" w:hAnsi="Arial" w:cs="Arial"/>
          <w:b/>
          <w:bCs/>
          <w:lang w:val="en-GB"/>
        </w:rPr>
        <w:t xml:space="preserve"> </w:t>
      </w:r>
      <w:r>
        <w:rPr>
          <w:rFonts w:ascii="Arial" w:hAnsi="Arial" w:cs="Arial"/>
          <w:lang w:val="en-GB"/>
        </w:rPr>
        <w:t>mean ± SD and/or median and IQR (25</w:t>
      </w:r>
      <w:r>
        <w:rPr>
          <w:rFonts w:ascii="Arial" w:hAnsi="Arial" w:cs="Arial"/>
          <w:vertAlign w:val="superscript"/>
          <w:lang w:val="en-GB"/>
        </w:rPr>
        <w:t xml:space="preserve">th </w:t>
      </w:r>
      <w:r>
        <w:rPr>
          <w:rFonts w:ascii="Arial" w:hAnsi="Arial" w:cs="Arial"/>
          <w:lang w:val="en-GB"/>
        </w:rPr>
        <w:t>-</w:t>
      </w:r>
      <w:r>
        <w:rPr>
          <w:rFonts w:ascii="Arial" w:hAnsi="Arial" w:cs="Arial"/>
          <w:vertAlign w:val="superscript"/>
          <w:lang w:val="en-GB"/>
        </w:rPr>
        <w:t xml:space="preserve"> </w:t>
      </w:r>
      <w:r>
        <w:rPr>
          <w:rFonts w:ascii="Arial" w:hAnsi="Arial" w:cs="Arial"/>
          <w:lang w:val="en-GB"/>
        </w:rPr>
        <w:t>75</w:t>
      </w:r>
      <w:r>
        <w:rPr>
          <w:rFonts w:ascii="Arial" w:hAnsi="Arial" w:cs="Arial"/>
          <w:vertAlign w:val="superscript"/>
          <w:lang w:val="en-GB"/>
        </w:rPr>
        <w:t>th</w:t>
      </w:r>
      <w:r>
        <w:rPr>
          <w:rFonts w:ascii="Arial" w:hAnsi="Arial" w:cs="Arial"/>
          <w:lang w:val="en-GB"/>
        </w:rPr>
        <w:t>), except for sex, which is expressed as n (%). Duration of diabetes was assessed at the last clinical assessment. N.M. = not measured, N.A. = not applicable.</w:t>
      </w:r>
    </w:p>
    <w:p w:rsidR="00822C37" w:rsidRPr="00D76404" w:rsidRDefault="00822C37" w:rsidP="00822C37">
      <w:pPr>
        <w:spacing w:line="480" w:lineRule="auto"/>
        <w:jc w:val="both"/>
        <w:rPr>
          <w:rFonts w:ascii="Arial" w:hAnsi="Arial" w:cs="Arial"/>
          <w:lang w:val="en-GB"/>
        </w:rPr>
      </w:pPr>
    </w:p>
    <w:p w:rsidR="00822C37" w:rsidRPr="00D76404" w:rsidRDefault="00822C37" w:rsidP="00822C37">
      <w:pPr>
        <w:rPr>
          <w:rFonts w:ascii="Arial" w:hAnsi="Arial" w:cs="Arial"/>
          <w:lang w:val="en-GB"/>
        </w:rPr>
      </w:pPr>
    </w:p>
    <w:tbl>
      <w:tblPr>
        <w:tblW w:w="9642" w:type="dxa"/>
        <w:tblLook w:val="04A0" w:firstRow="1" w:lastRow="0" w:firstColumn="1" w:lastColumn="0" w:noHBand="0" w:noVBand="1"/>
      </w:tblPr>
      <w:tblGrid>
        <w:gridCol w:w="2268"/>
        <w:gridCol w:w="1901"/>
        <w:gridCol w:w="1785"/>
        <w:gridCol w:w="1943"/>
        <w:gridCol w:w="1745"/>
      </w:tblGrid>
      <w:tr w:rsidR="00822C37" w:rsidRPr="004C2814" w:rsidTr="002C01A0">
        <w:trPr>
          <w:trHeight w:val="522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bookmarkStart w:id="1" w:name="_GoBack"/>
            <w:bookmarkEnd w:id="1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 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b/>
                <w:bCs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  <w:lang w:val="en-GB"/>
              </w:rPr>
              <w:t>At diabetes onset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en-GB"/>
              </w:rPr>
              <w:t>At first clinical assessment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en-GB"/>
              </w:rPr>
              <w:t>At last clinical assessment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val="en-GB"/>
              </w:rPr>
              <w:t>General information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Female sex (n) 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132 (46.15) 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sz w:val="19"/>
                <w:szCs w:val="19"/>
                <w:lang w:val="en-GB"/>
              </w:rPr>
              <w:t>Annual clinical assessments (n)</w:t>
            </w: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 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4.90 ± 3.12  </w:t>
            </w:r>
          </w:p>
        </w:tc>
      </w:tr>
      <w:tr w:rsidR="00822C37" w:rsidRPr="004C2814" w:rsidTr="002C01A0">
        <w:trPr>
          <w:trHeight w:val="285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Age at diabetes onset (years) 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78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9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7.64 ± 3.82 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78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 xml:space="preserve">7.57 </w:t>
            </w:r>
          </w:p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(4.74 - 10.55) 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Duration of diabetes (years)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78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9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6.68 ± 4.52 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78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 xml:space="preserve">6.19 </w:t>
            </w:r>
          </w:p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(2.90 - 9.58) 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BMI (kg/m</w:t>
            </w:r>
            <w:r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val="en-GB"/>
              </w:rPr>
              <w:t>2</w:t>
            </w: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)  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16.27 ± 3.53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18.47 ± 3.29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21.11 ± 3.79 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 xml:space="preserve">15.35 </w:t>
            </w:r>
          </w:p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(14.05 - 17.33)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 xml:space="preserve">17.80 </w:t>
            </w:r>
          </w:p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(16.12 - 20.11)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 xml:space="preserve">20.85 </w:t>
            </w:r>
          </w:p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(18.26 - 23.73) </w:t>
            </w: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HbA1c (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mmol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mol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)  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101.15 ± 26.01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66.38 ± 15.25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67.45 ± 12.62 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 xml:space="preserve">100.15 </w:t>
            </w:r>
          </w:p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lastRenderedPageBreak/>
              <w:t>(83.80-116.33)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lastRenderedPageBreak/>
              <w:t xml:space="preserve">64.80 </w:t>
            </w:r>
          </w:p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lastRenderedPageBreak/>
              <w:t>(57.80 -72.70)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lastRenderedPageBreak/>
              <w:t xml:space="preserve">65.50 </w:t>
            </w:r>
          </w:p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lastRenderedPageBreak/>
              <w:t>(59.65 - 75.40) </w:t>
            </w: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HbA1c (%)  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11.23 ± 2.31 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8.20 ± 1.27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8.63 ± 1.57 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 xml:space="preserve">11.20 </w:t>
            </w:r>
          </w:p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(9.80 - 12.50)  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 xml:space="preserve">8.00 </w:t>
            </w:r>
          </w:p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(7.40 - 8.78)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 xml:space="preserve">8.30 </w:t>
            </w:r>
          </w:p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(7.60 - 9.30) </w:t>
            </w: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Lipoprotein (a) (mg/L) 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N.M.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236.93 ± 288.46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233.56 ± 293.68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 xml:space="preserve">107.50 </w:t>
            </w:r>
          </w:p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(41.25 - 312.75)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 xml:space="preserve">108.00 </w:t>
            </w:r>
          </w:p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(43.00 - 310.50) </w:t>
            </w: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Total cholesterol (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mM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) 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N.M.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4.35 ± 0.86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4.33 ± 0.90 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ind w:right="-176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4.20 (3.74 - 4.90)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4.20 (3.74 - 4.88) </w:t>
            </w: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LDL (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mM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) 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N.M.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2.40 ± 0.77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2.31 ± 0.73 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2.27 (1.85 - 2.82)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2.19 (1.78 - 2.81) </w:t>
            </w: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HDL (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mM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) 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N.M.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1.68 ± 0.43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1.64 ± 0.38 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1.66 (1.40 - 1.91)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1.59 (1.41 - 1.89) </w:t>
            </w: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Triglycerides (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mM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) 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N.M.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0.62 ± 0.34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0.80 ± 0.50 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0.54 (0.42 - 0.69)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0.65 (0.54 - 0.90) </w:t>
            </w: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Insulin dose (U/kg/d) </w:t>
            </w:r>
          </w:p>
        </w:tc>
        <w:tc>
          <w:tcPr>
            <w:tcW w:w="19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N.M.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0.72 ± 0.244 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0.89 ± 0.28 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N.A.</w:t>
            </w:r>
          </w:p>
        </w:tc>
      </w:tr>
      <w:tr w:rsidR="00822C37" w:rsidRPr="004C2814" w:rsidTr="002C01A0">
        <w:trPr>
          <w:trHeight w:val="356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90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0.70 (0.57 - 0.85)  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  <w:t>0.86 (0.70 - 1.07) </w:t>
            </w: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22C37" w:rsidRPr="004C2814" w:rsidRDefault="00822C37" w:rsidP="002C01A0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  <w:lang w:val="en-GB"/>
              </w:rPr>
            </w:pPr>
          </w:p>
        </w:tc>
      </w:tr>
    </w:tbl>
    <w:p w:rsidR="00822C37" w:rsidRPr="00D76404" w:rsidRDefault="00822C37" w:rsidP="00822C37">
      <w:pPr>
        <w:spacing w:line="480" w:lineRule="auto"/>
        <w:jc w:val="both"/>
        <w:rPr>
          <w:rFonts w:ascii="Arial" w:hAnsi="Arial" w:cs="Arial"/>
          <w:lang w:val="en-GB"/>
        </w:rPr>
      </w:pPr>
    </w:p>
    <w:p w:rsidR="00822C37" w:rsidRPr="00D76404" w:rsidRDefault="00822C37" w:rsidP="00822C37">
      <w:pPr>
        <w:spacing w:line="480" w:lineRule="auto"/>
        <w:jc w:val="both"/>
        <w:rPr>
          <w:rFonts w:ascii="Arial" w:hAnsi="Arial" w:cs="Arial"/>
          <w:lang w:val="en-GB"/>
        </w:rPr>
      </w:pPr>
    </w:p>
    <w:p w:rsidR="00822C37" w:rsidRPr="00D76404" w:rsidRDefault="00822C37" w:rsidP="00822C37">
      <w:pPr>
        <w:tabs>
          <w:tab w:val="left" w:pos="1985"/>
        </w:tabs>
        <w:spacing w:line="480" w:lineRule="auto"/>
        <w:jc w:val="both"/>
        <w:rPr>
          <w:rFonts w:ascii="Arial" w:hAnsi="Arial" w:cs="Arial"/>
          <w:lang w:val="en-GB"/>
        </w:rPr>
      </w:pPr>
    </w:p>
    <w:p w:rsidR="00822C37" w:rsidRPr="00D76404" w:rsidRDefault="00822C37" w:rsidP="00822C37">
      <w:pPr>
        <w:spacing w:line="278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:rsidR="00822C37" w:rsidRPr="00D76404" w:rsidRDefault="00822C37" w:rsidP="00822C37">
      <w:pPr>
        <w:spacing w:line="480" w:lineRule="auto"/>
        <w:rPr>
          <w:lang w:val="en-GB"/>
        </w:rPr>
      </w:pPr>
      <w:r>
        <w:rPr>
          <w:rFonts w:ascii="Arial" w:hAnsi="Arial" w:cs="Arial"/>
          <w:b/>
          <w:bCs/>
          <w:lang w:val="en-GB"/>
        </w:rPr>
        <w:lastRenderedPageBreak/>
        <w:t xml:space="preserve">Supplemental Figures </w:t>
      </w:r>
    </w:p>
    <w:p w:rsidR="00822C37" w:rsidRPr="00D76404" w:rsidRDefault="00822C37" w:rsidP="00822C37">
      <w:pPr>
        <w:pStyle w:val="Bibliography"/>
        <w:spacing w:line="480" w:lineRule="auto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color w:val="000000"/>
          <w:lang w:val="en-GB"/>
        </w:rPr>
        <w:t xml:space="preserve">Fig. S1. </w:t>
      </w:r>
      <w:r>
        <w:rPr>
          <w:rFonts w:ascii="Arial" w:hAnsi="Arial" w:cs="Arial"/>
          <w:b/>
          <w:bCs/>
          <w:lang w:val="en-GB"/>
        </w:rPr>
        <w:t xml:space="preserve">Correlation between </w:t>
      </w:r>
      <w:proofErr w:type="spellStart"/>
      <w:proofErr w:type="gramStart"/>
      <w:r>
        <w:rPr>
          <w:rFonts w:ascii="Arial" w:hAnsi="Arial" w:cs="Arial"/>
          <w:b/>
          <w:bCs/>
          <w:lang w:val="en-GB"/>
        </w:rPr>
        <w:t>Lp</w:t>
      </w:r>
      <w:proofErr w:type="spellEnd"/>
      <w:r>
        <w:rPr>
          <w:rFonts w:ascii="Arial" w:hAnsi="Arial" w:cs="Arial"/>
          <w:b/>
          <w:bCs/>
          <w:lang w:val="en-GB"/>
        </w:rPr>
        <w:t>(</w:t>
      </w:r>
      <w:proofErr w:type="gramEnd"/>
      <w:r>
        <w:rPr>
          <w:rFonts w:ascii="Arial" w:hAnsi="Arial" w:cs="Arial"/>
          <w:b/>
          <w:bCs/>
          <w:lang w:val="en-GB"/>
        </w:rPr>
        <w:t>a) and HbA1c levels</w:t>
      </w:r>
    </w:p>
    <w:p w:rsidR="00822C37" w:rsidRPr="00D76404" w:rsidRDefault="00822C37" w:rsidP="00822C37">
      <w:pPr>
        <w:rPr>
          <w:lang w:val="en-GB"/>
        </w:rPr>
      </w:pPr>
      <w:r>
        <w:rPr>
          <w:noProof/>
          <w:lang w:eastAsia="en-IN"/>
          <w14:ligatures w14:val="standardContextual"/>
        </w:rPr>
        <w:drawing>
          <wp:inline distT="0" distB="0" distL="0" distR="0" wp14:anchorId="745DFD38" wp14:editId="54C8339F">
            <wp:extent cx="3825551" cy="3743808"/>
            <wp:effectExtent l="0" t="0" r="0" b="0"/>
            <wp:docPr id="138329954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299546" name="Picture 13832995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31225" cy="374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C37" w:rsidRPr="00D76404" w:rsidRDefault="00822C37" w:rsidP="00822C37">
      <w:pPr>
        <w:rPr>
          <w:lang w:val="en-GB"/>
        </w:rPr>
      </w:pPr>
    </w:p>
    <w:p w:rsidR="00822C37" w:rsidRPr="00D76404" w:rsidRDefault="00822C37" w:rsidP="00822C37">
      <w:pPr>
        <w:rPr>
          <w:lang w:val="en-GB"/>
        </w:rPr>
      </w:pPr>
    </w:p>
    <w:p w:rsidR="00822C37" w:rsidRPr="00D76404" w:rsidRDefault="00822C37" w:rsidP="00822C37">
      <w:pPr>
        <w:rPr>
          <w:lang w:val="en-GB"/>
        </w:rPr>
      </w:pPr>
    </w:p>
    <w:p w:rsidR="00822C37" w:rsidRPr="00D76404" w:rsidRDefault="00822C37" w:rsidP="00822C37">
      <w:pPr>
        <w:rPr>
          <w:lang w:val="en-GB"/>
        </w:rPr>
      </w:pPr>
    </w:p>
    <w:p w:rsidR="00822C37" w:rsidRPr="00D76404" w:rsidRDefault="00822C37" w:rsidP="00822C37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Fig.S1: Correlation between </w:t>
      </w:r>
      <w:proofErr w:type="spellStart"/>
      <w:proofErr w:type="gramStart"/>
      <w:r>
        <w:rPr>
          <w:rFonts w:ascii="Arial" w:hAnsi="Arial" w:cs="Arial"/>
          <w:lang w:val="en-GB"/>
        </w:rPr>
        <w:t>Lp</w:t>
      </w:r>
      <w:proofErr w:type="spellEnd"/>
      <w:r>
        <w:rPr>
          <w:rFonts w:ascii="Arial" w:hAnsi="Arial" w:cs="Arial"/>
          <w:lang w:val="en-GB"/>
        </w:rPr>
        <w:t>(</w:t>
      </w:r>
      <w:proofErr w:type="gramEnd"/>
      <w:r>
        <w:rPr>
          <w:rFonts w:ascii="Arial" w:hAnsi="Arial" w:cs="Arial"/>
          <w:lang w:val="en-GB"/>
        </w:rPr>
        <w:t xml:space="preserve">a) and HbA1c (participant median values). Each point represents one participant's median log-transformed </w:t>
      </w:r>
      <w:proofErr w:type="spellStart"/>
      <w:proofErr w:type="gramStart"/>
      <w:r>
        <w:rPr>
          <w:rFonts w:ascii="Arial" w:hAnsi="Arial" w:cs="Arial"/>
          <w:lang w:val="en-GB"/>
        </w:rPr>
        <w:t>Lp</w:t>
      </w:r>
      <w:proofErr w:type="spellEnd"/>
      <w:r>
        <w:rPr>
          <w:rFonts w:ascii="Arial" w:hAnsi="Arial" w:cs="Arial"/>
          <w:lang w:val="en-GB"/>
        </w:rPr>
        <w:t>(</w:t>
      </w:r>
      <w:proofErr w:type="gramEnd"/>
      <w:r>
        <w:rPr>
          <w:rFonts w:ascii="Arial" w:hAnsi="Arial" w:cs="Arial"/>
          <w:lang w:val="en-GB"/>
        </w:rPr>
        <w:t>a) and median HbA1c. Pearson and Kendall correlation coefficients are shown.</w:t>
      </w:r>
    </w:p>
    <w:p w:rsidR="00822C37" w:rsidRPr="00D76404" w:rsidRDefault="00822C37" w:rsidP="00822C37">
      <w:pPr>
        <w:rPr>
          <w:lang w:val="en-GB"/>
        </w:rPr>
      </w:pPr>
    </w:p>
    <w:p w:rsidR="00822C37" w:rsidRPr="00D76404" w:rsidRDefault="00822C37" w:rsidP="00822C37">
      <w:pPr>
        <w:rPr>
          <w:lang w:val="en-GB"/>
        </w:rPr>
      </w:pPr>
    </w:p>
    <w:p w:rsidR="00822C37" w:rsidRPr="00D76404" w:rsidRDefault="00822C37" w:rsidP="00822C37">
      <w:pPr>
        <w:rPr>
          <w:lang w:val="en-GB"/>
        </w:rPr>
      </w:pPr>
    </w:p>
    <w:p w:rsidR="00822C37" w:rsidRPr="00D76404" w:rsidRDefault="00822C37" w:rsidP="00822C37">
      <w:pPr>
        <w:rPr>
          <w:lang w:val="en-GB"/>
        </w:rPr>
      </w:pPr>
    </w:p>
    <w:p w:rsidR="00822C37" w:rsidRPr="00D76404" w:rsidRDefault="00822C37" w:rsidP="00822C37">
      <w:pPr>
        <w:rPr>
          <w:lang w:val="en-GB"/>
        </w:rPr>
      </w:pPr>
    </w:p>
    <w:p w:rsidR="00822C37" w:rsidRPr="00D76404" w:rsidRDefault="00822C37" w:rsidP="00822C37">
      <w:pPr>
        <w:jc w:val="right"/>
        <w:rPr>
          <w:lang w:val="en-GB"/>
        </w:rPr>
      </w:pPr>
    </w:p>
    <w:p w:rsidR="00822C37" w:rsidRPr="00D76404" w:rsidRDefault="00822C37" w:rsidP="00822C37">
      <w:pPr>
        <w:jc w:val="right"/>
        <w:rPr>
          <w:lang w:val="en-GB"/>
        </w:rPr>
      </w:pPr>
    </w:p>
    <w:p w:rsidR="00822C37" w:rsidRPr="00D76404" w:rsidRDefault="00822C37" w:rsidP="00822C37">
      <w:pPr>
        <w:jc w:val="right"/>
        <w:rPr>
          <w:lang w:val="en-GB"/>
        </w:rPr>
      </w:pPr>
    </w:p>
    <w:p w:rsidR="00822C37" w:rsidRPr="00D76404" w:rsidRDefault="00822C37" w:rsidP="00822C37">
      <w:pPr>
        <w:jc w:val="right"/>
        <w:rPr>
          <w:lang w:val="en-GB"/>
        </w:rPr>
      </w:pPr>
    </w:p>
    <w:p w:rsidR="00822C37" w:rsidRPr="00D76404" w:rsidRDefault="00822C37" w:rsidP="00822C37">
      <w:pPr>
        <w:jc w:val="right"/>
        <w:rPr>
          <w:lang w:val="en-GB"/>
        </w:rPr>
      </w:pPr>
    </w:p>
    <w:p w:rsidR="00822C37" w:rsidRPr="00D76404" w:rsidRDefault="00822C37" w:rsidP="00822C37">
      <w:pPr>
        <w:rPr>
          <w:lang w:val="en-GB"/>
        </w:rPr>
      </w:pPr>
      <w:r>
        <w:rPr>
          <w:lang w:val="en-GB"/>
        </w:rPr>
        <w:br w:type="page"/>
      </w:r>
    </w:p>
    <w:p w:rsidR="00822C37" w:rsidRPr="00D76404" w:rsidRDefault="00822C37" w:rsidP="00822C37">
      <w:pPr>
        <w:spacing w:line="480" w:lineRule="auto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lastRenderedPageBreak/>
        <w:t xml:space="preserve">Fig. S2: Fraction of patients doubling their </w:t>
      </w:r>
      <w:proofErr w:type="spellStart"/>
      <w:proofErr w:type="gramStart"/>
      <w:r>
        <w:rPr>
          <w:rFonts w:ascii="Arial" w:hAnsi="Arial" w:cs="Arial"/>
          <w:b/>
          <w:bCs/>
          <w:lang w:val="en-GB"/>
        </w:rPr>
        <w:t>Lp</w:t>
      </w:r>
      <w:proofErr w:type="spellEnd"/>
      <w:r>
        <w:rPr>
          <w:rFonts w:ascii="Arial" w:hAnsi="Arial" w:cs="Arial"/>
          <w:b/>
          <w:bCs/>
          <w:lang w:val="en-GB"/>
        </w:rPr>
        <w:t>(</w:t>
      </w:r>
      <w:proofErr w:type="gramEnd"/>
      <w:r>
        <w:rPr>
          <w:rFonts w:ascii="Arial" w:hAnsi="Arial" w:cs="Arial"/>
          <w:b/>
          <w:bCs/>
          <w:lang w:val="en-GB"/>
        </w:rPr>
        <w:t>a) level</w:t>
      </w:r>
    </w:p>
    <w:p w:rsidR="00822C37" w:rsidRPr="00D76404" w:rsidRDefault="00822C37" w:rsidP="00822C37">
      <w:pPr>
        <w:spacing w:line="480" w:lineRule="auto"/>
        <w:rPr>
          <w:lang w:val="en-GB"/>
        </w:rPr>
      </w:pPr>
      <w:r>
        <w:rPr>
          <w:noProof/>
          <w:lang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71325B" wp14:editId="54A58D7F">
                <wp:simplePos x="0" y="0"/>
                <wp:positionH relativeFrom="column">
                  <wp:posOffset>42202</wp:posOffset>
                </wp:positionH>
                <wp:positionV relativeFrom="paragraph">
                  <wp:posOffset>78545</wp:posOffset>
                </wp:positionV>
                <wp:extent cx="323557" cy="267286"/>
                <wp:effectExtent l="0" t="0" r="0" b="0"/>
                <wp:wrapNone/>
                <wp:docPr id="150946238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557" cy="2672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22C37" w:rsidRPr="00084D38" w:rsidRDefault="00822C37" w:rsidP="00822C37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1325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.3pt;margin-top:6.2pt;width:25.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" fillcolor="white [3201]" stroked="f" strokeweight=".5pt">
                <v:textbox>
                  <w:txbxContent>
                    <w:p w:rsidR="00822C37" w:rsidRPr="00084D38" w:rsidRDefault="00822C37" w:rsidP="00822C37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322311" wp14:editId="14782C87">
                <wp:simplePos x="0" y="0"/>
                <wp:positionH relativeFrom="column">
                  <wp:posOffset>2511083</wp:posOffset>
                </wp:positionH>
                <wp:positionV relativeFrom="paragraph">
                  <wp:posOffset>78545</wp:posOffset>
                </wp:positionV>
                <wp:extent cx="276860" cy="274320"/>
                <wp:effectExtent l="0" t="0" r="2540" b="5080"/>
                <wp:wrapNone/>
                <wp:docPr id="9281501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22C37" w:rsidRPr="00084D38" w:rsidRDefault="00822C37" w:rsidP="00822C37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BBBB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22311" id="_x0000_s1027" type="#_x0000_t202" style="position:absolute;margin-left:197.7pt;margin-top:6.2pt;width:21.8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" fillcolor="white [3201]" stroked="f" strokeweight=".5pt">
                <v:textbox>
                  <w:txbxContent>
                    <w:p w:rsidR="00822C37" w:rsidRPr="00084D38" w:rsidRDefault="00822C37" w:rsidP="00822C37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BBBB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0F981" wp14:editId="7A80A81F">
                <wp:simplePos x="0" y="0"/>
                <wp:positionH relativeFrom="column">
                  <wp:posOffset>2289975</wp:posOffset>
                </wp:positionH>
                <wp:positionV relativeFrom="paragraph">
                  <wp:posOffset>349195</wp:posOffset>
                </wp:positionV>
                <wp:extent cx="3919993" cy="2234316"/>
                <wp:effectExtent l="0" t="0" r="4445" b="1270"/>
                <wp:wrapNone/>
                <wp:docPr id="81334384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9993" cy="22343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22C37" w:rsidRPr="002D7961" w:rsidRDefault="00822C37" w:rsidP="00822C37">
                            <w:pPr>
                              <w:ind w:left="-142" w:firstLine="142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lang w:eastAsia="en-IN"/>
                                <w14:ligatures w14:val="standardContextual"/>
                              </w:rPr>
                              <w:drawing>
                                <wp:inline distT="0" distB="0" distL="0" distR="0" wp14:anchorId="51821A49" wp14:editId="07374760">
                                  <wp:extent cx="3730625" cy="2095500"/>
                                  <wp:effectExtent l="0" t="0" r="3175" b="0"/>
                                  <wp:docPr id="1120871135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0871135" name="Picture 1120871135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30625" cy="2095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0F981" id="Text Box 3" o:spid="_x0000_s1028" type="#_x0000_t202" style="position:absolute;margin-left:180.3pt;margin-top:27.5pt;width:308.65pt;height:17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" fillcolor="white [3201]" stroked="f" strokeweight=".5pt">
                <v:textbox>
                  <w:txbxContent>
                    <w:p w:rsidR="00822C37" w:rsidRPr="002D7961" w:rsidRDefault="00822C37" w:rsidP="00822C37">
                      <w:pPr>
                        <w:ind w:left="-142" w:firstLine="142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noProof/>
                          <w:lang w:eastAsia="en-IN"/>
                          <w14:ligatures w14:val="standardContextual"/>
                        </w:rPr>
                        <w:drawing>
                          <wp:inline distT="0" distB="0" distL="0" distR="0" wp14:anchorId="51821A49" wp14:editId="07374760">
                            <wp:extent cx="3730625" cy="2095500"/>
                            <wp:effectExtent l="0" t="0" r="3175" b="0"/>
                            <wp:docPr id="1120871135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0871135" name="Picture 1120871135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30625" cy="2095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22C37" w:rsidRDefault="00822C37" w:rsidP="00822C37">
      <w:pPr>
        <w:ind w:left="-142"/>
        <w:rPr>
          <w:noProof/>
          <w:lang w:val="en-GB"/>
        </w:rPr>
      </w:pPr>
      <w:r>
        <w:rPr>
          <w:noProof/>
          <w:lang w:eastAsia="en-IN"/>
          <w14:ligatures w14:val="standardContextual"/>
        </w:rPr>
        <w:drawing>
          <wp:inline distT="0" distB="0" distL="0" distR="0" wp14:anchorId="34BE9A6F" wp14:editId="0F3760D4">
            <wp:extent cx="2180492" cy="2055750"/>
            <wp:effectExtent l="0" t="0" r="4445" b="1905"/>
            <wp:docPr id="19260001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000197" name="Picture 192600019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6357" cy="2117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C37" w:rsidRPr="00D76404" w:rsidRDefault="00822C37" w:rsidP="00822C37">
      <w:pPr>
        <w:rPr>
          <w:noProof/>
          <w:lang w:val="en-GB"/>
        </w:rPr>
      </w:pPr>
    </w:p>
    <w:p w:rsidR="00822C37" w:rsidRPr="001840EE" w:rsidRDefault="00822C37" w:rsidP="00822C37">
      <w:pPr>
        <w:pStyle w:val="Caption"/>
        <w:spacing w:line="480" w:lineRule="auto"/>
        <w:jc w:val="both"/>
        <w:rPr>
          <w:rFonts w:ascii="Arial" w:hAnsi="Arial" w:cs="Arial"/>
          <w:i w:val="0"/>
          <w:iCs w:val="0"/>
          <w:color w:val="000000" w:themeColor="text1"/>
          <w:sz w:val="24"/>
          <w:szCs w:val="24"/>
          <w:lang w:val="en-GB"/>
        </w:rPr>
      </w:pPr>
      <w:r>
        <w:rPr>
          <w:rFonts w:ascii="Arial" w:hAnsi="Arial" w:cs="Arial"/>
          <w:i w:val="0"/>
          <w:iCs w:val="0"/>
          <w:sz w:val="24"/>
          <w:szCs w:val="24"/>
          <w:lang w:val="en-GB"/>
        </w:rPr>
        <w:t xml:space="preserve">Fig.S2: </w:t>
      </w:r>
      <w:r>
        <w:rPr>
          <w:rFonts w:ascii="Arial" w:hAnsi="Arial" w:cs="Arial"/>
          <w:b/>
          <w:bCs/>
          <w:i w:val="0"/>
          <w:iCs w:val="0"/>
          <w:sz w:val="24"/>
          <w:szCs w:val="24"/>
          <w:lang w:val="en-GB"/>
        </w:rPr>
        <w:t>A</w:t>
      </w:r>
      <w:r>
        <w:rPr>
          <w:rFonts w:ascii="Arial" w:hAnsi="Arial" w:cs="Arial"/>
          <w:i w:val="0"/>
          <w:iCs w:val="0"/>
          <w:sz w:val="24"/>
          <w:szCs w:val="24"/>
          <w:lang w:val="en-GB"/>
        </w:rPr>
        <w:t xml:space="preserve">: </w:t>
      </w:r>
      <w:r w:rsidRPr="001840E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 xml:space="preserve">Intraindividual </w:t>
      </w:r>
      <w:proofErr w:type="gramStart"/>
      <w:r w:rsidRPr="001840E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Lp(</w:t>
      </w:r>
      <w:proofErr w:type="gramEnd"/>
      <w:r w:rsidRPr="001840EE">
        <w:rPr>
          <w:rFonts w:ascii="Arial" w:hAnsi="Arial" w:cs="Arial"/>
          <w:i w:val="0"/>
          <w:iCs w:val="0"/>
          <w:color w:val="000000" w:themeColor="text1"/>
          <w:sz w:val="24"/>
          <w:szCs w:val="24"/>
        </w:rPr>
        <w:t>a) variability in 235 patients with ≥2 measurements. Each point represents one patient, plotted by personal minimum versus maximum observed Lp(a) value (log-scaled axes). The dashed diagonal line indicates where the minimum equals half the maximum; points below the line represent patients with a ≥2-fold intraindividual range. Overall, 75/235 patients (32%) met this criterion. Similar proportions (32–38%, accompanying table) were observed after restricting the analysis to patients with higher personal maximum Lp(a) levels (≥300, ≥500, and ≥1000 mg/L), indicating that the variability was not driven by low absolute values. Triangles: male; red symbols: female.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3"/>
        <w:gridCol w:w="2343"/>
        <w:gridCol w:w="2426"/>
        <w:gridCol w:w="904"/>
      </w:tblGrid>
      <w:tr w:rsidR="00822C37" w:rsidTr="002C01A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Personal maximum </w:t>
            </w:r>
            <w:proofErr w:type="spellStart"/>
            <w:r>
              <w:rPr>
                <w:rFonts w:ascii="Arial" w:hAnsi="Arial" w:cs="Arial"/>
                <w:b/>
                <w:bCs/>
                <w:sz w:val="21"/>
                <w:szCs w:val="21"/>
              </w:rPr>
              <w:t>Lp</w:t>
            </w:r>
            <w:proofErr w:type="spellEnd"/>
            <w:r>
              <w:rPr>
                <w:rFonts w:ascii="Arial" w:hAnsi="Arial" w:cs="Arial"/>
                <w:b/>
                <w:bCs/>
                <w:sz w:val="21"/>
                <w:szCs w:val="21"/>
              </w:rPr>
              <w:t>(a) threshold (mg/L)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Patients above threshold (n)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Patients with ≥2-fold range (n)</w:t>
            </w:r>
          </w:p>
        </w:tc>
        <w:tc>
          <w:tcPr>
            <w:tcW w:w="0" w:type="auto"/>
            <w:vAlign w:val="center"/>
            <w:hideMark/>
          </w:tcPr>
          <w:p w:rsidR="00822C37" w:rsidRDefault="00822C37" w:rsidP="002C01A0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Fraction</w:t>
            </w:r>
          </w:p>
          <w:p w:rsidR="00822C37" w:rsidRPr="00DF00F6" w:rsidRDefault="00822C37" w:rsidP="002C01A0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22C37" w:rsidTr="002C0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None (full cohort)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235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31.9%</w:t>
            </w:r>
          </w:p>
        </w:tc>
      </w:tr>
      <w:tr w:rsidR="00822C37" w:rsidTr="002C0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≥70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176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37.5%</w:t>
            </w:r>
          </w:p>
        </w:tc>
      </w:tr>
      <w:tr w:rsidR="00822C37" w:rsidTr="002C0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≥300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35.4%</w:t>
            </w:r>
          </w:p>
        </w:tc>
      </w:tr>
      <w:tr w:rsidR="00822C37" w:rsidTr="002C01A0">
        <w:trPr>
          <w:tblCellSpacing w:w="15" w:type="dxa"/>
        </w:trPr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≥500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822C37" w:rsidRPr="00DF00F6" w:rsidRDefault="00822C37" w:rsidP="002C01A0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33.3%</w:t>
            </w:r>
          </w:p>
        </w:tc>
      </w:tr>
    </w:tbl>
    <w:p w:rsidR="00822C37" w:rsidRPr="00D76404" w:rsidRDefault="00822C37" w:rsidP="00822C37">
      <w:pPr>
        <w:tabs>
          <w:tab w:val="left" w:pos="2585"/>
        </w:tabs>
        <w:rPr>
          <w:rFonts w:ascii="Arial" w:hAnsi="Arial" w:cs="Arial"/>
          <w:lang w:val="en-GB"/>
        </w:rPr>
      </w:pPr>
    </w:p>
    <w:p w:rsidR="00822C37" w:rsidRPr="00D76404" w:rsidRDefault="00822C37" w:rsidP="00822C37">
      <w:pPr>
        <w:tabs>
          <w:tab w:val="left" w:pos="2585"/>
        </w:tabs>
        <w:rPr>
          <w:rFonts w:ascii="Arial" w:hAnsi="Arial" w:cs="Arial"/>
          <w:lang w:val="en-GB"/>
        </w:rPr>
      </w:pPr>
    </w:p>
    <w:p w:rsidR="00822C37" w:rsidRPr="006B2845" w:rsidRDefault="00822C37" w:rsidP="00822C37">
      <w:pPr>
        <w:tabs>
          <w:tab w:val="left" w:pos="1985"/>
        </w:tabs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lang w:val="en-GB"/>
        </w:rPr>
        <w:lastRenderedPageBreak/>
        <w:t>B</w:t>
      </w:r>
      <w:r>
        <w:rPr>
          <w:rFonts w:ascii="Arial" w:hAnsi="Arial" w:cs="Arial"/>
          <w:lang w:val="en-GB"/>
        </w:rPr>
        <w:t xml:space="preserve">: </w:t>
      </w:r>
      <w:r>
        <w:rPr>
          <w:rFonts w:ascii="Arial" w:hAnsi="Arial" w:cs="Arial"/>
        </w:rPr>
        <w:t xml:space="preserve">Each point represents one patient plotted at their personal minimum (x-axis) against their personal maximum (y-axis) </w:t>
      </w:r>
      <w:proofErr w:type="spellStart"/>
      <w:proofErr w:type="gramStart"/>
      <w:r>
        <w:rPr>
          <w:rFonts w:ascii="Arial" w:hAnsi="Arial" w:cs="Arial"/>
        </w:rPr>
        <w:t>Lp</w:t>
      </w:r>
      <w:proofErr w:type="spellEnd"/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 xml:space="preserve">a) value (both axes log-scaled). Points below the dashed line indicate a ≥ 2-fold </w:t>
      </w:r>
      <w:proofErr w:type="spellStart"/>
      <w:r>
        <w:rPr>
          <w:rFonts w:ascii="Arial" w:hAnsi="Arial" w:cs="Arial"/>
        </w:rPr>
        <w:t>intraindividual</w:t>
      </w:r>
      <w:proofErr w:type="spellEnd"/>
      <w:r>
        <w:rPr>
          <w:rFonts w:ascii="Arial" w:hAnsi="Arial" w:cs="Arial"/>
        </w:rPr>
        <w:t xml:space="preserve"> range. Left: patients with type 1 diabetes only (n = 214); 69/214 (32%) below the line. Right: patients with type 1 diabetes and a co-occurring autoimmune </w:t>
      </w:r>
      <w:proofErr w:type="gramStart"/>
      <w:r>
        <w:rPr>
          <w:rFonts w:ascii="Arial" w:hAnsi="Arial" w:cs="Arial"/>
        </w:rPr>
        <w:t>condition  (</w:t>
      </w:r>
      <w:proofErr w:type="gramEnd"/>
      <w:r>
        <w:rPr>
          <w:rFonts w:ascii="Arial" w:hAnsi="Arial" w:cs="Arial"/>
        </w:rPr>
        <w:t xml:space="preserve">Hashimoto thyroiditis or coeliac disease, n = 21); 6/21 (28%) below the line. The comparable proportions suggest that autoimmune comorbidities did not materially drive </w:t>
      </w:r>
      <w:proofErr w:type="spellStart"/>
      <w:proofErr w:type="gramStart"/>
      <w:r>
        <w:rPr>
          <w:rFonts w:ascii="Arial" w:hAnsi="Arial" w:cs="Arial"/>
        </w:rPr>
        <w:t>Lp</w:t>
      </w:r>
      <w:proofErr w:type="spellEnd"/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a) variability. Circles: female (red); triangles: male (teal). AID: autoimmune disease.</w:t>
      </w:r>
    </w:p>
    <w:p w:rsidR="00EB1E0F" w:rsidRDefault="00EB1E0F"/>
    <w:sectPr w:rsidR="00EB1E0F" w:rsidSect="00FC246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C246F">
      <w:pPr>
        <w:spacing w:after="0" w:line="240" w:lineRule="auto"/>
      </w:pPr>
      <w:r>
        <w:separator/>
      </w:r>
    </w:p>
  </w:endnote>
  <w:endnote w:type="continuationSeparator" w:id="0">
    <w:p w:rsidR="00000000" w:rsidRDefault="00FC2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297630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83186" w:rsidRDefault="00822C37" w:rsidP="00ED28D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E83186" w:rsidRDefault="00FC246F" w:rsidP="00E8318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8869197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83186" w:rsidRDefault="00822C37" w:rsidP="00ED28D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C246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E83186" w:rsidRDefault="00FC246F" w:rsidP="00E83186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2BA" w:rsidRDefault="00FC24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C246F">
      <w:pPr>
        <w:spacing w:after="0" w:line="240" w:lineRule="auto"/>
      </w:pPr>
      <w:r>
        <w:separator/>
      </w:r>
    </w:p>
  </w:footnote>
  <w:footnote w:type="continuationSeparator" w:id="0">
    <w:p w:rsidR="00000000" w:rsidRDefault="00FC2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2BA" w:rsidRDefault="00FC24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2BA" w:rsidRPr="00BB52BA" w:rsidRDefault="00822C37" w:rsidP="00BB52BA">
    <w:pPr>
      <w:pStyle w:val="Header"/>
      <w:jc w:val="right"/>
      <w:rPr>
        <w:rFonts w:ascii="Arial" w:hAnsi="Arial" w:cs="Arial"/>
        <w:color w:val="808080" w:themeColor="background1" w:themeShade="80"/>
        <w:sz w:val="20"/>
        <w:szCs w:val="20"/>
      </w:rPr>
    </w:pPr>
    <w:r w:rsidRPr="00BB52BA">
      <w:rPr>
        <w:rFonts w:ascii="Arial" w:hAnsi="Arial" w:cs="Arial"/>
        <w:color w:val="808080" w:themeColor="background1" w:themeShade="80"/>
        <w:sz w:val="20"/>
        <w:szCs w:val="20"/>
      </w:rPr>
      <w:t xml:space="preserve">Manuscript ID: </w:t>
    </w:r>
    <w:r w:rsidRPr="00BB52BA">
      <w:rPr>
        <w:rFonts w:ascii="Arial" w:hAnsi="Arial" w:cs="Arial"/>
        <w:color w:val="808080" w:themeColor="background1" w:themeShade="80"/>
        <w:sz w:val="20"/>
        <w:szCs w:val="20"/>
        <w:lang w:val="en-GB"/>
      </w:rPr>
      <w:t>c0f1592d-70f9-4eab-a200-3a94c8b96521</w:t>
    </w:r>
  </w:p>
  <w:p w:rsidR="00BB52BA" w:rsidRDefault="00FC24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2BA" w:rsidRDefault="00FC24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C37"/>
    <w:rsid w:val="00001A04"/>
    <w:rsid w:val="0002268B"/>
    <w:rsid w:val="00022753"/>
    <w:rsid w:val="00024D44"/>
    <w:rsid w:val="00036EEB"/>
    <w:rsid w:val="0007293D"/>
    <w:rsid w:val="00081598"/>
    <w:rsid w:val="000A073B"/>
    <w:rsid w:val="000A0E76"/>
    <w:rsid w:val="000A7373"/>
    <w:rsid w:val="000C0DC6"/>
    <w:rsid w:val="000E0F2A"/>
    <w:rsid w:val="000E71AA"/>
    <w:rsid w:val="000F5561"/>
    <w:rsid w:val="00105B8E"/>
    <w:rsid w:val="00111619"/>
    <w:rsid w:val="001516DC"/>
    <w:rsid w:val="0015186E"/>
    <w:rsid w:val="00165780"/>
    <w:rsid w:val="0017486F"/>
    <w:rsid w:val="00185AF0"/>
    <w:rsid w:val="00186EE5"/>
    <w:rsid w:val="00196E84"/>
    <w:rsid w:val="001B576E"/>
    <w:rsid w:val="001C3977"/>
    <w:rsid w:val="001D76D8"/>
    <w:rsid w:val="001F3A60"/>
    <w:rsid w:val="0020310E"/>
    <w:rsid w:val="00216B10"/>
    <w:rsid w:val="0021733B"/>
    <w:rsid w:val="00221BA9"/>
    <w:rsid w:val="00250769"/>
    <w:rsid w:val="002517C1"/>
    <w:rsid w:val="00256CA1"/>
    <w:rsid w:val="002668FA"/>
    <w:rsid w:val="00266A81"/>
    <w:rsid w:val="00270E52"/>
    <w:rsid w:val="00281035"/>
    <w:rsid w:val="00283D6B"/>
    <w:rsid w:val="0029604C"/>
    <w:rsid w:val="002A21CC"/>
    <w:rsid w:val="002D019C"/>
    <w:rsid w:val="002D6E72"/>
    <w:rsid w:val="002E1E9C"/>
    <w:rsid w:val="002E59FF"/>
    <w:rsid w:val="003075A1"/>
    <w:rsid w:val="00313D7F"/>
    <w:rsid w:val="00322AFF"/>
    <w:rsid w:val="0032535C"/>
    <w:rsid w:val="00330272"/>
    <w:rsid w:val="00352CD9"/>
    <w:rsid w:val="00356E81"/>
    <w:rsid w:val="00394225"/>
    <w:rsid w:val="003A65FD"/>
    <w:rsid w:val="003A7FA5"/>
    <w:rsid w:val="003C1453"/>
    <w:rsid w:val="003E3B6C"/>
    <w:rsid w:val="003F44C9"/>
    <w:rsid w:val="003F6037"/>
    <w:rsid w:val="003F7094"/>
    <w:rsid w:val="004019F5"/>
    <w:rsid w:val="0041637F"/>
    <w:rsid w:val="004666E9"/>
    <w:rsid w:val="004674BD"/>
    <w:rsid w:val="00475C71"/>
    <w:rsid w:val="00487AC9"/>
    <w:rsid w:val="00497D39"/>
    <w:rsid w:val="004A2614"/>
    <w:rsid w:val="004A5DE6"/>
    <w:rsid w:val="004B7C11"/>
    <w:rsid w:val="004C34C9"/>
    <w:rsid w:val="004C5DC5"/>
    <w:rsid w:val="004D0490"/>
    <w:rsid w:val="004D13F9"/>
    <w:rsid w:val="004E4F4B"/>
    <w:rsid w:val="00502712"/>
    <w:rsid w:val="00510A37"/>
    <w:rsid w:val="00513FBA"/>
    <w:rsid w:val="00513FDD"/>
    <w:rsid w:val="00515C18"/>
    <w:rsid w:val="00533894"/>
    <w:rsid w:val="00536971"/>
    <w:rsid w:val="00564703"/>
    <w:rsid w:val="005703CF"/>
    <w:rsid w:val="005731F1"/>
    <w:rsid w:val="00593ECE"/>
    <w:rsid w:val="005962FD"/>
    <w:rsid w:val="005D4B64"/>
    <w:rsid w:val="005D6E39"/>
    <w:rsid w:val="005E2324"/>
    <w:rsid w:val="005E3B54"/>
    <w:rsid w:val="00601B07"/>
    <w:rsid w:val="006052A6"/>
    <w:rsid w:val="006069AA"/>
    <w:rsid w:val="00632E6B"/>
    <w:rsid w:val="006431A0"/>
    <w:rsid w:val="006471C9"/>
    <w:rsid w:val="006639EA"/>
    <w:rsid w:val="00663DB6"/>
    <w:rsid w:val="00677E4A"/>
    <w:rsid w:val="00681AA7"/>
    <w:rsid w:val="006A0177"/>
    <w:rsid w:val="006A73E2"/>
    <w:rsid w:val="006D0810"/>
    <w:rsid w:val="006D55C4"/>
    <w:rsid w:val="006E2A9F"/>
    <w:rsid w:val="006E6227"/>
    <w:rsid w:val="006F0BD4"/>
    <w:rsid w:val="006F7B08"/>
    <w:rsid w:val="0071170F"/>
    <w:rsid w:val="00713E3C"/>
    <w:rsid w:val="007157D5"/>
    <w:rsid w:val="0074430E"/>
    <w:rsid w:val="007459C0"/>
    <w:rsid w:val="007624DB"/>
    <w:rsid w:val="00765080"/>
    <w:rsid w:val="00767BF7"/>
    <w:rsid w:val="007748B3"/>
    <w:rsid w:val="007833E6"/>
    <w:rsid w:val="0079656B"/>
    <w:rsid w:val="007B7EF4"/>
    <w:rsid w:val="007D2270"/>
    <w:rsid w:val="007D25C6"/>
    <w:rsid w:val="007D58C9"/>
    <w:rsid w:val="007E7A9A"/>
    <w:rsid w:val="007F0909"/>
    <w:rsid w:val="00806B73"/>
    <w:rsid w:val="00817508"/>
    <w:rsid w:val="00822C37"/>
    <w:rsid w:val="00825F9A"/>
    <w:rsid w:val="00846C5D"/>
    <w:rsid w:val="00856287"/>
    <w:rsid w:val="00880774"/>
    <w:rsid w:val="00882760"/>
    <w:rsid w:val="00885B4B"/>
    <w:rsid w:val="00887B0A"/>
    <w:rsid w:val="008B17E5"/>
    <w:rsid w:val="008C69E4"/>
    <w:rsid w:val="008D155C"/>
    <w:rsid w:val="008D6F09"/>
    <w:rsid w:val="008E2761"/>
    <w:rsid w:val="008F2C82"/>
    <w:rsid w:val="008F409E"/>
    <w:rsid w:val="00903D18"/>
    <w:rsid w:val="009056EE"/>
    <w:rsid w:val="00911AD5"/>
    <w:rsid w:val="00913519"/>
    <w:rsid w:val="00917154"/>
    <w:rsid w:val="009230D5"/>
    <w:rsid w:val="00952547"/>
    <w:rsid w:val="00962876"/>
    <w:rsid w:val="009665E9"/>
    <w:rsid w:val="00973D80"/>
    <w:rsid w:val="00975AA1"/>
    <w:rsid w:val="00991FFC"/>
    <w:rsid w:val="009A593B"/>
    <w:rsid w:val="009A6619"/>
    <w:rsid w:val="009D4337"/>
    <w:rsid w:val="009E2677"/>
    <w:rsid w:val="00A22020"/>
    <w:rsid w:val="00A27EBC"/>
    <w:rsid w:val="00A41576"/>
    <w:rsid w:val="00A42719"/>
    <w:rsid w:val="00A44DB2"/>
    <w:rsid w:val="00A466DC"/>
    <w:rsid w:val="00A475D0"/>
    <w:rsid w:val="00A62BD5"/>
    <w:rsid w:val="00A67DF8"/>
    <w:rsid w:val="00A77353"/>
    <w:rsid w:val="00A774E7"/>
    <w:rsid w:val="00A826EA"/>
    <w:rsid w:val="00A91C31"/>
    <w:rsid w:val="00A967E5"/>
    <w:rsid w:val="00AA2E95"/>
    <w:rsid w:val="00AA33FC"/>
    <w:rsid w:val="00AA3CEE"/>
    <w:rsid w:val="00AD0156"/>
    <w:rsid w:val="00AD0289"/>
    <w:rsid w:val="00AE7B51"/>
    <w:rsid w:val="00AF1CCA"/>
    <w:rsid w:val="00B35270"/>
    <w:rsid w:val="00B37B7E"/>
    <w:rsid w:val="00B45D60"/>
    <w:rsid w:val="00B46A7E"/>
    <w:rsid w:val="00B62973"/>
    <w:rsid w:val="00B65567"/>
    <w:rsid w:val="00B7317E"/>
    <w:rsid w:val="00B7561F"/>
    <w:rsid w:val="00B931ED"/>
    <w:rsid w:val="00BF59ED"/>
    <w:rsid w:val="00C225A7"/>
    <w:rsid w:val="00C23911"/>
    <w:rsid w:val="00C30FAD"/>
    <w:rsid w:val="00C323F5"/>
    <w:rsid w:val="00C32FC2"/>
    <w:rsid w:val="00C42A37"/>
    <w:rsid w:val="00C82A7D"/>
    <w:rsid w:val="00C90606"/>
    <w:rsid w:val="00C915F6"/>
    <w:rsid w:val="00CA419D"/>
    <w:rsid w:val="00CA6392"/>
    <w:rsid w:val="00CB06A8"/>
    <w:rsid w:val="00CC703A"/>
    <w:rsid w:val="00D01BEF"/>
    <w:rsid w:val="00D101B4"/>
    <w:rsid w:val="00D21EB2"/>
    <w:rsid w:val="00D23636"/>
    <w:rsid w:val="00D3235E"/>
    <w:rsid w:val="00D370F7"/>
    <w:rsid w:val="00D674CA"/>
    <w:rsid w:val="00D7050A"/>
    <w:rsid w:val="00D75C08"/>
    <w:rsid w:val="00D80C02"/>
    <w:rsid w:val="00D9671D"/>
    <w:rsid w:val="00D968E1"/>
    <w:rsid w:val="00DB111B"/>
    <w:rsid w:val="00DB3364"/>
    <w:rsid w:val="00DB7CF6"/>
    <w:rsid w:val="00DC2533"/>
    <w:rsid w:val="00DC3E86"/>
    <w:rsid w:val="00DD56C5"/>
    <w:rsid w:val="00DF1F22"/>
    <w:rsid w:val="00DF41D0"/>
    <w:rsid w:val="00DF672B"/>
    <w:rsid w:val="00E000AA"/>
    <w:rsid w:val="00E01DEF"/>
    <w:rsid w:val="00E242AC"/>
    <w:rsid w:val="00E635C4"/>
    <w:rsid w:val="00E728DE"/>
    <w:rsid w:val="00E76550"/>
    <w:rsid w:val="00E85C33"/>
    <w:rsid w:val="00E96FC2"/>
    <w:rsid w:val="00EB1E0F"/>
    <w:rsid w:val="00EB5760"/>
    <w:rsid w:val="00EB5E32"/>
    <w:rsid w:val="00ED0EF2"/>
    <w:rsid w:val="00ED7C20"/>
    <w:rsid w:val="00EE06DC"/>
    <w:rsid w:val="00EE1B83"/>
    <w:rsid w:val="00F01BF5"/>
    <w:rsid w:val="00F14D0B"/>
    <w:rsid w:val="00F27CB1"/>
    <w:rsid w:val="00F658B0"/>
    <w:rsid w:val="00F66A3C"/>
    <w:rsid w:val="00F73E7C"/>
    <w:rsid w:val="00F76778"/>
    <w:rsid w:val="00F770ED"/>
    <w:rsid w:val="00F95228"/>
    <w:rsid w:val="00F97D66"/>
    <w:rsid w:val="00FB12D4"/>
    <w:rsid w:val="00FB4158"/>
    <w:rsid w:val="00FC246F"/>
    <w:rsid w:val="00FD167E"/>
    <w:rsid w:val="00FE20D7"/>
    <w:rsid w:val="00FE4825"/>
    <w:rsid w:val="00FF1DFD"/>
    <w:rsid w:val="00FF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DBB80-EBD6-46B7-BAE9-988678DD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2C3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de-C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semiHidden/>
    <w:unhideWhenUsed/>
    <w:rsid w:val="00822C37"/>
  </w:style>
  <w:style w:type="character" w:customStyle="1" w:styleId="Heading3Char">
    <w:name w:val="Heading 3 Char"/>
    <w:basedOn w:val="DefaultParagraphFont"/>
    <w:link w:val="Heading3"/>
    <w:uiPriority w:val="9"/>
    <w:rsid w:val="00822C37"/>
    <w:rPr>
      <w:rFonts w:eastAsiaTheme="majorEastAsia" w:cstheme="majorBidi"/>
      <w:color w:val="2E74B5" w:themeColor="accent1" w:themeShade="BF"/>
      <w:kern w:val="2"/>
      <w:sz w:val="28"/>
      <w:szCs w:val="28"/>
      <w:lang w:val="de-CH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22C37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:lang w:val="de-CH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22C37"/>
    <w:rPr>
      <w:kern w:val="2"/>
      <w:sz w:val="24"/>
      <w:szCs w:val="24"/>
      <w:lang w:val="de-CH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822C37"/>
  </w:style>
  <w:style w:type="paragraph" w:styleId="Caption">
    <w:name w:val="caption"/>
    <w:basedOn w:val="Normal"/>
    <w:next w:val="Normal"/>
    <w:uiPriority w:val="35"/>
    <w:unhideWhenUsed/>
    <w:qFormat/>
    <w:rsid w:val="00822C37"/>
    <w:pPr>
      <w:spacing w:after="200" w:line="240" w:lineRule="auto"/>
    </w:pPr>
    <w:rPr>
      <w:i/>
      <w:iCs/>
      <w:color w:val="44546A" w:themeColor="text2"/>
      <w:kern w:val="2"/>
      <w:sz w:val="18"/>
      <w:szCs w:val="18"/>
      <w:lang w:val="aa-ET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822C3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aa-ET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22C37"/>
    <w:rPr>
      <w:rFonts w:ascii="Times New Roman" w:eastAsia="Times New Roman" w:hAnsi="Times New Roman" w:cs="Times New Roman"/>
      <w:sz w:val="24"/>
      <w:szCs w:val="24"/>
      <w:lang w:val="aa-ET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Devi  Ravichandran</dc:creator>
  <cp:keywords/>
  <dc:description/>
  <cp:lastModifiedBy>Durga Devi  Ravichandran</cp:lastModifiedBy>
  <cp:revision>2</cp:revision>
  <dcterms:created xsi:type="dcterms:W3CDTF">2026-06-03T09:10:00Z</dcterms:created>
  <dcterms:modified xsi:type="dcterms:W3CDTF">2026-06-03T09:59:00Z</dcterms:modified>
</cp:coreProperties>
</file>