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BEF0B">
      <w:pPr>
        <w:jc w:val="center"/>
        <w:rPr>
          <w:rFonts w:hint="eastAsia" w:ascii="Times New Roman" w:hAnsi="Times New Roman" w:eastAsia="宋体" w:cs="Times New Roman"/>
          <w:b/>
          <w:bCs/>
          <w:color w:val="1F2329"/>
          <w:sz w:val="28"/>
          <w:szCs w:val="28"/>
          <w:shd w:val="clear" w:color="auto" w:fill="FFFFFF"/>
        </w:rPr>
      </w:pPr>
      <w:r>
        <w:rPr>
          <w:rFonts w:ascii="Times New Roman" w:hAnsi="Times New Roman" w:eastAsia="宋体" w:cs="Times New Roman"/>
          <w:b/>
          <w:bCs/>
          <w:color w:val="1F2329"/>
          <w:sz w:val="28"/>
          <w:szCs w:val="28"/>
          <w:shd w:val="clear" w:color="auto" w:fill="FFFFFF"/>
        </w:rPr>
        <w:t xml:space="preserve">Associations of cumulative exposure and </w:t>
      </w:r>
      <w:r>
        <w:rPr>
          <w:rFonts w:hint="eastAsia" w:ascii="Times New Roman" w:hAnsi="Times New Roman" w:eastAsia="宋体" w:cs="Times New Roman"/>
          <w:b/>
          <w:bCs/>
          <w:color w:val="1F2329"/>
          <w:sz w:val="28"/>
          <w:szCs w:val="28"/>
          <w:shd w:val="clear" w:color="auto" w:fill="FFFFFF"/>
          <w:lang w:val="en-US" w:eastAsia="zh-CN"/>
        </w:rPr>
        <w:t xml:space="preserve">longitudinal </w:t>
      </w:r>
      <w:r>
        <w:rPr>
          <w:rFonts w:ascii="Times New Roman" w:hAnsi="Times New Roman" w:eastAsia="宋体" w:cs="Times New Roman"/>
          <w:b/>
          <w:bCs/>
          <w:color w:val="1F2329"/>
          <w:sz w:val="28"/>
          <w:szCs w:val="28"/>
          <w:shd w:val="clear" w:color="auto" w:fill="FFFFFF"/>
        </w:rPr>
        <w:t xml:space="preserve">change patterns of the triglyceride glucose–Chinese visceral adiposity index with incident cardiovascular disease in middle-aged and older adults: evidence from </w:t>
      </w:r>
      <w:r>
        <w:rPr>
          <w:rFonts w:hint="eastAsia" w:ascii="Times New Roman" w:hAnsi="Times New Roman" w:eastAsia="宋体" w:cs="Times New Roman"/>
          <w:b/>
          <w:bCs/>
          <w:color w:val="1F2329"/>
          <w:sz w:val="28"/>
          <w:szCs w:val="28"/>
          <w:shd w:val="clear" w:color="auto" w:fill="FFFFFF"/>
        </w:rPr>
        <w:t>CHARLS</w:t>
      </w:r>
    </w:p>
    <w:p w14:paraId="1CB8C982">
      <w:pPr>
        <w:spacing w:line="360" w:lineRule="auto"/>
        <w:rPr>
          <w:rFonts w:hint="default" w:ascii="Times New Roman" w:hAnsi="Times New Roman" w:cs="Times New Roman"/>
          <w:sz w:val="22"/>
          <w:szCs w:val="28"/>
          <w:highlight w:val="yellow"/>
        </w:rPr>
      </w:pPr>
      <w:r>
        <w:rPr>
          <w:rFonts w:hint="default" w:ascii="Times New Roman" w:hAnsi="Times New Roman" w:cs="Times New Roman"/>
          <w:sz w:val="22"/>
          <w:szCs w:val="28"/>
        </w:rPr>
        <w:t>Huilin Liu</w:t>
      </w:r>
      <w:r>
        <w:rPr>
          <w:rFonts w:hint="default" w:ascii="Times New Roman" w:hAnsi="Times New Roman" w:cs="Times New Roman"/>
          <w:sz w:val="22"/>
          <w:szCs w:val="28"/>
          <w:vertAlign w:val="superscript"/>
        </w:rPr>
        <w:t>1</w:t>
      </w:r>
      <w:r>
        <w:rPr>
          <w:rFonts w:hint="default" w:ascii="Times New Roman" w:hAnsi="Times New Roman" w:cs="Times New Roman"/>
          <w:sz w:val="22"/>
          <w:szCs w:val="28"/>
        </w:rPr>
        <w:t>, Ximin Zhang</w:t>
      </w:r>
      <w:r>
        <w:rPr>
          <w:rFonts w:hint="default" w:ascii="Times New Roman" w:hAnsi="Times New Roman" w:cs="Times New Roman"/>
          <w:sz w:val="22"/>
          <w:szCs w:val="28"/>
          <w:vertAlign w:val="superscript"/>
        </w:rPr>
        <w:t>1</w:t>
      </w:r>
      <w:r>
        <w:rPr>
          <w:rFonts w:hint="default" w:ascii="Times New Roman" w:hAnsi="Times New Roman" w:cs="Times New Roman"/>
          <w:sz w:val="22"/>
          <w:szCs w:val="28"/>
        </w:rPr>
        <w:t>, Kangning Tang</w:t>
      </w:r>
      <w:r>
        <w:rPr>
          <w:rFonts w:hint="default" w:ascii="Times New Roman" w:hAnsi="Times New Roman" w:cs="Times New Roman"/>
          <w:sz w:val="22"/>
          <w:szCs w:val="28"/>
          <w:vertAlign w:val="superscript"/>
        </w:rPr>
        <w:t>1</w:t>
      </w:r>
      <w:r>
        <w:rPr>
          <w:rFonts w:hint="default" w:ascii="Times New Roman" w:hAnsi="Times New Roman" w:cs="Times New Roman"/>
          <w:sz w:val="22"/>
          <w:szCs w:val="28"/>
        </w:rPr>
        <w:t>, Xiaojiao Zhang</w:t>
      </w:r>
      <w:r>
        <w:rPr>
          <w:rFonts w:hint="default" w:ascii="Times New Roman" w:hAnsi="Times New Roman" w:cs="Times New Roman"/>
          <w:sz w:val="22"/>
          <w:szCs w:val="28"/>
          <w:vertAlign w:val="superscript"/>
        </w:rPr>
        <w:t>1,4</w:t>
      </w:r>
      <w:r>
        <w:rPr>
          <w:rFonts w:hint="default" w:ascii="Times New Roman" w:hAnsi="Times New Roman" w:cs="Times New Roman"/>
          <w:sz w:val="22"/>
          <w:szCs w:val="28"/>
        </w:rPr>
        <w:t>, Sijing Li</w:t>
      </w:r>
      <w:r>
        <w:rPr>
          <w:rFonts w:hint="default" w:ascii="Times New Roman" w:hAnsi="Times New Roman" w:cs="Times New Roman"/>
          <w:sz w:val="22"/>
          <w:szCs w:val="28"/>
          <w:vertAlign w:val="superscript"/>
        </w:rPr>
        <w:t>1,4</w:t>
      </w:r>
      <w:r>
        <w:rPr>
          <w:rFonts w:hint="default" w:ascii="Times New Roman" w:hAnsi="Times New Roman" w:cs="Times New Roman"/>
          <w:sz w:val="22"/>
          <w:szCs w:val="28"/>
        </w:rPr>
        <w:t>, Ziru Li</w:t>
      </w:r>
      <w:r>
        <w:rPr>
          <w:rFonts w:hint="default" w:ascii="Times New Roman" w:hAnsi="Times New Roman" w:cs="Times New Roman"/>
          <w:sz w:val="22"/>
          <w:szCs w:val="28"/>
          <w:vertAlign w:val="superscript"/>
        </w:rPr>
        <w:t>1,4</w:t>
      </w:r>
      <w:r>
        <w:rPr>
          <w:rFonts w:hint="default" w:ascii="Times New Roman" w:hAnsi="Times New Roman" w:cs="Times New Roman"/>
          <w:sz w:val="22"/>
          <w:szCs w:val="28"/>
        </w:rPr>
        <w:t>, Xiaoming Dong</w:t>
      </w:r>
      <w:r>
        <w:rPr>
          <w:rFonts w:hint="default" w:ascii="Times New Roman" w:hAnsi="Times New Roman" w:cs="Times New Roman"/>
          <w:sz w:val="22"/>
          <w:szCs w:val="28"/>
          <w:vertAlign w:val="superscript"/>
        </w:rPr>
        <w:t>2</w:t>
      </w:r>
      <w:r>
        <w:rPr>
          <w:rFonts w:hint="default" w:ascii="Times New Roman" w:hAnsi="Times New Roman" w:cs="Times New Roman"/>
          <w:sz w:val="22"/>
          <w:szCs w:val="28"/>
        </w:rPr>
        <w:t>, Huili Liao</w:t>
      </w:r>
      <w:r>
        <w:rPr>
          <w:rFonts w:hint="default" w:ascii="Times New Roman" w:hAnsi="Times New Roman" w:cs="Times New Roman"/>
          <w:sz w:val="22"/>
          <w:szCs w:val="28"/>
          <w:vertAlign w:val="superscript"/>
        </w:rPr>
        <w:t>2</w:t>
      </w:r>
      <w:r>
        <w:rPr>
          <w:rFonts w:hint="default" w:ascii="Times New Roman" w:hAnsi="Times New Roman" w:cs="Times New Roman"/>
          <w:sz w:val="22"/>
          <w:szCs w:val="28"/>
        </w:rPr>
        <w:t>,</w:t>
      </w:r>
      <w:r>
        <w:rPr>
          <w:rFonts w:hint="default" w:ascii="Times New Roman" w:hAnsi="Times New Roman" w:cs="Times New Roman"/>
          <w:sz w:val="22"/>
          <w:szCs w:val="28"/>
          <w:lang w:val="en-US" w:eastAsia="zh-CN"/>
        </w:rPr>
        <w:t xml:space="preserve"> </w:t>
      </w:r>
      <w:r>
        <w:rPr>
          <w:rFonts w:hint="default" w:ascii="Times New Roman" w:hAnsi="Times New Roman" w:cs="Times New Roman"/>
          <w:sz w:val="22"/>
          <w:szCs w:val="28"/>
        </w:rPr>
        <w:t>Wenjie Long</w:t>
      </w:r>
      <w:r>
        <w:rPr>
          <w:rFonts w:hint="default" w:ascii="Times New Roman" w:hAnsi="Times New Roman" w:cs="Times New Roman"/>
          <w:sz w:val="22"/>
          <w:szCs w:val="28"/>
          <w:vertAlign w:val="superscript"/>
        </w:rPr>
        <w:t>2*</w:t>
      </w:r>
      <w:r>
        <w:rPr>
          <w:rFonts w:hint="default" w:ascii="Times New Roman" w:hAnsi="Times New Roman" w:cs="Times New Roman"/>
          <w:sz w:val="22"/>
          <w:szCs w:val="28"/>
        </w:rPr>
        <w:t xml:space="preserve">, </w:t>
      </w:r>
      <w:r>
        <w:rPr>
          <w:rFonts w:hint="eastAsia" w:ascii="Times New Roman" w:hAnsi="Times New Roman" w:cs="Times New Roman"/>
          <w:lang w:val="en-US" w:eastAsia="zh-CN"/>
        </w:rPr>
        <w:t>Zhenjie Zhuang</w:t>
      </w:r>
      <w:r>
        <w:rPr>
          <w:rFonts w:hint="eastAsia" w:ascii="Times New Roman" w:hAnsi="Times New Roman" w:cs="Times New Roman"/>
          <w:vertAlign w:val="superscript"/>
          <w:lang w:val="en-US" w:eastAsia="zh-CN"/>
        </w:rPr>
        <w:t>5*</w:t>
      </w:r>
      <w:r>
        <w:rPr>
          <w:rFonts w:hint="eastAsia" w:ascii="Times New Roman" w:hAnsi="Times New Roman" w:cs="Times New Roman"/>
          <w:lang w:val="en-US" w:eastAsia="zh-CN"/>
        </w:rPr>
        <w:t xml:space="preserve">, </w:t>
      </w:r>
      <w:r>
        <w:rPr>
          <w:rFonts w:hint="default" w:ascii="Times New Roman" w:hAnsi="Times New Roman" w:cs="Times New Roman"/>
          <w:sz w:val="22"/>
          <w:szCs w:val="28"/>
        </w:rPr>
        <w:t>Shihao Ni</w:t>
      </w:r>
      <w:r>
        <w:rPr>
          <w:rFonts w:hint="default" w:ascii="Times New Roman" w:hAnsi="Times New Roman" w:cs="Times New Roman"/>
          <w:sz w:val="22"/>
          <w:szCs w:val="28"/>
          <w:vertAlign w:val="superscript"/>
        </w:rPr>
        <w:t>1,2,3,4*</w:t>
      </w:r>
      <w:r>
        <w:rPr>
          <w:rFonts w:hint="default" w:ascii="Times New Roman" w:hAnsi="Times New Roman" w:cs="Times New Roman"/>
          <w:sz w:val="22"/>
          <w:szCs w:val="28"/>
        </w:rPr>
        <w:t>, Zhongqi Yang</w:t>
      </w:r>
      <w:r>
        <w:rPr>
          <w:rFonts w:hint="default" w:ascii="Times New Roman" w:hAnsi="Times New Roman" w:cs="Times New Roman"/>
          <w:sz w:val="22"/>
          <w:szCs w:val="28"/>
          <w:vertAlign w:val="superscript"/>
        </w:rPr>
        <w:t>1,2,3,4*</w:t>
      </w:r>
    </w:p>
    <w:p w14:paraId="78173AD1">
      <w:pPr>
        <w:numPr>
          <w:ilvl w:val="0"/>
          <w:numId w:val="1"/>
        </w:numPr>
        <w:spacing w:line="360" w:lineRule="auto"/>
        <w:rPr>
          <w:rFonts w:hint="default" w:ascii="Times New Roman" w:hAnsi="Times New Roman" w:cs="Times New Roman"/>
          <w:sz w:val="22"/>
          <w:szCs w:val="28"/>
        </w:rPr>
      </w:pPr>
      <w:r>
        <w:rPr>
          <w:rFonts w:hint="default" w:ascii="Times New Roman" w:hAnsi="Times New Roman" w:cs="Times New Roman"/>
          <w:sz w:val="22"/>
          <w:szCs w:val="28"/>
        </w:rPr>
        <w:t xml:space="preserve">State Key Laboratory of Traditional Chinese Medicine Syndrome, The First Affiliated Hospital of Guangzhou University of Chinese Medicine, Guangzhou 510405, China; </w:t>
      </w:r>
    </w:p>
    <w:p w14:paraId="2E3865C7">
      <w:pPr>
        <w:numPr>
          <w:ilvl w:val="0"/>
          <w:numId w:val="1"/>
        </w:numPr>
        <w:spacing w:line="360" w:lineRule="auto"/>
        <w:rPr>
          <w:rFonts w:hint="default" w:ascii="Times New Roman" w:hAnsi="Times New Roman" w:cs="Times New Roman"/>
          <w:sz w:val="22"/>
          <w:szCs w:val="28"/>
        </w:rPr>
      </w:pPr>
      <w:r>
        <w:rPr>
          <w:rFonts w:hint="default" w:ascii="Times New Roman" w:hAnsi="Times New Roman" w:cs="Times New Roman"/>
          <w:sz w:val="22"/>
          <w:szCs w:val="28"/>
        </w:rPr>
        <w:t>Geriatrics Department, The First Affiliated Hospital of Guangzhou University of Chinese Medicine, Guangzhou 510405, China.</w:t>
      </w:r>
    </w:p>
    <w:p w14:paraId="44A554E4">
      <w:pPr>
        <w:numPr>
          <w:ilvl w:val="0"/>
          <w:numId w:val="1"/>
        </w:numPr>
        <w:spacing w:line="360" w:lineRule="auto"/>
        <w:rPr>
          <w:rFonts w:hint="default" w:ascii="Times New Roman" w:hAnsi="Times New Roman" w:cs="Times New Roman"/>
          <w:sz w:val="22"/>
          <w:szCs w:val="28"/>
        </w:rPr>
      </w:pPr>
      <w:r>
        <w:rPr>
          <w:rFonts w:hint="default" w:ascii="Times New Roman" w:hAnsi="Times New Roman" w:cs="Times New Roman"/>
          <w:sz w:val="22"/>
          <w:szCs w:val="28"/>
        </w:rPr>
        <w:t xml:space="preserve">Guangdong Clinical Research Institute of Traditional Chinese Medicine, Guangzhou 510405, China; </w:t>
      </w:r>
    </w:p>
    <w:p w14:paraId="15B68141">
      <w:pPr>
        <w:spacing w:line="360" w:lineRule="auto"/>
        <w:jc w:val="left"/>
        <w:rPr>
          <w:rFonts w:hint="default" w:ascii="Times New Roman" w:hAnsi="Times New Roman" w:cs="Times New Roman"/>
          <w:sz w:val="22"/>
          <w:szCs w:val="28"/>
        </w:rPr>
      </w:pPr>
      <w:r>
        <w:rPr>
          <w:rFonts w:hint="default" w:ascii="Times New Roman" w:hAnsi="Times New Roman" w:cs="Times New Roman"/>
          <w:sz w:val="22"/>
          <w:szCs w:val="28"/>
        </w:rPr>
        <w:t xml:space="preserve">4. Lingnan Medical Research Center, Guangzhou University of Chinese Medicine, Guangzhou 510405, China. </w:t>
      </w:r>
    </w:p>
    <w:p w14:paraId="2E7594F3">
      <w:pPr>
        <w:spacing w:line="360" w:lineRule="auto"/>
        <w:jc w:val="left"/>
        <w:rPr>
          <w:rFonts w:hint="eastAsia" w:ascii="Times New Roman" w:hAnsi="Times New Roman" w:cs="Times New Roman"/>
          <w:sz w:val="22"/>
          <w:szCs w:val="28"/>
          <w:lang w:val="en-US" w:eastAsia="zh-CN"/>
        </w:rPr>
      </w:pPr>
      <w:r>
        <w:rPr>
          <w:rFonts w:hint="eastAsia" w:ascii="Times New Roman" w:hAnsi="Times New Roman" w:cs="Times New Roman"/>
          <w:sz w:val="22"/>
          <w:szCs w:val="28"/>
          <w:lang w:val="en-US" w:eastAsia="zh-CN"/>
        </w:rPr>
        <w:t>5. Guangdong Provincial Hospital of Chinese Medicine, The Second Affiliated Hospital of Guangzhou University of Chinese Medicine, Guangdong Provincial Academy of Chinese Medical Sciences, Guangzhou, Guangdong Province, China.</w:t>
      </w:r>
    </w:p>
    <w:p w14:paraId="695AD1FD">
      <w:pPr>
        <w:spacing w:line="360" w:lineRule="auto"/>
        <w:jc w:val="left"/>
        <w:rPr>
          <w:rFonts w:hint="default" w:ascii="Times New Roman" w:hAnsi="Times New Roman" w:cs="Times New Roman"/>
          <w:sz w:val="22"/>
          <w:szCs w:val="28"/>
        </w:rPr>
      </w:pPr>
    </w:p>
    <w:p w14:paraId="3FF17ADE">
      <w:pPr>
        <w:spacing w:after="0" w:line="360" w:lineRule="auto"/>
        <w:jc w:val="left"/>
        <w:rPr>
          <w:rFonts w:hint="default" w:ascii="Times New Roman" w:hAnsi="Times New Roman" w:cs="Times New Roman"/>
          <w:b/>
          <w:bCs/>
          <w:color w:val="auto"/>
          <w:sz w:val="24"/>
          <w:szCs w:val="24"/>
          <w:highlight w:val="none"/>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sz w:val="22"/>
          <w:szCs w:val="28"/>
        </w:rPr>
        <w:t xml:space="preserve">* Correspondence to: </w:t>
      </w:r>
      <w:r>
        <w:rPr>
          <w:rFonts w:hint="default" w:ascii="Times New Roman" w:hAnsi="Times New Roman" w:cs="Times New Roman"/>
          <w:sz w:val="22"/>
          <w:szCs w:val="28"/>
        </w:rPr>
        <w:fldChar w:fldCharType="begin"/>
      </w:r>
      <w:r>
        <w:rPr>
          <w:rFonts w:hint="default" w:ascii="Times New Roman" w:hAnsi="Times New Roman" w:cs="Times New Roman"/>
          <w:sz w:val="22"/>
          <w:szCs w:val="28"/>
        </w:rPr>
        <w:instrText xml:space="preserve"> HYPERLINK "mailto:lej5699@gzucm.edu.cn;" </w:instrText>
      </w:r>
      <w:r>
        <w:rPr>
          <w:rFonts w:hint="default" w:ascii="Times New Roman" w:hAnsi="Times New Roman" w:cs="Times New Roman"/>
          <w:sz w:val="22"/>
          <w:szCs w:val="28"/>
        </w:rPr>
        <w:fldChar w:fldCharType="separate"/>
      </w:r>
      <w:r>
        <w:rPr>
          <w:rStyle w:val="9"/>
          <w:rFonts w:hint="default" w:ascii="Times New Roman" w:hAnsi="Times New Roman" w:cs="Times New Roman"/>
          <w:sz w:val="22"/>
          <w:szCs w:val="28"/>
        </w:rPr>
        <w:t>lwj5699@gzucm.edu.cn (W.-J. Long);</w:t>
      </w:r>
      <w:r>
        <w:rPr>
          <w:rStyle w:val="9"/>
          <w:rFonts w:hint="default" w:ascii="Times New Roman" w:hAnsi="Times New Roman" w:cs="Times New Roman"/>
          <w:sz w:val="22"/>
          <w:szCs w:val="28"/>
        </w:rPr>
        <w:fldChar w:fldCharType="end"/>
      </w:r>
      <w:r>
        <w:rPr>
          <w:rFonts w:hint="default" w:ascii="Times New Roman" w:hAnsi="Times New Roman" w:cs="Times New Roman"/>
          <w:sz w:val="22"/>
          <w:szCs w:val="28"/>
        </w:rPr>
        <w:t xml:space="preserve"> </w:t>
      </w:r>
      <w:bookmarkStart w:id="32" w:name="_GoBack"/>
      <w:bookmarkEnd w:id="32"/>
      <w:r>
        <w:rPr>
          <w:rFonts w:hint="eastAsia" w:ascii="Times New Roman" w:hAnsi="Times New Roman" w:cs="Times New Roman"/>
        </w:rPr>
        <w:fldChar w:fldCharType="begin"/>
      </w:r>
      <w:r>
        <w:rPr>
          <w:rFonts w:hint="eastAsia" w:ascii="Times New Roman" w:hAnsi="Times New Roman" w:cs="Times New Roman"/>
        </w:rPr>
        <w:instrText xml:space="preserve"> HYPERLINK "mailto:20181101028@stu.gzucm.edu.cn;" </w:instrText>
      </w:r>
      <w:r>
        <w:rPr>
          <w:rFonts w:hint="eastAsia" w:ascii="Times New Roman" w:hAnsi="Times New Roman" w:cs="Times New Roman"/>
        </w:rPr>
        <w:fldChar w:fldCharType="separate"/>
      </w:r>
      <w:r>
        <w:rPr>
          <w:rStyle w:val="9"/>
          <w:rFonts w:hint="eastAsia" w:ascii="Times New Roman" w:hAnsi="Times New Roman" w:cs="Times New Roman"/>
        </w:rPr>
        <w:t>20181101028@stu.gzucm.edu.cn</w:t>
      </w:r>
      <w:r>
        <w:rPr>
          <w:rStyle w:val="9"/>
          <w:rFonts w:hint="eastAsia" w:ascii="Times New Roman" w:hAnsi="Times New Roman" w:cs="Times New Roman"/>
          <w:lang w:val="en-US" w:eastAsia="zh-CN"/>
        </w:rPr>
        <w:t xml:space="preserve"> (Z.-J. Zhuang);</w:t>
      </w:r>
      <w:r>
        <w:rPr>
          <w:rFonts w:hint="eastAsia" w:ascii="Times New Roman" w:hAnsi="Times New Roman" w:cs="Times New Roman"/>
        </w:rPr>
        <w:fldChar w:fldCharType="end"/>
      </w:r>
      <w:r>
        <w:rPr>
          <w:rFonts w:hint="eastAsia" w:ascii="Times New Roman" w:hAnsi="Times New Roman" w:cs="Times New Roman"/>
          <w:lang w:val="en-US" w:eastAsia="zh-CN"/>
        </w:rPr>
        <w:t xml:space="preserve"> </w:t>
      </w:r>
      <w:r>
        <w:rPr>
          <w:rFonts w:hint="default" w:ascii="Times New Roman" w:hAnsi="Times New Roman" w:cs="Times New Roman"/>
          <w:sz w:val="22"/>
          <w:szCs w:val="28"/>
        </w:rPr>
        <w:fldChar w:fldCharType="begin"/>
      </w:r>
      <w:r>
        <w:rPr>
          <w:rFonts w:hint="default" w:ascii="Times New Roman" w:hAnsi="Times New Roman" w:cs="Times New Roman"/>
          <w:sz w:val="22"/>
          <w:szCs w:val="28"/>
        </w:rPr>
        <w:instrText xml:space="preserve"> HYPERLINK "mailto:770490913@qq.com();" </w:instrText>
      </w:r>
      <w:r>
        <w:rPr>
          <w:rFonts w:hint="default" w:ascii="Times New Roman" w:hAnsi="Times New Roman" w:cs="Times New Roman"/>
          <w:sz w:val="22"/>
          <w:szCs w:val="28"/>
        </w:rPr>
        <w:fldChar w:fldCharType="separate"/>
      </w:r>
      <w:r>
        <w:rPr>
          <w:rStyle w:val="9"/>
          <w:rFonts w:hint="default" w:ascii="Times New Roman" w:hAnsi="Times New Roman" w:cs="Times New Roman"/>
          <w:sz w:val="22"/>
          <w:szCs w:val="28"/>
        </w:rPr>
        <w:t>770490913@qq.com</w:t>
      </w:r>
      <w:r>
        <w:rPr>
          <w:rStyle w:val="9"/>
          <w:rFonts w:hint="eastAsia" w:ascii="Times New Roman" w:hAnsi="Times New Roman" w:cs="Times New Roman"/>
          <w:sz w:val="22"/>
          <w:szCs w:val="28"/>
          <w:lang w:val="en-US" w:eastAsia="zh-CN"/>
        </w:rPr>
        <w:t xml:space="preserve"> </w:t>
      </w:r>
      <w:r>
        <w:rPr>
          <w:rStyle w:val="9"/>
          <w:rFonts w:hint="default" w:ascii="Times New Roman" w:hAnsi="Times New Roman" w:cs="Times New Roman"/>
          <w:sz w:val="22"/>
          <w:szCs w:val="28"/>
        </w:rPr>
        <w:t>(S.-H. Ni);</w:t>
      </w:r>
      <w:r>
        <w:rPr>
          <w:rStyle w:val="9"/>
          <w:rFonts w:hint="default" w:ascii="Times New Roman" w:hAnsi="Times New Roman" w:cs="Times New Roman"/>
          <w:sz w:val="22"/>
          <w:szCs w:val="28"/>
        </w:rPr>
        <w:fldChar w:fldCharType="end"/>
      </w:r>
      <w:r>
        <w:rPr>
          <w:rFonts w:hint="default" w:ascii="Times New Roman" w:hAnsi="Times New Roman" w:cs="Times New Roman"/>
          <w:sz w:val="22"/>
          <w:szCs w:val="28"/>
        </w:rPr>
        <w:t xml:space="preserve"> </w:t>
      </w:r>
      <w:r>
        <w:rPr>
          <w:rFonts w:hint="default" w:ascii="Times New Roman" w:hAnsi="Times New Roman" w:cs="Times New Roman"/>
          <w:sz w:val="22"/>
          <w:szCs w:val="28"/>
        </w:rPr>
        <w:fldChar w:fldCharType="begin"/>
      </w:r>
      <w:r>
        <w:rPr>
          <w:rFonts w:hint="default" w:ascii="Times New Roman" w:hAnsi="Times New Roman" w:cs="Times New Roman"/>
          <w:sz w:val="22"/>
          <w:szCs w:val="28"/>
        </w:rPr>
        <w:instrText xml:space="preserve"> HYPERLINK "mailto:yang_zhongqi@163.com" </w:instrText>
      </w:r>
      <w:r>
        <w:rPr>
          <w:rFonts w:hint="default" w:ascii="Times New Roman" w:hAnsi="Times New Roman" w:cs="Times New Roman"/>
          <w:sz w:val="22"/>
          <w:szCs w:val="28"/>
        </w:rPr>
        <w:fldChar w:fldCharType="separate"/>
      </w:r>
      <w:r>
        <w:rPr>
          <w:rStyle w:val="9"/>
          <w:rFonts w:hint="default" w:ascii="Times New Roman" w:hAnsi="Times New Roman" w:cs="Times New Roman"/>
          <w:sz w:val="22"/>
          <w:szCs w:val="28"/>
        </w:rPr>
        <w:t>yang_zhongqi@163.com</w:t>
      </w:r>
      <w:r>
        <w:rPr>
          <w:rStyle w:val="9"/>
          <w:rFonts w:hint="default" w:ascii="Times New Roman" w:hAnsi="Times New Roman" w:cs="Times New Roman"/>
          <w:sz w:val="22"/>
          <w:szCs w:val="28"/>
        </w:rPr>
        <w:fldChar w:fldCharType="end"/>
      </w:r>
      <w:r>
        <w:rPr>
          <w:rFonts w:hint="default" w:ascii="Times New Roman" w:hAnsi="Times New Roman" w:cs="Times New Roman"/>
          <w:sz w:val="22"/>
          <w:szCs w:val="28"/>
        </w:rPr>
        <w:t xml:space="preserve"> (Z.-Q. Yang).</w:t>
      </w:r>
    </w:p>
    <w:sdt>
      <w:sdtPr>
        <w:rPr>
          <w:rFonts w:ascii="宋体" w:hAnsi="宋体" w:eastAsia="宋体" w:cstheme="minorBidi"/>
          <w:kern w:val="2"/>
          <w:sz w:val="21"/>
          <w:szCs w:val="24"/>
          <w:lang w:val="en-US" w:eastAsia="zh-CN" w:bidi="ar-SA"/>
        </w:rPr>
        <w:id w:val="147454202"/>
        <w15:color w:val="DBDBDB"/>
        <w:docPartObj>
          <w:docPartGallery w:val="Table of Contents"/>
          <w:docPartUnique/>
        </w:docPartObj>
      </w:sdtPr>
      <w:sdtEndPr>
        <w:rPr>
          <w:rFonts w:hint="eastAsia" w:ascii="Times New Roman" w:hAnsi="Times New Roman" w:cs="Times New Roman" w:eastAsiaTheme="minorEastAsia"/>
          <w:bCs/>
          <w:color w:val="auto"/>
          <w:kern w:val="2"/>
          <w:sz w:val="21"/>
          <w:szCs w:val="24"/>
          <w:highlight w:val="none"/>
          <w:lang w:val="en-US" w:eastAsia="zh-CN" w:bidi="ar-SA"/>
        </w:rPr>
      </w:sdtEndPr>
      <w:sdtContent>
        <w:p w14:paraId="1FD949CB">
          <w:pPr>
            <w:spacing w:before="0" w:beforeLines="0" w:after="0" w:afterLines="0" w:line="240" w:lineRule="auto"/>
            <w:ind w:left="0" w:leftChars="0" w:right="0" w:rightChars="0" w:firstLine="0" w:firstLineChars="0"/>
            <w:jc w:val="center"/>
            <w:rPr>
              <w:rFonts w:hint="default" w:ascii="Times New Roman" w:hAnsi="Times New Roman" w:eastAsia="宋体" w:cs="Times New Roman"/>
              <w:sz w:val="24"/>
              <w:szCs w:val="32"/>
              <w:lang w:val="en-US" w:eastAsia="zh-CN"/>
            </w:rPr>
          </w:pPr>
          <w:r>
            <w:rPr>
              <w:rFonts w:hint="default" w:ascii="Times New Roman" w:hAnsi="Times New Roman" w:eastAsia="宋体" w:cs="Times New Roman"/>
              <w:b/>
              <w:bCs/>
              <w:sz w:val="24"/>
              <w:szCs w:val="32"/>
              <w:lang w:val="en-US" w:eastAsia="zh-CN"/>
            </w:rPr>
            <w:t>CONTENTS</w:t>
          </w:r>
        </w:p>
        <w:p w14:paraId="2A508455">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color w:val="auto"/>
              <w:kern w:val="2"/>
              <w:sz w:val="22"/>
              <w:szCs w:val="28"/>
              <w:highlight w:val="none"/>
              <w:lang w:val="en-US" w:eastAsia="zh-CN" w:bidi="ar-SA"/>
            </w:rPr>
            <w:instrText xml:space="preserve">TOC \o "1-1" \h \u </w:instrText>
          </w:r>
          <w:r>
            <w:rPr>
              <w:rFonts w:hint="default" w:ascii="Times New Roman" w:hAnsi="Times New Roman" w:cs="Times New Roman" w:eastAsiaTheme="minorEastAsia"/>
              <w:bCs/>
              <w:color w:val="auto"/>
              <w:kern w:val="2"/>
              <w:sz w:val="22"/>
              <w:szCs w:val="28"/>
              <w:highlight w:val="none"/>
              <w:lang w:val="en-US" w:eastAsia="zh-CN" w:bidi="ar-SA"/>
            </w:rPr>
            <w:fldChar w:fldCharType="separate"/>
          </w: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_Toc9465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S1</w:t>
          </w:r>
          <w:r>
            <w:rPr>
              <w:rFonts w:hint="default" w:ascii="Times New Roman" w:hAnsi="Times New Roman" w:cs="Times New Roman"/>
              <w:sz w:val="22"/>
              <w:szCs w:val="28"/>
              <w:lang w:val="en-US" w:eastAsia="zh-CN"/>
            </w:rPr>
            <w:t>. Subgroup analysis of cumulative TyG-CVAI and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_Toc9465 \h </w:instrText>
          </w:r>
          <w:r>
            <w:rPr>
              <w:rFonts w:ascii="Times New Roman" w:hAnsi="Times New Roman" w:cs="Times New Roman"/>
              <w:sz w:val="22"/>
              <w:szCs w:val="28"/>
            </w:rPr>
            <w:fldChar w:fldCharType="separate"/>
          </w:r>
          <w:r>
            <w:rPr>
              <w:rFonts w:ascii="Times New Roman" w:hAnsi="Times New Roman" w:cs="Times New Roman"/>
              <w:sz w:val="22"/>
              <w:szCs w:val="28"/>
            </w:rPr>
            <w:t>3</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7B6995F0">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_Toc21603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S2</w:t>
          </w:r>
          <w:r>
            <w:rPr>
              <w:rFonts w:hint="default" w:ascii="Times New Roman" w:hAnsi="Times New Roman" w:cs="Times New Roman"/>
              <w:sz w:val="22"/>
              <w:szCs w:val="28"/>
              <w:lang w:val="en-US" w:eastAsia="zh-CN"/>
            </w:rPr>
            <w:t>. Association between TyG-CVAI change patterns, cumulative TyG-CVAI, and new-onset CVD risk: cox regression analysis after multiple imputation</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_Toc21603 \h </w:instrText>
          </w:r>
          <w:r>
            <w:rPr>
              <w:rFonts w:ascii="Times New Roman" w:hAnsi="Times New Roman" w:cs="Times New Roman"/>
              <w:sz w:val="22"/>
              <w:szCs w:val="28"/>
            </w:rPr>
            <w:fldChar w:fldCharType="separate"/>
          </w:r>
          <w:r>
            <w:rPr>
              <w:rFonts w:ascii="Times New Roman" w:hAnsi="Times New Roman" w:cs="Times New Roman"/>
              <w:sz w:val="22"/>
              <w:szCs w:val="28"/>
            </w:rPr>
            <w:t>4</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18183CCE">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_Toc1328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S3. Association between TyG-CVAI change patterns, cumulative TyG-CVAI, and new-onset CVD risk: Fine–Gray competing-risk regression analysi</w:t>
          </w:r>
          <w:r>
            <w:rPr>
              <w:rFonts w:ascii="Times New Roman" w:hAnsi="Times New Roman" w:cs="Times New Roman"/>
              <w:sz w:val="22"/>
              <w:szCs w:val="28"/>
              <w:lang w:val="en-US" w:eastAsia="zh-CN"/>
            </w:rPr>
            <w:t>s</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_Toc1328 \h </w:instrText>
          </w:r>
          <w:r>
            <w:rPr>
              <w:rFonts w:ascii="Times New Roman" w:hAnsi="Times New Roman" w:cs="Times New Roman"/>
              <w:sz w:val="22"/>
              <w:szCs w:val="28"/>
            </w:rPr>
            <w:fldChar w:fldCharType="separate"/>
          </w:r>
          <w:r>
            <w:rPr>
              <w:rFonts w:ascii="Times New Roman" w:hAnsi="Times New Roman" w:cs="Times New Roman"/>
              <w:sz w:val="22"/>
              <w:szCs w:val="28"/>
            </w:rPr>
            <w:t>5</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5F516295">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_Toc27352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S4</w:t>
          </w:r>
          <w:r>
            <w:rPr>
              <w:rFonts w:hint="default" w:ascii="Times New Roman" w:hAnsi="Times New Roman" w:cs="Times New Roman"/>
              <w:sz w:val="22"/>
              <w:szCs w:val="28"/>
              <w:lang w:val="en-US" w:eastAsia="zh-CN"/>
            </w:rPr>
            <w:t>.</w:t>
          </w:r>
          <w:r>
            <w:rPr>
              <w:rFonts w:ascii="Times New Roman" w:hAnsi="Times New Roman" w:cs="Times New Roman"/>
              <w:sz w:val="22"/>
              <w:szCs w:val="28"/>
            </w:rPr>
            <w:t xml:space="preserve"> </w:t>
          </w:r>
          <w:r>
            <w:rPr>
              <w:rFonts w:hint="default" w:ascii="Times New Roman" w:hAnsi="Times New Roman" w:cs="Times New Roman"/>
              <w:sz w:val="22"/>
              <w:szCs w:val="28"/>
            </w:rPr>
            <w:t>Sensitivity analysis additionally adjusted for baseline hypertension and diabetes for the associations of TyG-CVAI change patterns and cumulative TyG-CVAI with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_Toc27352 \h </w:instrText>
          </w:r>
          <w:r>
            <w:rPr>
              <w:rFonts w:ascii="Times New Roman" w:hAnsi="Times New Roman" w:cs="Times New Roman"/>
              <w:sz w:val="22"/>
              <w:szCs w:val="28"/>
            </w:rPr>
            <w:fldChar w:fldCharType="separate"/>
          </w:r>
          <w:r>
            <w:rPr>
              <w:rFonts w:ascii="Times New Roman" w:hAnsi="Times New Roman" w:cs="Times New Roman"/>
              <w:sz w:val="22"/>
              <w:szCs w:val="28"/>
            </w:rPr>
            <w:t>6</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5CF34640">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_Toc29225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S5.</w:t>
          </w:r>
          <w:r>
            <w:rPr>
              <w:rFonts w:ascii="Times New Roman" w:hAnsi="Times New Roman" w:cs="Times New Roman"/>
              <w:sz w:val="22"/>
              <w:szCs w:val="28"/>
              <w:lang w:val="en-US" w:eastAsia="zh-CN"/>
            </w:rPr>
            <w:t xml:space="preserve"> Sensitivity analysis for the association between tertiles of cumulative TyG-CVAI and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_Toc29225 \h </w:instrText>
          </w:r>
          <w:r>
            <w:rPr>
              <w:rFonts w:ascii="Times New Roman" w:hAnsi="Times New Roman" w:cs="Times New Roman"/>
              <w:sz w:val="22"/>
              <w:szCs w:val="28"/>
            </w:rPr>
            <w:fldChar w:fldCharType="separate"/>
          </w:r>
          <w:r>
            <w:rPr>
              <w:rFonts w:ascii="Times New Roman" w:hAnsi="Times New Roman" w:cs="Times New Roman"/>
              <w:sz w:val="22"/>
              <w:szCs w:val="28"/>
            </w:rPr>
            <w:t>7</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0BB33594">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_Toc4622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S6</w:t>
          </w:r>
          <w:r>
            <w:rPr>
              <w:rFonts w:hint="default" w:ascii="Times New Roman" w:hAnsi="Times New Roman" w:cs="Times New Roman"/>
              <w:sz w:val="22"/>
              <w:szCs w:val="28"/>
              <w:lang w:val="en-US" w:eastAsia="zh-CN"/>
            </w:rPr>
            <w:t>. Association between standardized ΔTyG-CVAI from 2011 to 2015 and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_Toc4622 \h </w:instrText>
          </w:r>
          <w:r>
            <w:rPr>
              <w:rFonts w:ascii="Times New Roman" w:hAnsi="Times New Roman" w:cs="Times New Roman"/>
              <w:sz w:val="22"/>
              <w:szCs w:val="28"/>
            </w:rPr>
            <w:fldChar w:fldCharType="separate"/>
          </w:r>
          <w:r>
            <w:rPr>
              <w:rFonts w:ascii="Times New Roman" w:hAnsi="Times New Roman" w:cs="Times New Roman"/>
              <w:sz w:val="22"/>
              <w:szCs w:val="28"/>
            </w:rPr>
            <w:t>8</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2D81A07B">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_Toc13508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S7</w:t>
          </w:r>
          <w:r>
            <w:rPr>
              <w:rFonts w:hint="default" w:ascii="Times New Roman" w:hAnsi="Times New Roman" w:cs="Times New Roman" w:eastAsiaTheme="minorEastAsia"/>
              <w:bCs w:val="0"/>
              <w:i w:val="0"/>
              <w:iCs w:val="0"/>
              <w:kern w:val="2"/>
              <w:sz w:val="22"/>
              <w:szCs w:val="28"/>
              <w:lang w:val="en-US" w:eastAsia="zh-CN" w:bidi="ar"/>
            </w:rPr>
            <w:t xml:space="preserve">. </w:t>
          </w:r>
          <w:r>
            <w:rPr>
              <w:rFonts w:hint="default" w:ascii="Times New Roman" w:hAnsi="Times New Roman" w:cs="Times New Roman" w:eastAsiaTheme="minorEastAsia"/>
              <w:i w:val="0"/>
              <w:iCs w:val="0"/>
              <w:kern w:val="2"/>
              <w:sz w:val="22"/>
              <w:szCs w:val="28"/>
              <w:lang w:val="en-US" w:eastAsia="zh-CN" w:bidi="ar"/>
            </w:rPr>
            <w:t>Sex-specific tertile cut-off values for baseline TyG-CVAI in 2011</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_Toc13508 \h </w:instrText>
          </w:r>
          <w:r>
            <w:rPr>
              <w:rFonts w:ascii="Times New Roman" w:hAnsi="Times New Roman" w:cs="Times New Roman"/>
              <w:sz w:val="22"/>
              <w:szCs w:val="28"/>
            </w:rPr>
            <w:fldChar w:fldCharType="separate"/>
          </w:r>
          <w:r>
            <w:rPr>
              <w:rFonts w:ascii="Times New Roman" w:hAnsi="Times New Roman" w:cs="Times New Roman"/>
              <w:sz w:val="22"/>
              <w:szCs w:val="28"/>
            </w:rPr>
            <w:t>8</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786E123D">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_Toc6558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S8</w:t>
          </w:r>
          <w:r>
            <w:rPr>
              <w:rFonts w:hint="default" w:ascii="Times New Roman" w:hAnsi="Times New Roman" w:cs="Times New Roman" w:eastAsiaTheme="minorEastAsia"/>
              <w:bCs w:val="0"/>
              <w:i w:val="0"/>
              <w:iCs w:val="0"/>
              <w:kern w:val="2"/>
              <w:sz w:val="22"/>
              <w:szCs w:val="28"/>
              <w:lang w:val="en-US" w:eastAsia="zh-CN" w:bidi="ar"/>
            </w:rPr>
            <w:t xml:space="preserve">. </w:t>
          </w:r>
          <w:r>
            <w:rPr>
              <w:rFonts w:hint="default" w:ascii="Times New Roman" w:hAnsi="Times New Roman" w:cs="Times New Roman" w:eastAsiaTheme="minorEastAsia"/>
              <w:i w:val="0"/>
              <w:iCs w:val="0"/>
              <w:kern w:val="2"/>
              <w:sz w:val="22"/>
              <w:szCs w:val="28"/>
              <w:lang w:val="en-US" w:eastAsia="zh-CN" w:bidi="ar"/>
            </w:rPr>
            <w:t>Sensitivity analysis using simplified five-category tertile-based TyG-CVAI transition patterns and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_Toc6558 \h </w:instrText>
          </w:r>
          <w:r>
            <w:rPr>
              <w:rFonts w:ascii="Times New Roman" w:hAnsi="Times New Roman" w:cs="Times New Roman"/>
              <w:sz w:val="22"/>
              <w:szCs w:val="28"/>
            </w:rPr>
            <w:fldChar w:fldCharType="separate"/>
          </w:r>
          <w:r>
            <w:rPr>
              <w:rFonts w:ascii="Times New Roman" w:hAnsi="Times New Roman" w:cs="Times New Roman"/>
              <w:sz w:val="22"/>
              <w:szCs w:val="28"/>
            </w:rPr>
            <w:t>10</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3D928E6B">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_Toc18322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S9</w:t>
          </w:r>
          <w:r>
            <w:rPr>
              <w:rFonts w:hint="default" w:ascii="Times New Roman" w:hAnsi="Times New Roman" w:cs="Times New Roman" w:eastAsiaTheme="minorEastAsia"/>
              <w:bCs w:val="0"/>
              <w:i w:val="0"/>
              <w:iCs w:val="0"/>
              <w:kern w:val="2"/>
              <w:sz w:val="22"/>
              <w:szCs w:val="28"/>
              <w:lang w:val="en-US" w:eastAsia="zh-CN" w:bidi="ar"/>
            </w:rPr>
            <w:t xml:space="preserve">. </w:t>
          </w:r>
          <w:r>
            <w:rPr>
              <w:rFonts w:hint="default" w:ascii="Times New Roman" w:hAnsi="Times New Roman" w:cs="Times New Roman" w:eastAsiaTheme="minorEastAsia"/>
              <w:i w:val="0"/>
              <w:iCs w:val="0"/>
              <w:kern w:val="2"/>
              <w:sz w:val="22"/>
              <w:szCs w:val="28"/>
              <w:lang w:val="en-US" w:eastAsia="zh-CN" w:bidi="ar"/>
            </w:rPr>
            <w:t>Sensitivity analysis using full nine-category tertile-based TyG-CVAI transition patterns and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_Toc18322 \h </w:instrText>
          </w:r>
          <w:r>
            <w:rPr>
              <w:rFonts w:ascii="Times New Roman" w:hAnsi="Times New Roman" w:cs="Times New Roman"/>
              <w:sz w:val="22"/>
              <w:szCs w:val="28"/>
            </w:rPr>
            <w:fldChar w:fldCharType="separate"/>
          </w:r>
          <w:r>
            <w:rPr>
              <w:rFonts w:ascii="Times New Roman" w:hAnsi="Times New Roman" w:cs="Times New Roman"/>
              <w:sz w:val="22"/>
              <w:szCs w:val="28"/>
            </w:rPr>
            <w:t>11</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177A6BA0">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_Toc7649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S10</w:t>
          </w:r>
          <w:r>
            <w:rPr>
              <w:rFonts w:hint="default" w:ascii="Times New Roman" w:hAnsi="Times New Roman" w:cs="Times New Roman" w:eastAsiaTheme="minorEastAsia"/>
              <w:bCs w:val="0"/>
              <w:i w:val="0"/>
              <w:iCs w:val="0"/>
              <w:kern w:val="2"/>
              <w:sz w:val="22"/>
              <w:szCs w:val="28"/>
              <w:lang w:val="en-US" w:eastAsia="zh-CN" w:bidi="ar"/>
            </w:rPr>
            <w:t>.</w:t>
          </w:r>
          <w:r>
            <w:rPr>
              <w:rFonts w:hint="default" w:ascii="Times New Roman" w:hAnsi="Times New Roman" w:cs="Times New Roman" w:eastAsiaTheme="minorEastAsia"/>
              <w:i w:val="0"/>
              <w:iCs w:val="0"/>
              <w:kern w:val="2"/>
              <w:sz w:val="22"/>
              <w:szCs w:val="28"/>
              <w:lang w:val="en-US" w:eastAsia="zh-CN" w:bidi="ar"/>
            </w:rPr>
            <w:t xml:space="preserve"> Exploratory K-means clustering of TyG-CVAI burden and new-onset CVD risk</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_Toc7649 \h </w:instrText>
          </w:r>
          <w:r>
            <w:rPr>
              <w:rFonts w:ascii="Times New Roman" w:hAnsi="Times New Roman" w:cs="Times New Roman"/>
              <w:sz w:val="22"/>
              <w:szCs w:val="28"/>
            </w:rPr>
            <w:fldChar w:fldCharType="separate"/>
          </w:r>
          <w:r>
            <w:rPr>
              <w:rFonts w:ascii="Times New Roman" w:hAnsi="Times New Roman" w:cs="Times New Roman"/>
              <w:sz w:val="22"/>
              <w:szCs w:val="28"/>
            </w:rPr>
            <w:t>12</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59E577ED">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_Toc22881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Table S11</w:t>
          </w:r>
          <w:r>
            <w:rPr>
              <w:rFonts w:hint="default" w:ascii="Times New Roman" w:hAnsi="Times New Roman" w:cs="Times New Roman"/>
              <w:sz w:val="22"/>
              <w:szCs w:val="28"/>
              <w:lang w:val="en-US" w:eastAsia="zh-CN"/>
            </w:rPr>
            <w:t>. Proportional hazards assumption tests for Cox models.</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_Toc22881 \h </w:instrText>
          </w:r>
          <w:r>
            <w:rPr>
              <w:rFonts w:ascii="Times New Roman" w:hAnsi="Times New Roman" w:cs="Times New Roman"/>
              <w:sz w:val="22"/>
              <w:szCs w:val="28"/>
            </w:rPr>
            <w:fldChar w:fldCharType="separate"/>
          </w:r>
          <w:r>
            <w:rPr>
              <w:rFonts w:ascii="Times New Roman" w:hAnsi="Times New Roman" w:cs="Times New Roman"/>
              <w:sz w:val="22"/>
              <w:szCs w:val="28"/>
            </w:rPr>
            <w:t>13</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05F60F22">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_Toc3781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Figure S1</w:t>
          </w:r>
          <w:r>
            <w:rPr>
              <w:rFonts w:hint="default" w:ascii="Times New Roman" w:hAnsi="Times New Roman" w:cs="Times New Roman"/>
              <w:sz w:val="22"/>
              <w:szCs w:val="28"/>
              <w:lang w:eastAsia="zh-CN"/>
            </w:rPr>
            <w:t>. Flow of sex-specific TyG-CVAI quartiles from 2011 to 2015 in CHARLS</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_Toc3781 \h </w:instrText>
          </w:r>
          <w:r>
            <w:rPr>
              <w:rFonts w:ascii="Times New Roman" w:hAnsi="Times New Roman" w:cs="Times New Roman"/>
              <w:sz w:val="22"/>
              <w:szCs w:val="28"/>
            </w:rPr>
            <w:fldChar w:fldCharType="separate"/>
          </w:r>
          <w:r>
            <w:rPr>
              <w:rFonts w:ascii="Times New Roman" w:hAnsi="Times New Roman" w:cs="Times New Roman"/>
              <w:sz w:val="22"/>
              <w:szCs w:val="28"/>
            </w:rPr>
            <w:t>14</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080155DC">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_Toc3424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Figure S2</w:t>
          </w:r>
          <w:r>
            <w:rPr>
              <w:rFonts w:hint="default" w:ascii="Times New Roman" w:hAnsi="Times New Roman" w:cs="Times New Roman"/>
              <w:sz w:val="22"/>
              <w:szCs w:val="28"/>
            </w:rPr>
            <w:t>. Distribution of sex-standardized TyG-CVAI in 2011 and 2015 according to predefined change patterns</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_Toc3424 \h </w:instrText>
          </w:r>
          <w:r>
            <w:rPr>
              <w:rFonts w:ascii="Times New Roman" w:hAnsi="Times New Roman" w:cs="Times New Roman"/>
              <w:sz w:val="22"/>
              <w:szCs w:val="28"/>
            </w:rPr>
            <w:fldChar w:fldCharType="separate"/>
          </w:r>
          <w:r>
            <w:rPr>
              <w:rFonts w:ascii="Times New Roman" w:hAnsi="Times New Roman" w:cs="Times New Roman"/>
              <w:sz w:val="22"/>
              <w:szCs w:val="28"/>
            </w:rPr>
            <w:t>15</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5A1AA3FD">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_Toc29162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Figure S3</w:t>
          </w:r>
          <w:r>
            <w:rPr>
              <w:rFonts w:hint="default" w:ascii="Times New Roman" w:hAnsi="Times New Roman" w:cs="Times New Roman"/>
              <w:sz w:val="22"/>
              <w:szCs w:val="28"/>
            </w:rPr>
            <w:t>. Kaplan-Meier curves for cumulative incidence of CVD according to quartiles of cumulative TyG-CVAI in CHARLS</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_Toc29162 \h </w:instrText>
          </w:r>
          <w:r>
            <w:rPr>
              <w:rFonts w:ascii="Times New Roman" w:hAnsi="Times New Roman" w:cs="Times New Roman"/>
              <w:sz w:val="22"/>
              <w:szCs w:val="28"/>
            </w:rPr>
            <w:fldChar w:fldCharType="separate"/>
          </w:r>
          <w:r>
            <w:rPr>
              <w:rFonts w:ascii="Times New Roman" w:hAnsi="Times New Roman" w:cs="Times New Roman"/>
              <w:sz w:val="22"/>
              <w:szCs w:val="28"/>
            </w:rPr>
            <w:t>16</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77EFA63E">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_Toc11566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Figure S4</w:t>
          </w:r>
          <w:r>
            <w:rPr>
              <w:rFonts w:hint="default" w:ascii="Times New Roman" w:hAnsi="Times New Roman" w:cs="Times New Roman"/>
              <w:sz w:val="22"/>
              <w:szCs w:val="28"/>
            </w:rPr>
            <w:t>. Subgroup analyses for the association between continuous cumulative TyG-CVAI and incident CVD in CHARLS</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_Toc11566 \h </w:instrText>
          </w:r>
          <w:r>
            <w:rPr>
              <w:rFonts w:ascii="Times New Roman" w:hAnsi="Times New Roman" w:cs="Times New Roman"/>
              <w:sz w:val="22"/>
              <w:szCs w:val="28"/>
            </w:rPr>
            <w:fldChar w:fldCharType="separate"/>
          </w:r>
          <w:r>
            <w:rPr>
              <w:rFonts w:ascii="Times New Roman" w:hAnsi="Times New Roman" w:cs="Times New Roman"/>
              <w:sz w:val="22"/>
              <w:szCs w:val="28"/>
            </w:rPr>
            <w:t>17</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3FA1003E">
          <w:pPr>
            <w:pStyle w:val="4"/>
            <w:tabs>
              <w:tab w:val="right" w:leader="dot" w:pos="8306"/>
            </w:tabs>
            <w:spacing w:line="300" w:lineRule="auto"/>
            <w:rPr>
              <w:rFonts w:ascii="Times New Roman" w:hAnsi="Times New Roman" w:cs="Times New Roman"/>
              <w:sz w:val="22"/>
              <w:szCs w:val="28"/>
            </w:rPr>
          </w:pPr>
          <w:r>
            <w:rPr>
              <w:rFonts w:hint="default" w:ascii="Times New Roman" w:hAnsi="Times New Roman" w:cs="Times New Roman" w:eastAsiaTheme="minorEastAsia"/>
              <w:bCs/>
              <w:color w:val="auto"/>
              <w:kern w:val="2"/>
              <w:sz w:val="22"/>
              <w:szCs w:val="28"/>
              <w:highlight w:val="none"/>
              <w:lang w:val="en-US" w:eastAsia="zh-CN" w:bidi="ar-SA"/>
            </w:rPr>
            <w:fldChar w:fldCharType="begin"/>
          </w:r>
          <w:r>
            <w:rPr>
              <w:rFonts w:hint="default" w:ascii="Times New Roman" w:hAnsi="Times New Roman" w:cs="Times New Roman" w:eastAsiaTheme="minorEastAsia"/>
              <w:bCs/>
              <w:kern w:val="2"/>
              <w:sz w:val="22"/>
              <w:szCs w:val="28"/>
              <w:highlight w:val="none"/>
              <w:lang w:val="en-US" w:eastAsia="zh-CN" w:bidi="ar-SA"/>
            </w:rPr>
            <w:instrText xml:space="preserve"> HYPERLINK \l _Toc25322 </w:instrText>
          </w:r>
          <w:r>
            <w:rPr>
              <w:rFonts w:hint="default" w:ascii="Times New Roman" w:hAnsi="Times New Roman" w:cs="Times New Roman" w:eastAsiaTheme="minorEastAsia"/>
              <w:bCs/>
              <w:kern w:val="2"/>
              <w:sz w:val="22"/>
              <w:szCs w:val="28"/>
              <w:highlight w:val="none"/>
              <w:lang w:val="en-US" w:eastAsia="zh-CN" w:bidi="ar-SA"/>
            </w:rPr>
            <w:fldChar w:fldCharType="separate"/>
          </w:r>
          <w:r>
            <w:rPr>
              <w:rFonts w:ascii="Times New Roman" w:hAnsi="Times New Roman" w:cs="Times New Roman"/>
              <w:sz w:val="22"/>
              <w:szCs w:val="28"/>
            </w:rPr>
            <w:t>Figure S5. Exploratory K-means clustering of TyG-CVAI values measured in 2011 and 2015.</w:t>
          </w:r>
          <w:r>
            <w:rPr>
              <w:rFonts w:ascii="Times New Roman" w:hAnsi="Times New Roman" w:cs="Times New Roman"/>
              <w:sz w:val="22"/>
              <w:szCs w:val="28"/>
            </w:rPr>
            <w:tab/>
          </w:r>
          <w:r>
            <w:rPr>
              <w:rFonts w:ascii="Times New Roman" w:hAnsi="Times New Roman" w:cs="Times New Roman"/>
              <w:sz w:val="22"/>
              <w:szCs w:val="28"/>
            </w:rPr>
            <w:fldChar w:fldCharType="begin"/>
          </w:r>
          <w:r>
            <w:rPr>
              <w:rFonts w:ascii="Times New Roman" w:hAnsi="Times New Roman" w:cs="Times New Roman"/>
              <w:sz w:val="22"/>
              <w:szCs w:val="28"/>
            </w:rPr>
            <w:instrText xml:space="preserve"> PAGEREF _Toc25322 \h </w:instrText>
          </w:r>
          <w:r>
            <w:rPr>
              <w:rFonts w:ascii="Times New Roman" w:hAnsi="Times New Roman" w:cs="Times New Roman"/>
              <w:sz w:val="22"/>
              <w:szCs w:val="28"/>
            </w:rPr>
            <w:fldChar w:fldCharType="separate"/>
          </w:r>
          <w:r>
            <w:rPr>
              <w:rFonts w:ascii="Times New Roman" w:hAnsi="Times New Roman" w:cs="Times New Roman"/>
              <w:sz w:val="22"/>
              <w:szCs w:val="28"/>
            </w:rPr>
            <w:t>18</w:t>
          </w:r>
          <w:r>
            <w:rPr>
              <w:rFonts w:ascii="Times New Roman" w:hAnsi="Times New Roman" w:cs="Times New Roman"/>
              <w:sz w:val="22"/>
              <w:szCs w:val="28"/>
            </w:rPr>
            <w:fldChar w:fldCharType="end"/>
          </w:r>
          <w:r>
            <w:rPr>
              <w:rFonts w:hint="default" w:ascii="Times New Roman" w:hAnsi="Times New Roman" w:cs="Times New Roman" w:eastAsiaTheme="minorEastAsia"/>
              <w:bCs/>
              <w:color w:val="auto"/>
              <w:kern w:val="2"/>
              <w:sz w:val="22"/>
              <w:szCs w:val="28"/>
              <w:highlight w:val="none"/>
              <w:lang w:val="en-US" w:eastAsia="zh-CN" w:bidi="ar-SA"/>
            </w:rPr>
            <w:fldChar w:fldCharType="end"/>
          </w:r>
        </w:p>
        <w:p w14:paraId="39C413DE">
          <w:pPr>
            <w:jc w:val="both"/>
            <w:rPr>
              <w:rFonts w:hint="eastAsia" w:ascii="Times New Roman" w:hAnsi="Times New Roman" w:cs="Times New Roman" w:eastAsiaTheme="minorEastAsia"/>
              <w:bCs/>
              <w:color w:val="auto"/>
              <w:kern w:val="2"/>
              <w:sz w:val="21"/>
              <w:szCs w:val="24"/>
              <w:highlight w:val="none"/>
              <w:lang w:val="en-US" w:eastAsia="zh-CN" w:bidi="ar-SA"/>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eastAsiaTheme="minorEastAsia"/>
              <w:bCs/>
              <w:color w:val="auto"/>
              <w:kern w:val="2"/>
              <w:sz w:val="22"/>
              <w:szCs w:val="28"/>
              <w:highlight w:val="none"/>
              <w:lang w:val="en-US" w:eastAsia="zh-CN" w:bidi="ar-SA"/>
            </w:rPr>
            <w:fldChar w:fldCharType="end"/>
          </w:r>
        </w:p>
      </w:sdtContent>
    </w:sdt>
    <w:tbl>
      <w:tblPr>
        <w:tblStyle w:val="6"/>
        <w:tblW w:w="8477" w:type="dxa"/>
        <w:tblInd w:w="-6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7"/>
        <w:gridCol w:w="2918"/>
        <w:gridCol w:w="1441"/>
        <w:gridCol w:w="2141"/>
      </w:tblGrid>
      <w:tr w14:paraId="173D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8477" w:type="dxa"/>
            <w:gridSpan w:val="4"/>
            <w:tcBorders>
              <w:top w:val="nil"/>
              <w:left w:val="nil"/>
              <w:bottom w:val="nil"/>
              <w:right w:val="nil"/>
            </w:tcBorders>
            <w:shd w:val="clear" w:color="auto" w:fill="auto"/>
            <w:vAlign w:val="center"/>
          </w:tcPr>
          <w:p w14:paraId="06409AEF">
            <w:pPr>
              <w:pStyle w:val="2"/>
              <w:rPr>
                <w:rFonts w:hint="default"/>
              </w:rPr>
            </w:pPr>
            <w:bookmarkStart w:id="0" w:name="_Toc5512"/>
            <w:bookmarkStart w:id="1" w:name="_Toc9465"/>
            <w:r>
              <w:rPr>
                <w:b/>
                <w:bCs/>
              </w:rPr>
              <w:t>Table S1</w:t>
            </w:r>
            <w:bookmarkEnd w:id="0"/>
            <w:r>
              <w:rPr>
                <w:rFonts w:hint="eastAsia"/>
                <w:b/>
                <w:bCs/>
                <w:lang w:val="en-US" w:eastAsia="zh-CN"/>
              </w:rPr>
              <w:t>.</w:t>
            </w:r>
            <w:r>
              <w:rPr>
                <w:rFonts w:hint="default"/>
                <w:b/>
                <w:bCs/>
                <w:lang w:val="en-US" w:eastAsia="zh-CN"/>
              </w:rPr>
              <w:t xml:space="preserve"> </w:t>
            </w:r>
            <w:r>
              <w:rPr>
                <w:rFonts w:hint="default"/>
                <w:lang w:val="en-US" w:eastAsia="zh-CN"/>
              </w:rPr>
              <w:t>Subgroup analysis of cumulative TyG-CVAI and new-onset CVD risk.</w:t>
            </w:r>
            <w:bookmarkEnd w:id="1"/>
          </w:p>
        </w:tc>
      </w:tr>
      <w:tr w14:paraId="03AA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1977" w:type="dxa"/>
            <w:tcBorders>
              <w:top w:val="single" w:color="000000" w:sz="12" w:space="0"/>
              <w:left w:val="nil"/>
              <w:bottom w:val="single" w:color="000000" w:sz="8" w:space="0"/>
              <w:right w:val="nil"/>
            </w:tcBorders>
            <w:shd w:val="clear" w:color="auto" w:fill="auto"/>
            <w:noWrap/>
            <w:vAlign w:val="center"/>
          </w:tcPr>
          <w:p w14:paraId="1CFC518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Subgroup</w:t>
            </w:r>
          </w:p>
        </w:tc>
        <w:tc>
          <w:tcPr>
            <w:tcW w:w="2918" w:type="dxa"/>
            <w:tcBorders>
              <w:top w:val="single" w:color="000000" w:sz="12" w:space="0"/>
              <w:left w:val="nil"/>
              <w:bottom w:val="single" w:color="000000" w:sz="8" w:space="0"/>
              <w:right w:val="nil"/>
            </w:tcBorders>
            <w:shd w:val="clear" w:color="auto" w:fill="auto"/>
            <w:noWrap/>
            <w:vAlign w:val="center"/>
          </w:tcPr>
          <w:p w14:paraId="558F02A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1441" w:type="dxa"/>
            <w:tcBorders>
              <w:top w:val="single" w:color="000000" w:sz="12" w:space="0"/>
              <w:left w:val="nil"/>
              <w:bottom w:val="single" w:color="000000" w:sz="8" w:space="0"/>
              <w:right w:val="nil"/>
            </w:tcBorders>
            <w:shd w:val="clear" w:color="auto" w:fill="auto"/>
            <w:noWrap/>
            <w:vAlign w:val="center"/>
          </w:tcPr>
          <w:p w14:paraId="35B9CA9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lang w:val="en-US"/>
              </w:rPr>
            </w:pPr>
            <w:r>
              <w:rPr>
                <w:rFonts w:hint="default" w:ascii="Times New Roman" w:hAnsi="Times New Roman" w:eastAsia="宋体" w:cs="Times New Roman"/>
                <w:b/>
                <w:bCs/>
                <w:i w:val="0"/>
                <w:iCs w:val="0"/>
                <w:color w:val="000000"/>
                <w:kern w:val="0"/>
                <w:sz w:val="24"/>
                <w:szCs w:val="24"/>
                <w:u w:val="none"/>
                <w:lang w:val="en-US" w:eastAsia="zh-CN" w:bidi="ar"/>
              </w:rPr>
              <w:t xml:space="preserve">P </w:t>
            </w:r>
            <w:r>
              <w:rPr>
                <w:rFonts w:hint="eastAsia" w:ascii="Times New Roman" w:hAnsi="Times New Roman" w:eastAsia="宋体" w:cs="Times New Roman"/>
                <w:b/>
                <w:bCs/>
                <w:i w:val="0"/>
                <w:iCs w:val="0"/>
                <w:color w:val="000000"/>
                <w:kern w:val="0"/>
                <w:sz w:val="24"/>
                <w:szCs w:val="24"/>
                <w:u w:val="none"/>
                <w:lang w:val="en-US" w:eastAsia="zh-CN" w:bidi="ar"/>
              </w:rPr>
              <w:t>value</w:t>
            </w:r>
          </w:p>
        </w:tc>
        <w:tc>
          <w:tcPr>
            <w:tcW w:w="2141" w:type="dxa"/>
            <w:tcBorders>
              <w:top w:val="single" w:color="000000" w:sz="12" w:space="0"/>
              <w:left w:val="nil"/>
              <w:bottom w:val="single" w:color="000000" w:sz="8" w:space="0"/>
              <w:right w:val="nil"/>
            </w:tcBorders>
            <w:shd w:val="clear" w:color="auto" w:fill="auto"/>
            <w:noWrap/>
            <w:vAlign w:val="center"/>
          </w:tcPr>
          <w:p w14:paraId="5BA4FB7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for interaction</w:t>
            </w:r>
          </w:p>
        </w:tc>
      </w:tr>
      <w:tr w14:paraId="3FCA3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977" w:type="dxa"/>
            <w:tcBorders>
              <w:top w:val="nil"/>
              <w:left w:val="nil"/>
              <w:bottom w:val="nil"/>
              <w:right w:val="nil"/>
            </w:tcBorders>
            <w:shd w:val="clear" w:color="auto" w:fill="auto"/>
            <w:noWrap/>
            <w:vAlign w:val="center"/>
          </w:tcPr>
          <w:p w14:paraId="2ECD27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Age</w:t>
            </w:r>
          </w:p>
        </w:tc>
        <w:tc>
          <w:tcPr>
            <w:tcW w:w="2918" w:type="dxa"/>
            <w:tcBorders>
              <w:top w:val="nil"/>
              <w:left w:val="nil"/>
              <w:bottom w:val="nil"/>
              <w:right w:val="nil"/>
            </w:tcBorders>
            <w:shd w:val="clear" w:color="auto" w:fill="auto"/>
            <w:noWrap/>
            <w:vAlign w:val="center"/>
          </w:tcPr>
          <w:p w14:paraId="5F56F2B2">
            <w:pPr>
              <w:jc w:val="center"/>
              <w:rPr>
                <w:rFonts w:hint="default" w:ascii="Times New Roman" w:hAnsi="Times New Roman" w:eastAsia="宋体" w:cs="Times New Roman"/>
                <w:i w:val="0"/>
                <w:iCs w:val="0"/>
                <w:color w:val="000000"/>
                <w:sz w:val="24"/>
                <w:szCs w:val="24"/>
                <w:u w:val="none"/>
              </w:rPr>
            </w:pPr>
          </w:p>
        </w:tc>
        <w:tc>
          <w:tcPr>
            <w:tcW w:w="1441" w:type="dxa"/>
            <w:tcBorders>
              <w:top w:val="nil"/>
              <w:left w:val="nil"/>
              <w:bottom w:val="nil"/>
              <w:right w:val="nil"/>
            </w:tcBorders>
            <w:shd w:val="clear" w:color="auto" w:fill="auto"/>
            <w:noWrap/>
            <w:vAlign w:val="center"/>
          </w:tcPr>
          <w:p w14:paraId="72CC733D">
            <w:pPr>
              <w:jc w:val="center"/>
              <w:rPr>
                <w:rFonts w:hint="default" w:ascii="Times New Roman" w:hAnsi="Times New Roman" w:eastAsia="宋体" w:cs="Times New Roman"/>
                <w:i w:val="0"/>
                <w:iCs w:val="0"/>
                <w:color w:val="000000"/>
                <w:sz w:val="24"/>
                <w:szCs w:val="24"/>
                <w:u w:val="none"/>
              </w:rPr>
            </w:pPr>
          </w:p>
        </w:tc>
        <w:tc>
          <w:tcPr>
            <w:tcW w:w="2141" w:type="dxa"/>
            <w:tcBorders>
              <w:top w:val="nil"/>
              <w:left w:val="nil"/>
              <w:bottom w:val="nil"/>
              <w:right w:val="nil"/>
            </w:tcBorders>
            <w:shd w:val="clear" w:color="auto" w:fill="auto"/>
            <w:noWrap/>
            <w:vAlign w:val="bottom"/>
          </w:tcPr>
          <w:p w14:paraId="5E1402B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397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4D2A73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&lt;60</w:t>
            </w:r>
          </w:p>
        </w:tc>
        <w:tc>
          <w:tcPr>
            <w:tcW w:w="2918" w:type="dxa"/>
            <w:tcBorders>
              <w:top w:val="nil"/>
              <w:left w:val="nil"/>
              <w:bottom w:val="nil"/>
              <w:right w:val="nil"/>
            </w:tcBorders>
            <w:shd w:val="clear" w:color="auto" w:fill="auto"/>
            <w:noWrap/>
            <w:vAlign w:val="bottom"/>
          </w:tcPr>
          <w:p w14:paraId="420909F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1.31 (1.19~1.43)</w:t>
            </w:r>
          </w:p>
        </w:tc>
        <w:tc>
          <w:tcPr>
            <w:tcW w:w="1441" w:type="dxa"/>
            <w:tcBorders>
              <w:top w:val="nil"/>
              <w:left w:val="nil"/>
              <w:bottom w:val="nil"/>
              <w:right w:val="nil"/>
            </w:tcBorders>
            <w:shd w:val="clear" w:color="auto" w:fill="auto"/>
            <w:noWrap/>
            <w:vAlign w:val="bottom"/>
          </w:tcPr>
          <w:p w14:paraId="06167B1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7C0F674E">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44087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53FB40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≥60</w:t>
            </w:r>
          </w:p>
        </w:tc>
        <w:tc>
          <w:tcPr>
            <w:tcW w:w="2918" w:type="dxa"/>
            <w:tcBorders>
              <w:top w:val="nil"/>
              <w:left w:val="nil"/>
              <w:bottom w:val="nil"/>
              <w:right w:val="nil"/>
            </w:tcBorders>
            <w:shd w:val="clear" w:color="auto" w:fill="auto"/>
            <w:noWrap/>
            <w:vAlign w:val="bottom"/>
          </w:tcPr>
          <w:p w14:paraId="3FFAFE9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1.05 (1.00~1.11)</w:t>
            </w:r>
          </w:p>
        </w:tc>
        <w:tc>
          <w:tcPr>
            <w:tcW w:w="1441" w:type="dxa"/>
            <w:tcBorders>
              <w:top w:val="nil"/>
              <w:left w:val="nil"/>
              <w:bottom w:val="nil"/>
              <w:right w:val="nil"/>
            </w:tcBorders>
            <w:shd w:val="clear" w:color="auto" w:fill="auto"/>
            <w:noWrap/>
            <w:vAlign w:val="bottom"/>
          </w:tcPr>
          <w:p w14:paraId="1F4E4B2E">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0.071</w:t>
            </w:r>
          </w:p>
        </w:tc>
        <w:tc>
          <w:tcPr>
            <w:tcW w:w="2141" w:type="dxa"/>
            <w:tcBorders>
              <w:top w:val="nil"/>
              <w:left w:val="nil"/>
              <w:bottom w:val="nil"/>
              <w:right w:val="nil"/>
            </w:tcBorders>
            <w:shd w:val="clear" w:color="auto" w:fill="auto"/>
            <w:noWrap/>
            <w:vAlign w:val="bottom"/>
          </w:tcPr>
          <w:p w14:paraId="3CF911F8">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162D7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32FE41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sex</w:t>
            </w:r>
          </w:p>
        </w:tc>
        <w:tc>
          <w:tcPr>
            <w:tcW w:w="2918" w:type="dxa"/>
            <w:tcBorders>
              <w:top w:val="nil"/>
              <w:left w:val="nil"/>
              <w:bottom w:val="nil"/>
              <w:right w:val="nil"/>
            </w:tcBorders>
            <w:shd w:val="clear" w:color="auto" w:fill="auto"/>
            <w:noWrap/>
            <w:vAlign w:val="center"/>
          </w:tcPr>
          <w:p w14:paraId="20E1FD64">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1441" w:type="dxa"/>
            <w:tcBorders>
              <w:top w:val="nil"/>
              <w:left w:val="nil"/>
              <w:bottom w:val="nil"/>
              <w:right w:val="nil"/>
            </w:tcBorders>
            <w:shd w:val="clear" w:color="auto" w:fill="auto"/>
            <w:noWrap/>
            <w:vAlign w:val="center"/>
          </w:tcPr>
          <w:p w14:paraId="2BF2E452">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2141" w:type="dxa"/>
            <w:tcBorders>
              <w:top w:val="nil"/>
              <w:left w:val="nil"/>
              <w:bottom w:val="nil"/>
              <w:right w:val="nil"/>
            </w:tcBorders>
            <w:shd w:val="clear" w:color="auto" w:fill="auto"/>
            <w:noWrap/>
            <w:vAlign w:val="bottom"/>
          </w:tcPr>
          <w:p w14:paraId="132375E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6A02A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7A0BE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Female</w:t>
            </w:r>
          </w:p>
        </w:tc>
        <w:tc>
          <w:tcPr>
            <w:tcW w:w="2918" w:type="dxa"/>
            <w:tcBorders>
              <w:top w:val="nil"/>
              <w:left w:val="nil"/>
              <w:bottom w:val="nil"/>
              <w:right w:val="nil"/>
            </w:tcBorders>
            <w:shd w:val="clear" w:color="auto" w:fill="auto"/>
            <w:noWrap/>
            <w:vAlign w:val="bottom"/>
          </w:tcPr>
          <w:p w14:paraId="661F456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1.06 (1.00~1.12)</w:t>
            </w:r>
          </w:p>
        </w:tc>
        <w:tc>
          <w:tcPr>
            <w:tcW w:w="1441" w:type="dxa"/>
            <w:tcBorders>
              <w:top w:val="nil"/>
              <w:left w:val="nil"/>
              <w:bottom w:val="nil"/>
              <w:right w:val="nil"/>
            </w:tcBorders>
            <w:shd w:val="clear" w:color="auto" w:fill="auto"/>
            <w:noWrap/>
            <w:vAlign w:val="bottom"/>
          </w:tcPr>
          <w:p w14:paraId="201D9ED4">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0.035</w:t>
            </w:r>
          </w:p>
        </w:tc>
        <w:tc>
          <w:tcPr>
            <w:tcW w:w="2141" w:type="dxa"/>
            <w:tcBorders>
              <w:top w:val="nil"/>
              <w:left w:val="nil"/>
              <w:bottom w:val="nil"/>
              <w:right w:val="nil"/>
            </w:tcBorders>
            <w:shd w:val="clear" w:color="auto" w:fill="auto"/>
            <w:noWrap/>
            <w:vAlign w:val="bottom"/>
          </w:tcPr>
          <w:p w14:paraId="53665884">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3E8A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213F1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Male</w:t>
            </w:r>
          </w:p>
        </w:tc>
        <w:tc>
          <w:tcPr>
            <w:tcW w:w="2918" w:type="dxa"/>
            <w:tcBorders>
              <w:top w:val="nil"/>
              <w:left w:val="nil"/>
              <w:bottom w:val="nil"/>
              <w:right w:val="nil"/>
            </w:tcBorders>
            <w:shd w:val="clear" w:color="auto" w:fill="auto"/>
            <w:noWrap/>
            <w:vAlign w:val="bottom"/>
          </w:tcPr>
          <w:p w14:paraId="066D2A3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1.35 (1.21~1.51)</w:t>
            </w:r>
          </w:p>
        </w:tc>
        <w:tc>
          <w:tcPr>
            <w:tcW w:w="1441" w:type="dxa"/>
            <w:tcBorders>
              <w:top w:val="nil"/>
              <w:left w:val="nil"/>
              <w:bottom w:val="nil"/>
              <w:right w:val="nil"/>
            </w:tcBorders>
            <w:shd w:val="clear" w:color="auto" w:fill="auto"/>
            <w:noWrap/>
            <w:vAlign w:val="bottom"/>
          </w:tcPr>
          <w:p w14:paraId="11DD073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33429DE2">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1E1E4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37E093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Smoke</w:t>
            </w:r>
          </w:p>
        </w:tc>
        <w:tc>
          <w:tcPr>
            <w:tcW w:w="2918" w:type="dxa"/>
            <w:tcBorders>
              <w:top w:val="nil"/>
              <w:left w:val="nil"/>
              <w:bottom w:val="nil"/>
              <w:right w:val="nil"/>
            </w:tcBorders>
            <w:shd w:val="clear" w:color="auto" w:fill="auto"/>
            <w:noWrap/>
            <w:vAlign w:val="center"/>
          </w:tcPr>
          <w:p w14:paraId="3BC90F1A">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1441" w:type="dxa"/>
            <w:tcBorders>
              <w:top w:val="nil"/>
              <w:left w:val="nil"/>
              <w:bottom w:val="nil"/>
              <w:right w:val="nil"/>
            </w:tcBorders>
            <w:shd w:val="clear" w:color="auto" w:fill="auto"/>
            <w:noWrap/>
            <w:vAlign w:val="center"/>
          </w:tcPr>
          <w:p w14:paraId="2A542AC2">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2141" w:type="dxa"/>
            <w:tcBorders>
              <w:top w:val="nil"/>
              <w:left w:val="nil"/>
              <w:bottom w:val="nil"/>
              <w:right w:val="nil"/>
            </w:tcBorders>
            <w:shd w:val="clear" w:color="auto" w:fill="auto"/>
            <w:noWrap/>
            <w:vAlign w:val="bottom"/>
          </w:tcPr>
          <w:p w14:paraId="794BDBF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0.462</w:t>
            </w:r>
          </w:p>
        </w:tc>
      </w:tr>
      <w:tr w14:paraId="1CCDB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90CD8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Never</w:t>
            </w:r>
          </w:p>
        </w:tc>
        <w:tc>
          <w:tcPr>
            <w:tcW w:w="2918" w:type="dxa"/>
            <w:tcBorders>
              <w:top w:val="nil"/>
              <w:left w:val="nil"/>
              <w:bottom w:val="nil"/>
              <w:right w:val="nil"/>
            </w:tcBorders>
            <w:shd w:val="clear" w:color="auto" w:fill="auto"/>
            <w:noWrap/>
            <w:vAlign w:val="bottom"/>
          </w:tcPr>
          <w:p w14:paraId="50078A2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1.09 (1.04~1.14)</w:t>
            </w:r>
          </w:p>
        </w:tc>
        <w:tc>
          <w:tcPr>
            <w:tcW w:w="1441" w:type="dxa"/>
            <w:tcBorders>
              <w:top w:val="nil"/>
              <w:left w:val="nil"/>
              <w:bottom w:val="nil"/>
              <w:right w:val="nil"/>
            </w:tcBorders>
            <w:shd w:val="clear" w:color="auto" w:fill="auto"/>
            <w:noWrap/>
            <w:vAlign w:val="bottom"/>
          </w:tcPr>
          <w:p w14:paraId="4A2DC62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74E2F22D">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3014D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977" w:type="dxa"/>
            <w:tcBorders>
              <w:top w:val="nil"/>
              <w:left w:val="nil"/>
              <w:bottom w:val="nil"/>
              <w:right w:val="nil"/>
            </w:tcBorders>
            <w:shd w:val="clear" w:color="auto" w:fill="auto"/>
            <w:noWrap/>
            <w:vAlign w:val="center"/>
          </w:tcPr>
          <w:p w14:paraId="674031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Ever</w:t>
            </w:r>
          </w:p>
        </w:tc>
        <w:tc>
          <w:tcPr>
            <w:tcW w:w="2918" w:type="dxa"/>
            <w:tcBorders>
              <w:top w:val="nil"/>
              <w:left w:val="nil"/>
              <w:bottom w:val="nil"/>
              <w:right w:val="nil"/>
            </w:tcBorders>
            <w:shd w:val="clear" w:color="auto" w:fill="auto"/>
            <w:noWrap/>
            <w:vAlign w:val="bottom"/>
          </w:tcPr>
          <w:p w14:paraId="36032E7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1.12 (1.05~1.20)</w:t>
            </w:r>
          </w:p>
        </w:tc>
        <w:tc>
          <w:tcPr>
            <w:tcW w:w="1441" w:type="dxa"/>
            <w:tcBorders>
              <w:top w:val="nil"/>
              <w:left w:val="nil"/>
              <w:bottom w:val="nil"/>
              <w:right w:val="nil"/>
            </w:tcBorders>
            <w:shd w:val="clear" w:color="auto" w:fill="auto"/>
            <w:noWrap/>
            <w:vAlign w:val="bottom"/>
          </w:tcPr>
          <w:p w14:paraId="3E20B42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11B4662B">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6D2B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B2E41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Drink</w:t>
            </w:r>
          </w:p>
        </w:tc>
        <w:tc>
          <w:tcPr>
            <w:tcW w:w="2918" w:type="dxa"/>
            <w:tcBorders>
              <w:top w:val="nil"/>
              <w:left w:val="nil"/>
              <w:bottom w:val="nil"/>
              <w:right w:val="nil"/>
            </w:tcBorders>
            <w:shd w:val="clear" w:color="auto" w:fill="auto"/>
            <w:noWrap/>
            <w:vAlign w:val="center"/>
          </w:tcPr>
          <w:p w14:paraId="3928D0F8">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1441" w:type="dxa"/>
            <w:tcBorders>
              <w:top w:val="nil"/>
              <w:left w:val="nil"/>
              <w:bottom w:val="nil"/>
              <w:right w:val="nil"/>
            </w:tcBorders>
            <w:shd w:val="clear" w:color="auto" w:fill="auto"/>
            <w:noWrap/>
            <w:vAlign w:val="center"/>
          </w:tcPr>
          <w:p w14:paraId="2708E477">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2141" w:type="dxa"/>
            <w:tcBorders>
              <w:top w:val="nil"/>
              <w:left w:val="nil"/>
              <w:bottom w:val="nil"/>
              <w:right w:val="nil"/>
            </w:tcBorders>
            <w:shd w:val="clear" w:color="auto" w:fill="auto"/>
            <w:noWrap/>
            <w:vAlign w:val="bottom"/>
          </w:tcPr>
          <w:p w14:paraId="7205741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335B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3A4F0E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Never</w:t>
            </w:r>
          </w:p>
        </w:tc>
        <w:tc>
          <w:tcPr>
            <w:tcW w:w="2918" w:type="dxa"/>
            <w:tcBorders>
              <w:top w:val="nil"/>
              <w:left w:val="nil"/>
              <w:bottom w:val="nil"/>
              <w:right w:val="nil"/>
            </w:tcBorders>
            <w:shd w:val="clear" w:color="auto" w:fill="auto"/>
            <w:noWrap/>
            <w:vAlign w:val="bottom"/>
          </w:tcPr>
          <w:p w14:paraId="2C15D24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1.06 (1.01~1.12)</w:t>
            </w:r>
          </w:p>
        </w:tc>
        <w:tc>
          <w:tcPr>
            <w:tcW w:w="1441" w:type="dxa"/>
            <w:tcBorders>
              <w:top w:val="nil"/>
              <w:left w:val="nil"/>
              <w:bottom w:val="nil"/>
              <w:right w:val="nil"/>
            </w:tcBorders>
            <w:shd w:val="clear" w:color="auto" w:fill="auto"/>
            <w:noWrap/>
            <w:vAlign w:val="bottom"/>
          </w:tcPr>
          <w:p w14:paraId="73DD6E8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0.020</w:t>
            </w:r>
          </w:p>
        </w:tc>
        <w:tc>
          <w:tcPr>
            <w:tcW w:w="2141" w:type="dxa"/>
            <w:tcBorders>
              <w:top w:val="nil"/>
              <w:left w:val="nil"/>
              <w:bottom w:val="nil"/>
              <w:right w:val="nil"/>
            </w:tcBorders>
            <w:shd w:val="clear" w:color="auto" w:fill="auto"/>
            <w:noWrap/>
            <w:vAlign w:val="bottom"/>
          </w:tcPr>
          <w:p w14:paraId="36EB334D">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232F3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6DF03A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Ever</w:t>
            </w:r>
          </w:p>
        </w:tc>
        <w:tc>
          <w:tcPr>
            <w:tcW w:w="2918" w:type="dxa"/>
            <w:tcBorders>
              <w:top w:val="nil"/>
              <w:left w:val="nil"/>
              <w:bottom w:val="nil"/>
              <w:right w:val="nil"/>
            </w:tcBorders>
            <w:shd w:val="clear" w:color="auto" w:fill="auto"/>
            <w:noWrap/>
            <w:vAlign w:val="bottom"/>
          </w:tcPr>
          <w:p w14:paraId="4BBDFFF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1.37 (1.22~1.53)</w:t>
            </w:r>
          </w:p>
        </w:tc>
        <w:tc>
          <w:tcPr>
            <w:tcW w:w="1441" w:type="dxa"/>
            <w:tcBorders>
              <w:top w:val="nil"/>
              <w:left w:val="nil"/>
              <w:bottom w:val="nil"/>
              <w:right w:val="nil"/>
            </w:tcBorders>
            <w:shd w:val="clear" w:color="auto" w:fill="auto"/>
            <w:noWrap/>
            <w:vAlign w:val="bottom"/>
          </w:tcPr>
          <w:p w14:paraId="00AE6AE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4074D997">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2101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1C600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Diabetes</w:t>
            </w:r>
          </w:p>
        </w:tc>
        <w:tc>
          <w:tcPr>
            <w:tcW w:w="2918" w:type="dxa"/>
            <w:tcBorders>
              <w:top w:val="nil"/>
              <w:left w:val="nil"/>
              <w:bottom w:val="nil"/>
              <w:right w:val="nil"/>
            </w:tcBorders>
            <w:shd w:val="clear" w:color="auto" w:fill="auto"/>
            <w:noWrap/>
            <w:vAlign w:val="bottom"/>
          </w:tcPr>
          <w:p w14:paraId="0803280C">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1441" w:type="dxa"/>
            <w:tcBorders>
              <w:top w:val="nil"/>
              <w:left w:val="nil"/>
              <w:bottom w:val="nil"/>
              <w:right w:val="nil"/>
            </w:tcBorders>
            <w:shd w:val="clear" w:color="auto" w:fill="auto"/>
            <w:noWrap/>
            <w:vAlign w:val="bottom"/>
          </w:tcPr>
          <w:p w14:paraId="1A2E9C75">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2141" w:type="dxa"/>
            <w:tcBorders>
              <w:top w:val="nil"/>
              <w:left w:val="nil"/>
              <w:bottom w:val="nil"/>
              <w:right w:val="nil"/>
            </w:tcBorders>
            <w:shd w:val="clear" w:color="auto" w:fill="auto"/>
            <w:noWrap/>
            <w:vAlign w:val="bottom"/>
          </w:tcPr>
          <w:p w14:paraId="69EF777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0.050</w:t>
            </w:r>
          </w:p>
        </w:tc>
      </w:tr>
      <w:tr w14:paraId="2853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0B3410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No</w:t>
            </w:r>
          </w:p>
        </w:tc>
        <w:tc>
          <w:tcPr>
            <w:tcW w:w="2918" w:type="dxa"/>
            <w:tcBorders>
              <w:top w:val="nil"/>
              <w:left w:val="nil"/>
              <w:bottom w:val="nil"/>
              <w:right w:val="nil"/>
            </w:tcBorders>
            <w:shd w:val="clear" w:color="auto" w:fill="auto"/>
            <w:noWrap/>
            <w:vAlign w:val="bottom"/>
          </w:tcPr>
          <w:p w14:paraId="7249CC9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1.09 (1.05~1.13)</w:t>
            </w:r>
          </w:p>
        </w:tc>
        <w:tc>
          <w:tcPr>
            <w:tcW w:w="1441" w:type="dxa"/>
            <w:tcBorders>
              <w:top w:val="nil"/>
              <w:left w:val="nil"/>
              <w:bottom w:val="nil"/>
              <w:right w:val="nil"/>
            </w:tcBorders>
            <w:shd w:val="clear" w:color="auto" w:fill="auto"/>
            <w:noWrap/>
            <w:vAlign w:val="bottom"/>
          </w:tcPr>
          <w:p w14:paraId="4D13D96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2FC279FB">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6AE2B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5DF116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Yes</w:t>
            </w:r>
          </w:p>
        </w:tc>
        <w:tc>
          <w:tcPr>
            <w:tcW w:w="2918" w:type="dxa"/>
            <w:tcBorders>
              <w:top w:val="nil"/>
              <w:left w:val="nil"/>
              <w:bottom w:val="nil"/>
              <w:right w:val="nil"/>
            </w:tcBorders>
            <w:shd w:val="clear" w:color="auto" w:fill="auto"/>
            <w:noWrap/>
            <w:vAlign w:val="bottom"/>
          </w:tcPr>
          <w:p w14:paraId="57F6643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1.66 (1.21~2.27)</w:t>
            </w:r>
          </w:p>
        </w:tc>
        <w:tc>
          <w:tcPr>
            <w:tcW w:w="1441" w:type="dxa"/>
            <w:tcBorders>
              <w:top w:val="nil"/>
              <w:left w:val="nil"/>
              <w:bottom w:val="nil"/>
              <w:right w:val="nil"/>
            </w:tcBorders>
            <w:shd w:val="clear" w:color="auto" w:fill="auto"/>
            <w:noWrap/>
            <w:vAlign w:val="bottom"/>
          </w:tcPr>
          <w:p w14:paraId="0BC319E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2141" w:type="dxa"/>
            <w:tcBorders>
              <w:top w:val="nil"/>
              <w:left w:val="nil"/>
              <w:bottom w:val="nil"/>
              <w:right w:val="nil"/>
            </w:tcBorders>
            <w:shd w:val="clear" w:color="auto" w:fill="auto"/>
            <w:noWrap/>
            <w:vAlign w:val="bottom"/>
          </w:tcPr>
          <w:p w14:paraId="7E75F74A">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6BD7B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1FBA7B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Dyslipidemia</w:t>
            </w:r>
          </w:p>
        </w:tc>
        <w:tc>
          <w:tcPr>
            <w:tcW w:w="2918" w:type="dxa"/>
            <w:tcBorders>
              <w:top w:val="nil"/>
              <w:left w:val="nil"/>
              <w:bottom w:val="nil"/>
              <w:right w:val="nil"/>
            </w:tcBorders>
            <w:shd w:val="clear" w:color="auto" w:fill="auto"/>
            <w:noWrap/>
            <w:vAlign w:val="center"/>
          </w:tcPr>
          <w:p w14:paraId="70D6F972">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1441" w:type="dxa"/>
            <w:tcBorders>
              <w:top w:val="nil"/>
              <w:left w:val="nil"/>
              <w:bottom w:val="nil"/>
              <w:right w:val="nil"/>
            </w:tcBorders>
            <w:shd w:val="clear" w:color="auto" w:fill="auto"/>
            <w:noWrap/>
            <w:vAlign w:val="center"/>
          </w:tcPr>
          <w:p w14:paraId="3059E289">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2141" w:type="dxa"/>
            <w:tcBorders>
              <w:top w:val="nil"/>
              <w:left w:val="nil"/>
              <w:bottom w:val="nil"/>
              <w:right w:val="nil"/>
            </w:tcBorders>
            <w:shd w:val="clear" w:color="auto" w:fill="auto"/>
            <w:noWrap/>
            <w:vAlign w:val="bottom"/>
          </w:tcPr>
          <w:p w14:paraId="4ACD38E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0.780</w:t>
            </w:r>
          </w:p>
        </w:tc>
      </w:tr>
      <w:tr w14:paraId="66958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445F45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No</w:t>
            </w:r>
          </w:p>
        </w:tc>
        <w:tc>
          <w:tcPr>
            <w:tcW w:w="2918" w:type="dxa"/>
            <w:tcBorders>
              <w:top w:val="nil"/>
              <w:left w:val="nil"/>
              <w:bottom w:val="nil"/>
              <w:right w:val="nil"/>
            </w:tcBorders>
            <w:shd w:val="clear" w:color="auto" w:fill="auto"/>
            <w:noWrap/>
            <w:vAlign w:val="bottom"/>
          </w:tcPr>
          <w:p w14:paraId="1747D4A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1.08 (1.04~1.13)</w:t>
            </w:r>
          </w:p>
        </w:tc>
        <w:tc>
          <w:tcPr>
            <w:tcW w:w="1441" w:type="dxa"/>
            <w:tcBorders>
              <w:top w:val="nil"/>
              <w:left w:val="nil"/>
              <w:bottom w:val="nil"/>
              <w:right w:val="nil"/>
            </w:tcBorders>
            <w:shd w:val="clear" w:color="auto" w:fill="auto"/>
            <w:noWrap/>
            <w:vAlign w:val="bottom"/>
          </w:tcPr>
          <w:p w14:paraId="0378B8FE">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2141" w:type="dxa"/>
            <w:tcBorders>
              <w:top w:val="nil"/>
              <w:left w:val="nil"/>
              <w:bottom w:val="nil"/>
              <w:right w:val="nil"/>
            </w:tcBorders>
            <w:shd w:val="clear" w:color="auto" w:fill="auto"/>
            <w:noWrap/>
            <w:vAlign w:val="bottom"/>
          </w:tcPr>
          <w:p w14:paraId="43CB9C7A">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22852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68B92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Yes</w:t>
            </w:r>
          </w:p>
        </w:tc>
        <w:tc>
          <w:tcPr>
            <w:tcW w:w="2918" w:type="dxa"/>
            <w:tcBorders>
              <w:top w:val="nil"/>
              <w:left w:val="nil"/>
              <w:bottom w:val="nil"/>
              <w:right w:val="nil"/>
            </w:tcBorders>
            <w:shd w:val="clear" w:color="auto" w:fill="auto"/>
            <w:noWrap/>
            <w:vAlign w:val="bottom"/>
          </w:tcPr>
          <w:p w14:paraId="37C5C0E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1.13 (0.91~1.39)</w:t>
            </w:r>
          </w:p>
        </w:tc>
        <w:tc>
          <w:tcPr>
            <w:tcW w:w="1441" w:type="dxa"/>
            <w:tcBorders>
              <w:top w:val="nil"/>
              <w:left w:val="nil"/>
              <w:bottom w:val="nil"/>
              <w:right w:val="nil"/>
            </w:tcBorders>
            <w:shd w:val="clear" w:color="auto" w:fill="auto"/>
            <w:noWrap/>
            <w:vAlign w:val="bottom"/>
          </w:tcPr>
          <w:p w14:paraId="72DB5D2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0.274</w:t>
            </w:r>
          </w:p>
        </w:tc>
        <w:tc>
          <w:tcPr>
            <w:tcW w:w="2141" w:type="dxa"/>
            <w:tcBorders>
              <w:top w:val="nil"/>
              <w:left w:val="nil"/>
              <w:bottom w:val="nil"/>
              <w:right w:val="nil"/>
            </w:tcBorders>
            <w:shd w:val="clear" w:color="auto" w:fill="auto"/>
            <w:noWrap/>
            <w:vAlign w:val="bottom"/>
          </w:tcPr>
          <w:p w14:paraId="795FC7DF">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r>
      <w:tr w14:paraId="1718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21CEC6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Hypertension</w:t>
            </w:r>
          </w:p>
        </w:tc>
        <w:tc>
          <w:tcPr>
            <w:tcW w:w="2918" w:type="dxa"/>
            <w:tcBorders>
              <w:top w:val="nil"/>
              <w:left w:val="nil"/>
              <w:bottom w:val="nil"/>
              <w:right w:val="nil"/>
            </w:tcBorders>
            <w:shd w:val="clear" w:color="auto" w:fill="auto"/>
            <w:noWrap/>
            <w:vAlign w:val="center"/>
          </w:tcPr>
          <w:p w14:paraId="43FEE723">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1441" w:type="dxa"/>
            <w:tcBorders>
              <w:top w:val="nil"/>
              <w:left w:val="nil"/>
              <w:bottom w:val="nil"/>
              <w:right w:val="nil"/>
            </w:tcBorders>
            <w:shd w:val="clear" w:color="auto" w:fill="auto"/>
            <w:noWrap/>
            <w:vAlign w:val="center"/>
          </w:tcPr>
          <w:p w14:paraId="1B92058C">
            <w:pPr>
              <w:widowControl/>
              <w:jc w:val="center"/>
              <w:textAlignment w:val="bottom"/>
              <w:rPr>
                <w:rFonts w:hint="default" w:ascii="Times New Roman" w:hAnsi="Times New Roman" w:eastAsia="宋体" w:cs="Times New Roman"/>
                <w:i w:val="0"/>
                <w:iCs w:val="0"/>
                <w:color w:val="000000"/>
                <w:kern w:val="0"/>
                <w:sz w:val="22"/>
                <w:szCs w:val="22"/>
                <w:u w:val="none"/>
                <w:lang w:bidi="ar"/>
              </w:rPr>
            </w:pPr>
          </w:p>
        </w:tc>
        <w:tc>
          <w:tcPr>
            <w:tcW w:w="2141" w:type="dxa"/>
            <w:tcBorders>
              <w:top w:val="nil"/>
              <w:left w:val="nil"/>
              <w:bottom w:val="nil"/>
              <w:right w:val="nil"/>
            </w:tcBorders>
            <w:shd w:val="clear" w:color="auto" w:fill="auto"/>
            <w:noWrap/>
            <w:vAlign w:val="bottom"/>
          </w:tcPr>
          <w:p w14:paraId="7A2B98B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0.055</w:t>
            </w:r>
          </w:p>
        </w:tc>
      </w:tr>
      <w:tr w14:paraId="2444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77" w:type="dxa"/>
            <w:tcBorders>
              <w:top w:val="nil"/>
              <w:left w:val="nil"/>
              <w:bottom w:val="nil"/>
              <w:right w:val="nil"/>
            </w:tcBorders>
            <w:shd w:val="clear" w:color="auto" w:fill="auto"/>
            <w:noWrap/>
            <w:vAlign w:val="center"/>
          </w:tcPr>
          <w:p w14:paraId="0A15D5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No</w:t>
            </w:r>
          </w:p>
        </w:tc>
        <w:tc>
          <w:tcPr>
            <w:tcW w:w="2918" w:type="dxa"/>
            <w:tcBorders>
              <w:top w:val="nil"/>
              <w:left w:val="nil"/>
              <w:bottom w:val="nil"/>
              <w:right w:val="nil"/>
            </w:tcBorders>
            <w:shd w:val="clear" w:color="auto" w:fill="auto"/>
            <w:noWrap/>
            <w:vAlign w:val="bottom"/>
          </w:tcPr>
          <w:p w14:paraId="1876044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1.06 (1.00~1.12)</w:t>
            </w:r>
          </w:p>
        </w:tc>
        <w:tc>
          <w:tcPr>
            <w:tcW w:w="1441" w:type="dxa"/>
            <w:tcBorders>
              <w:top w:val="nil"/>
              <w:left w:val="nil"/>
              <w:bottom w:val="nil"/>
              <w:right w:val="nil"/>
            </w:tcBorders>
            <w:shd w:val="clear" w:color="auto" w:fill="auto"/>
            <w:noWrap/>
            <w:vAlign w:val="bottom"/>
          </w:tcPr>
          <w:p w14:paraId="7706FFA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0.034</w:t>
            </w:r>
          </w:p>
        </w:tc>
        <w:tc>
          <w:tcPr>
            <w:tcW w:w="2141" w:type="dxa"/>
            <w:tcBorders>
              <w:top w:val="nil"/>
              <w:left w:val="nil"/>
              <w:bottom w:val="nil"/>
              <w:right w:val="nil"/>
            </w:tcBorders>
            <w:shd w:val="clear" w:color="auto" w:fill="auto"/>
            <w:noWrap/>
            <w:vAlign w:val="bottom"/>
          </w:tcPr>
          <w:p w14:paraId="49E1CC80">
            <w:pPr>
              <w:jc w:val="center"/>
              <w:rPr>
                <w:rFonts w:hint="default" w:ascii="Times New Roman" w:hAnsi="Times New Roman" w:eastAsia="宋体" w:cs="Times New Roman"/>
                <w:i w:val="0"/>
                <w:iCs w:val="0"/>
                <w:color w:val="000000"/>
                <w:sz w:val="24"/>
                <w:szCs w:val="24"/>
                <w:u w:val="none"/>
              </w:rPr>
            </w:pPr>
          </w:p>
        </w:tc>
      </w:tr>
      <w:tr w14:paraId="77800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77" w:type="dxa"/>
            <w:tcBorders>
              <w:top w:val="nil"/>
              <w:left w:val="nil"/>
              <w:bottom w:val="single" w:color="000000" w:sz="12" w:space="0"/>
              <w:right w:val="nil"/>
            </w:tcBorders>
            <w:shd w:val="clear" w:color="auto" w:fill="auto"/>
            <w:noWrap/>
            <w:vAlign w:val="center"/>
          </w:tcPr>
          <w:p w14:paraId="1AA144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Yes</w:t>
            </w:r>
          </w:p>
        </w:tc>
        <w:tc>
          <w:tcPr>
            <w:tcW w:w="2918" w:type="dxa"/>
            <w:tcBorders>
              <w:top w:val="nil"/>
              <w:left w:val="nil"/>
              <w:bottom w:val="single" w:color="000000" w:sz="12" w:space="0"/>
              <w:right w:val="nil"/>
            </w:tcBorders>
            <w:shd w:val="clear" w:color="auto" w:fill="auto"/>
            <w:noWrap/>
            <w:vAlign w:val="bottom"/>
          </w:tcPr>
          <w:p w14:paraId="61D8821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1.23 (1.08~1.39)</w:t>
            </w:r>
          </w:p>
        </w:tc>
        <w:tc>
          <w:tcPr>
            <w:tcW w:w="1441" w:type="dxa"/>
            <w:tcBorders>
              <w:top w:val="nil"/>
              <w:left w:val="nil"/>
              <w:bottom w:val="single" w:color="000000" w:sz="12" w:space="0"/>
              <w:right w:val="nil"/>
            </w:tcBorders>
            <w:shd w:val="clear" w:color="auto" w:fill="auto"/>
            <w:noWrap/>
            <w:vAlign w:val="bottom"/>
          </w:tcPr>
          <w:p w14:paraId="0BE43ED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2"/>
                <w:szCs w:val="22"/>
                <w:u w:val="none"/>
                <w:lang w:bidi="ar"/>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2141" w:type="dxa"/>
            <w:tcBorders>
              <w:top w:val="nil"/>
              <w:left w:val="nil"/>
              <w:bottom w:val="single" w:color="000000" w:sz="12" w:space="0"/>
              <w:right w:val="nil"/>
            </w:tcBorders>
            <w:shd w:val="clear" w:color="auto" w:fill="auto"/>
            <w:noWrap/>
            <w:vAlign w:val="bottom"/>
          </w:tcPr>
          <w:p w14:paraId="5B057099">
            <w:pPr>
              <w:jc w:val="center"/>
              <w:rPr>
                <w:rFonts w:hint="default" w:ascii="Times New Roman" w:hAnsi="Times New Roman" w:eastAsia="宋体" w:cs="Times New Roman"/>
                <w:i w:val="0"/>
                <w:iCs w:val="0"/>
                <w:color w:val="000000"/>
                <w:sz w:val="24"/>
                <w:szCs w:val="24"/>
                <w:u w:val="none"/>
              </w:rPr>
            </w:pPr>
          </w:p>
        </w:tc>
      </w:tr>
      <w:tr w14:paraId="206BB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4" w:hRule="atLeast"/>
        </w:trPr>
        <w:tc>
          <w:tcPr>
            <w:tcW w:w="8477" w:type="dxa"/>
            <w:gridSpan w:val="4"/>
            <w:tcBorders>
              <w:top w:val="nil"/>
              <w:left w:val="nil"/>
              <w:bottom w:val="nil"/>
              <w:right w:val="nil"/>
            </w:tcBorders>
            <w:shd w:val="clear" w:color="auto" w:fill="auto"/>
            <w:vAlign w:val="center"/>
          </w:tcPr>
          <w:p w14:paraId="6FCFABE1">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Cumulative TyG-CVAI was analyzed per 1-SD increase. Adjusted for age,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marital status, educational level, residence, smoking status, drink</w:t>
            </w:r>
            <w:r>
              <w:rPr>
                <w:rFonts w:hint="eastAsia" w:ascii="Times New Roman" w:hAnsi="Times New Roman" w:eastAsia="宋体" w:cs="Times New Roman"/>
                <w:i w:val="0"/>
                <w:iCs w:val="0"/>
                <w:color w:val="000000"/>
                <w:kern w:val="0"/>
                <w:sz w:val="24"/>
                <w:szCs w:val="24"/>
                <w:u w:val="none"/>
                <w:lang w:val="en-US" w:eastAsia="zh-CN" w:bidi="ar"/>
              </w:rPr>
              <w:t>ing</w:t>
            </w:r>
            <w:r>
              <w:rPr>
                <w:rFonts w:hint="default" w:ascii="Times New Roman" w:hAnsi="Times New Roman" w:eastAsia="宋体" w:cs="Times New Roman"/>
                <w:i w:val="0"/>
                <w:iCs w:val="0"/>
                <w:color w:val="000000"/>
                <w:kern w:val="0"/>
                <w:sz w:val="24"/>
                <w:szCs w:val="24"/>
                <w:u w:val="none"/>
                <w:lang w:val="en-US" w:eastAsia="zh-CN" w:bidi="ar"/>
              </w:rPr>
              <w:t xml:space="preserve"> status, cancer, liver disease and kidney disease, except for the corresponding stratification variable. Hypertension, diabetes, and dyslipidemia were stratification variables only. TyG, triglyceride-glucose index; CVAI, Chinese visceral adiposity index; CVD, cardiovascular disease.</w:t>
            </w:r>
          </w:p>
        </w:tc>
      </w:tr>
    </w:tbl>
    <w:p w14:paraId="3A8F3C81">
      <w:pPr>
        <w:jc w:val="both"/>
        <w:rPr>
          <w:rFonts w:hint="default" w:ascii="Times New Roman" w:hAnsi="Times New Roman" w:cs="Times New Roman"/>
          <w:b/>
          <w:bCs/>
          <w:color w:val="auto"/>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59E54C72">
      <w:pPr>
        <w:jc w:val="center"/>
        <w:rPr>
          <w:rFonts w:hint="default" w:ascii="Times New Roman" w:hAnsi="Times New Roman" w:cs="Times New Roman"/>
          <w:b/>
          <w:bCs/>
          <w:color w:val="auto"/>
          <w:sz w:val="24"/>
          <w:szCs w:val="24"/>
          <w:highlight w:val="none"/>
          <w:lang w:val="en-US" w:eastAsia="zh-CN"/>
        </w:rPr>
      </w:pPr>
    </w:p>
    <w:tbl>
      <w:tblPr>
        <w:tblStyle w:val="6"/>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88"/>
        <w:gridCol w:w="1967"/>
        <w:gridCol w:w="1159"/>
        <w:gridCol w:w="1967"/>
        <w:gridCol w:w="1159"/>
        <w:gridCol w:w="1968"/>
        <w:gridCol w:w="1166"/>
      </w:tblGrid>
      <w:tr w14:paraId="3251C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7"/>
            <w:tcBorders>
              <w:top w:val="nil"/>
              <w:left w:val="nil"/>
              <w:bottom w:val="nil"/>
              <w:right w:val="nil"/>
            </w:tcBorders>
            <w:shd w:val="clear" w:color="auto" w:fill="auto"/>
            <w:vAlign w:val="center"/>
          </w:tcPr>
          <w:p w14:paraId="4676D227">
            <w:pPr>
              <w:pStyle w:val="2"/>
              <w:snapToGrid w:val="0"/>
              <w:rPr>
                <w:rFonts w:hint="default" w:ascii="Times New Roman" w:hAnsi="Times New Roman" w:eastAsia="宋体" w:cs="Times New Roman"/>
                <w:b/>
                <w:bCs/>
                <w:i w:val="0"/>
                <w:iCs w:val="0"/>
                <w:color w:val="000000"/>
                <w:szCs w:val="24"/>
                <w:u w:val="none"/>
              </w:rPr>
            </w:pPr>
            <w:bookmarkStart w:id="2" w:name="_Toc11732"/>
            <w:bookmarkStart w:id="3" w:name="_Toc21603"/>
            <w:r>
              <w:rPr>
                <w:b/>
                <w:bCs/>
              </w:rPr>
              <w:t>Table S2</w:t>
            </w:r>
            <w:bookmarkEnd w:id="2"/>
            <w:r>
              <w:rPr>
                <w:rFonts w:hint="eastAsia"/>
                <w:b/>
                <w:bCs/>
                <w:lang w:val="en-US" w:eastAsia="zh-CN"/>
              </w:rPr>
              <w:t>.</w:t>
            </w:r>
            <w:r>
              <w:rPr>
                <w:rFonts w:hint="default"/>
                <w:b/>
                <w:bCs/>
                <w:lang w:val="en-US" w:eastAsia="zh-CN"/>
              </w:rPr>
              <w:t xml:space="preserve"> </w:t>
            </w:r>
            <w:r>
              <w:rPr>
                <w:rFonts w:hint="default"/>
                <w:lang w:val="en-US" w:eastAsia="zh-CN"/>
              </w:rPr>
              <w:t>Association between TyG-CVAI change patterns, cumulative TyG-CVAI, and new-onset CVD risk: cox regression analysis after multiple imputation</w:t>
            </w:r>
            <w:bookmarkEnd w:id="3"/>
          </w:p>
        </w:tc>
      </w:tr>
      <w:tr w14:paraId="4D2F5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88" w:type="dxa"/>
            <w:vMerge w:val="restart"/>
            <w:tcBorders>
              <w:top w:val="single" w:color="000000" w:sz="12" w:space="0"/>
              <w:left w:val="nil"/>
              <w:bottom w:val="single" w:color="000000" w:sz="8" w:space="0"/>
              <w:right w:val="nil"/>
            </w:tcBorders>
            <w:shd w:val="clear" w:color="auto" w:fill="auto"/>
            <w:noWrap/>
            <w:vAlign w:val="top"/>
          </w:tcPr>
          <w:p w14:paraId="6D7BF2C3">
            <w:pPr>
              <w:keepNext w:val="0"/>
              <w:keepLines w:val="0"/>
              <w:widowControl/>
              <w:suppressLineNumbers w:val="0"/>
              <w:snapToGrid w:val="0"/>
              <w:jc w:val="left"/>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Variable</w:t>
            </w:r>
          </w:p>
        </w:tc>
        <w:tc>
          <w:tcPr>
            <w:tcW w:w="3126" w:type="dxa"/>
            <w:gridSpan w:val="2"/>
            <w:tcBorders>
              <w:top w:val="single" w:color="000000" w:sz="12" w:space="0"/>
              <w:left w:val="nil"/>
              <w:bottom w:val="single" w:color="000000" w:sz="8" w:space="0"/>
              <w:right w:val="nil"/>
            </w:tcBorders>
            <w:shd w:val="clear" w:color="auto" w:fill="auto"/>
            <w:noWrap/>
            <w:vAlign w:val="center"/>
          </w:tcPr>
          <w:p w14:paraId="0269A90D">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r>
              <w:rPr>
                <w:rFonts w:hint="eastAsia" w:ascii="Times New Roman" w:hAnsi="Times New Roman" w:eastAsia="宋体" w:cs="Times New Roman"/>
                <w:b/>
                <w:bCs/>
                <w:i w:val="0"/>
                <w:iCs w:val="0"/>
                <w:color w:val="000000"/>
                <w:kern w:val="0"/>
                <w:sz w:val="22"/>
                <w:szCs w:val="22"/>
                <w:u w:val="none"/>
                <w:lang w:val="en-US" w:eastAsia="zh-CN" w:bidi="ar"/>
              </w:rPr>
              <w:t xml:space="preserve"> </w:t>
            </w:r>
            <w:r>
              <w:rPr>
                <w:rFonts w:hint="default" w:ascii="Times New Roman" w:hAnsi="Times New Roman" w:eastAsia="宋体" w:cs="Times New Roman"/>
                <w:b/>
                <w:bCs/>
                <w:i w:val="0"/>
                <w:iCs w:val="0"/>
                <w:color w:val="000000"/>
                <w:kern w:val="0"/>
                <w:sz w:val="22"/>
                <w:szCs w:val="22"/>
                <w:u w:val="none"/>
                <w:lang w:val="en-US" w:eastAsia="zh-CN" w:bidi="ar"/>
              </w:rPr>
              <w:t>1</w:t>
            </w:r>
          </w:p>
        </w:tc>
        <w:tc>
          <w:tcPr>
            <w:tcW w:w="3126" w:type="dxa"/>
            <w:gridSpan w:val="2"/>
            <w:tcBorders>
              <w:top w:val="single" w:color="000000" w:sz="12" w:space="0"/>
              <w:left w:val="nil"/>
              <w:bottom w:val="single" w:color="000000" w:sz="8" w:space="0"/>
              <w:right w:val="nil"/>
            </w:tcBorders>
            <w:shd w:val="clear" w:color="auto" w:fill="auto"/>
            <w:noWrap/>
            <w:vAlign w:val="center"/>
          </w:tcPr>
          <w:p w14:paraId="17F513B9">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r>
              <w:rPr>
                <w:rFonts w:hint="eastAsia" w:ascii="Times New Roman" w:hAnsi="Times New Roman" w:eastAsia="宋体" w:cs="Times New Roman"/>
                <w:b/>
                <w:bCs/>
                <w:i w:val="0"/>
                <w:iCs w:val="0"/>
                <w:color w:val="000000"/>
                <w:kern w:val="0"/>
                <w:sz w:val="22"/>
                <w:szCs w:val="22"/>
                <w:u w:val="none"/>
                <w:lang w:val="en-US" w:eastAsia="zh-CN" w:bidi="ar"/>
              </w:rPr>
              <w:t xml:space="preserve"> </w:t>
            </w:r>
            <w:r>
              <w:rPr>
                <w:rFonts w:hint="default" w:ascii="Times New Roman" w:hAnsi="Times New Roman" w:eastAsia="宋体" w:cs="Times New Roman"/>
                <w:b/>
                <w:bCs/>
                <w:i w:val="0"/>
                <w:iCs w:val="0"/>
                <w:color w:val="000000"/>
                <w:kern w:val="0"/>
                <w:sz w:val="22"/>
                <w:szCs w:val="22"/>
                <w:u w:val="none"/>
                <w:lang w:val="en-US" w:eastAsia="zh-CN" w:bidi="ar"/>
              </w:rPr>
              <w:t>2</w:t>
            </w:r>
          </w:p>
        </w:tc>
        <w:tc>
          <w:tcPr>
            <w:tcW w:w="3134" w:type="dxa"/>
            <w:gridSpan w:val="2"/>
            <w:tcBorders>
              <w:top w:val="single" w:color="000000" w:sz="12" w:space="0"/>
              <w:left w:val="nil"/>
              <w:bottom w:val="single" w:color="000000" w:sz="8" w:space="0"/>
              <w:right w:val="nil"/>
            </w:tcBorders>
            <w:shd w:val="clear" w:color="auto" w:fill="auto"/>
            <w:noWrap/>
            <w:vAlign w:val="center"/>
          </w:tcPr>
          <w:p w14:paraId="71500A74">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r>
              <w:rPr>
                <w:rFonts w:hint="eastAsia" w:ascii="Times New Roman" w:hAnsi="Times New Roman" w:eastAsia="宋体" w:cs="Times New Roman"/>
                <w:b/>
                <w:bCs/>
                <w:i w:val="0"/>
                <w:iCs w:val="0"/>
                <w:color w:val="000000"/>
                <w:kern w:val="0"/>
                <w:sz w:val="22"/>
                <w:szCs w:val="22"/>
                <w:u w:val="none"/>
                <w:lang w:val="en-US" w:eastAsia="zh-CN" w:bidi="ar"/>
              </w:rPr>
              <w:t xml:space="preserve"> </w:t>
            </w:r>
            <w:r>
              <w:rPr>
                <w:rFonts w:hint="default" w:ascii="Times New Roman" w:hAnsi="Times New Roman" w:eastAsia="宋体" w:cs="Times New Roman"/>
                <w:b/>
                <w:bCs/>
                <w:i w:val="0"/>
                <w:iCs w:val="0"/>
                <w:color w:val="000000"/>
                <w:kern w:val="0"/>
                <w:sz w:val="22"/>
                <w:szCs w:val="22"/>
                <w:u w:val="none"/>
                <w:lang w:val="en-US" w:eastAsia="zh-CN" w:bidi="ar"/>
              </w:rPr>
              <w:t>3</w:t>
            </w:r>
          </w:p>
        </w:tc>
      </w:tr>
      <w:tr w14:paraId="6EFCE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vMerge w:val="continue"/>
            <w:tcBorders>
              <w:top w:val="single" w:color="000000" w:sz="12" w:space="0"/>
              <w:left w:val="nil"/>
              <w:bottom w:val="single" w:color="000000" w:sz="8" w:space="0"/>
              <w:right w:val="nil"/>
            </w:tcBorders>
            <w:shd w:val="clear" w:color="auto" w:fill="auto"/>
            <w:noWrap/>
            <w:vAlign w:val="top"/>
          </w:tcPr>
          <w:p w14:paraId="403B1988">
            <w:pPr>
              <w:snapToGrid w:val="0"/>
              <w:jc w:val="left"/>
              <w:rPr>
                <w:rFonts w:hint="default" w:ascii="Times New Roman" w:hAnsi="Times New Roman" w:eastAsia="宋体" w:cs="Times New Roman"/>
                <w:b/>
                <w:bCs/>
                <w:i w:val="0"/>
                <w:iCs w:val="0"/>
                <w:color w:val="000000"/>
                <w:sz w:val="24"/>
                <w:szCs w:val="24"/>
                <w:u w:val="none"/>
              </w:rPr>
            </w:pPr>
          </w:p>
        </w:tc>
        <w:tc>
          <w:tcPr>
            <w:tcW w:w="1967" w:type="dxa"/>
            <w:tcBorders>
              <w:top w:val="nil"/>
              <w:left w:val="nil"/>
              <w:bottom w:val="single" w:color="000000" w:sz="8" w:space="0"/>
              <w:right w:val="nil"/>
            </w:tcBorders>
            <w:shd w:val="clear" w:color="auto" w:fill="auto"/>
            <w:noWrap/>
            <w:vAlign w:val="center"/>
          </w:tcPr>
          <w:p w14:paraId="5F03DF94">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1159" w:type="dxa"/>
            <w:tcBorders>
              <w:top w:val="nil"/>
              <w:left w:val="nil"/>
              <w:bottom w:val="single" w:color="000000" w:sz="8" w:space="0"/>
              <w:right w:val="nil"/>
            </w:tcBorders>
            <w:shd w:val="clear" w:color="auto" w:fill="auto"/>
            <w:noWrap/>
            <w:vAlign w:val="center"/>
          </w:tcPr>
          <w:p w14:paraId="65ADACF8">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1967" w:type="dxa"/>
            <w:tcBorders>
              <w:top w:val="nil"/>
              <w:left w:val="nil"/>
              <w:bottom w:val="single" w:color="000000" w:sz="8" w:space="0"/>
              <w:right w:val="nil"/>
            </w:tcBorders>
            <w:shd w:val="clear" w:color="auto" w:fill="auto"/>
            <w:noWrap/>
            <w:vAlign w:val="center"/>
          </w:tcPr>
          <w:p w14:paraId="3E60ABAD">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1159" w:type="dxa"/>
            <w:tcBorders>
              <w:top w:val="nil"/>
              <w:left w:val="nil"/>
              <w:bottom w:val="single" w:color="000000" w:sz="8" w:space="0"/>
              <w:right w:val="nil"/>
            </w:tcBorders>
            <w:shd w:val="clear" w:color="auto" w:fill="auto"/>
            <w:noWrap/>
            <w:vAlign w:val="center"/>
          </w:tcPr>
          <w:p w14:paraId="43489BB7">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1968" w:type="dxa"/>
            <w:tcBorders>
              <w:top w:val="nil"/>
              <w:left w:val="nil"/>
              <w:bottom w:val="single" w:color="000000" w:sz="8" w:space="0"/>
              <w:right w:val="nil"/>
            </w:tcBorders>
            <w:shd w:val="clear" w:color="auto" w:fill="auto"/>
            <w:noWrap/>
            <w:vAlign w:val="center"/>
          </w:tcPr>
          <w:p w14:paraId="69148B33">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1166" w:type="dxa"/>
            <w:tcBorders>
              <w:top w:val="nil"/>
              <w:left w:val="nil"/>
              <w:bottom w:val="single" w:color="000000" w:sz="8" w:space="0"/>
              <w:right w:val="nil"/>
            </w:tcBorders>
            <w:shd w:val="clear" w:color="auto" w:fill="auto"/>
            <w:noWrap/>
            <w:vAlign w:val="center"/>
          </w:tcPr>
          <w:p w14:paraId="68043451">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r>
      <w:tr w14:paraId="43502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78A9ECFA">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TyG-CVAI change patterns</w:t>
            </w:r>
          </w:p>
        </w:tc>
        <w:tc>
          <w:tcPr>
            <w:tcW w:w="1967" w:type="dxa"/>
            <w:tcBorders>
              <w:top w:val="nil"/>
              <w:left w:val="nil"/>
              <w:bottom w:val="nil"/>
              <w:right w:val="nil"/>
            </w:tcBorders>
            <w:shd w:val="clear" w:color="auto" w:fill="auto"/>
            <w:noWrap/>
            <w:vAlign w:val="center"/>
          </w:tcPr>
          <w:p w14:paraId="03253DD2">
            <w:pPr>
              <w:snapToGrid w:val="0"/>
              <w:jc w:val="center"/>
              <w:rPr>
                <w:rFonts w:hint="default" w:ascii="Times New Roman" w:hAnsi="Times New Roman" w:eastAsia="宋体" w:cs="Times New Roman"/>
                <w:i w:val="0"/>
                <w:iCs w:val="0"/>
                <w:color w:val="000000"/>
                <w:sz w:val="22"/>
                <w:szCs w:val="22"/>
                <w:u w:val="none"/>
              </w:rPr>
            </w:pPr>
          </w:p>
        </w:tc>
        <w:tc>
          <w:tcPr>
            <w:tcW w:w="1159" w:type="dxa"/>
            <w:tcBorders>
              <w:top w:val="nil"/>
              <w:left w:val="nil"/>
              <w:bottom w:val="nil"/>
              <w:right w:val="nil"/>
            </w:tcBorders>
            <w:shd w:val="clear" w:color="auto" w:fill="auto"/>
            <w:noWrap/>
            <w:vAlign w:val="center"/>
          </w:tcPr>
          <w:p w14:paraId="3FD812D8">
            <w:pPr>
              <w:snapToGrid w:val="0"/>
              <w:jc w:val="center"/>
              <w:rPr>
                <w:rFonts w:hint="default" w:ascii="Times New Roman" w:hAnsi="Times New Roman" w:eastAsia="宋体" w:cs="Times New Roman"/>
                <w:i w:val="0"/>
                <w:iCs w:val="0"/>
                <w:color w:val="000000"/>
                <w:sz w:val="22"/>
                <w:szCs w:val="22"/>
                <w:u w:val="none"/>
              </w:rPr>
            </w:pPr>
          </w:p>
        </w:tc>
        <w:tc>
          <w:tcPr>
            <w:tcW w:w="1967" w:type="dxa"/>
            <w:tcBorders>
              <w:top w:val="nil"/>
              <w:left w:val="nil"/>
              <w:bottom w:val="nil"/>
              <w:right w:val="nil"/>
            </w:tcBorders>
            <w:shd w:val="clear" w:color="auto" w:fill="auto"/>
            <w:noWrap/>
            <w:vAlign w:val="center"/>
          </w:tcPr>
          <w:p w14:paraId="25BECED9">
            <w:pPr>
              <w:snapToGrid w:val="0"/>
              <w:jc w:val="center"/>
              <w:rPr>
                <w:rFonts w:hint="default" w:ascii="Times New Roman" w:hAnsi="Times New Roman" w:eastAsia="宋体" w:cs="Times New Roman"/>
                <w:i w:val="0"/>
                <w:iCs w:val="0"/>
                <w:color w:val="000000"/>
                <w:sz w:val="22"/>
                <w:szCs w:val="22"/>
                <w:u w:val="none"/>
              </w:rPr>
            </w:pPr>
          </w:p>
        </w:tc>
        <w:tc>
          <w:tcPr>
            <w:tcW w:w="1159" w:type="dxa"/>
            <w:tcBorders>
              <w:top w:val="nil"/>
              <w:left w:val="nil"/>
              <w:bottom w:val="nil"/>
              <w:right w:val="nil"/>
            </w:tcBorders>
            <w:shd w:val="clear" w:color="auto" w:fill="auto"/>
            <w:noWrap/>
            <w:vAlign w:val="center"/>
          </w:tcPr>
          <w:p w14:paraId="1CD1E2AE">
            <w:pPr>
              <w:snapToGrid w:val="0"/>
              <w:jc w:val="center"/>
              <w:rPr>
                <w:rFonts w:hint="default" w:ascii="Times New Roman" w:hAnsi="Times New Roman" w:eastAsia="宋体" w:cs="Times New Roman"/>
                <w:i w:val="0"/>
                <w:iCs w:val="0"/>
                <w:color w:val="000000"/>
                <w:sz w:val="22"/>
                <w:szCs w:val="22"/>
                <w:u w:val="none"/>
              </w:rPr>
            </w:pPr>
          </w:p>
        </w:tc>
        <w:tc>
          <w:tcPr>
            <w:tcW w:w="1968" w:type="dxa"/>
            <w:tcBorders>
              <w:top w:val="nil"/>
              <w:left w:val="nil"/>
              <w:bottom w:val="nil"/>
              <w:right w:val="nil"/>
            </w:tcBorders>
            <w:shd w:val="clear" w:color="auto" w:fill="auto"/>
            <w:noWrap/>
            <w:vAlign w:val="center"/>
          </w:tcPr>
          <w:p w14:paraId="43CF73FB">
            <w:pPr>
              <w:snapToGrid w:val="0"/>
              <w:jc w:val="center"/>
              <w:rPr>
                <w:rFonts w:hint="default" w:ascii="Times New Roman" w:hAnsi="Times New Roman" w:eastAsia="宋体" w:cs="Times New Roman"/>
                <w:i w:val="0"/>
                <w:iCs w:val="0"/>
                <w:color w:val="000000"/>
                <w:sz w:val="22"/>
                <w:szCs w:val="22"/>
                <w:u w:val="none"/>
              </w:rPr>
            </w:pPr>
          </w:p>
        </w:tc>
        <w:tc>
          <w:tcPr>
            <w:tcW w:w="1166" w:type="dxa"/>
            <w:tcBorders>
              <w:top w:val="nil"/>
              <w:left w:val="nil"/>
              <w:bottom w:val="nil"/>
              <w:right w:val="nil"/>
            </w:tcBorders>
            <w:shd w:val="clear" w:color="auto" w:fill="auto"/>
            <w:noWrap/>
            <w:vAlign w:val="center"/>
          </w:tcPr>
          <w:p w14:paraId="46A9DF52">
            <w:pPr>
              <w:snapToGrid w:val="0"/>
              <w:jc w:val="center"/>
              <w:rPr>
                <w:rFonts w:hint="default" w:ascii="Times New Roman" w:hAnsi="Times New Roman" w:eastAsia="宋体" w:cs="Times New Roman"/>
                <w:i w:val="0"/>
                <w:iCs w:val="0"/>
                <w:color w:val="000000"/>
                <w:sz w:val="22"/>
                <w:szCs w:val="22"/>
                <w:u w:val="none"/>
              </w:rPr>
            </w:pPr>
          </w:p>
        </w:tc>
      </w:tr>
      <w:tr w14:paraId="46078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3567E0BE">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Low-Low</w:t>
            </w:r>
          </w:p>
        </w:tc>
        <w:tc>
          <w:tcPr>
            <w:tcW w:w="1967" w:type="dxa"/>
            <w:tcBorders>
              <w:top w:val="nil"/>
              <w:left w:val="nil"/>
              <w:bottom w:val="nil"/>
              <w:right w:val="nil"/>
            </w:tcBorders>
            <w:shd w:val="clear" w:color="auto" w:fill="auto"/>
            <w:noWrap/>
            <w:vAlign w:val="center"/>
          </w:tcPr>
          <w:p w14:paraId="190ACC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59" w:type="dxa"/>
            <w:tcBorders>
              <w:top w:val="nil"/>
              <w:left w:val="nil"/>
              <w:bottom w:val="nil"/>
              <w:right w:val="nil"/>
            </w:tcBorders>
            <w:shd w:val="clear" w:color="auto" w:fill="auto"/>
            <w:noWrap/>
            <w:vAlign w:val="center"/>
          </w:tcPr>
          <w:p w14:paraId="7BA8B78E">
            <w:pPr>
              <w:snapToGrid w:val="0"/>
              <w:jc w:val="center"/>
              <w:rPr>
                <w:rFonts w:hint="default" w:ascii="Times New Roman" w:hAnsi="Times New Roman" w:eastAsia="宋体" w:cs="Times New Roman"/>
                <w:i w:val="0"/>
                <w:iCs w:val="0"/>
                <w:color w:val="000000"/>
                <w:sz w:val="24"/>
                <w:szCs w:val="24"/>
                <w:u w:val="none"/>
              </w:rPr>
            </w:pPr>
          </w:p>
        </w:tc>
        <w:tc>
          <w:tcPr>
            <w:tcW w:w="1967" w:type="dxa"/>
            <w:tcBorders>
              <w:top w:val="nil"/>
              <w:left w:val="nil"/>
              <w:bottom w:val="nil"/>
              <w:right w:val="nil"/>
            </w:tcBorders>
            <w:shd w:val="clear" w:color="auto" w:fill="auto"/>
            <w:noWrap/>
            <w:vAlign w:val="center"/>
          </w:tcPr>
          <w:p w14:paraId="1E263A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59" w:type="dxa"/>
            <w:tcBorders>
              <w:top w:val="nil"/>
              <w:left w:val="nil"/>
              <w:bottom w:val="nil"/>
              <w:right w:val="nil"/>
            </w:tcBorders>
            <w:shd w:val="clear" w:color="auto" w:fill="auto"/>
            <w:noWrap/>
            <w:vAlign w:val="center"/>
          </w:tcPr>
          <w:p w14:paraId="621271AD">
            <w:pPr>
              <w:snapToGrid w:val="0"/>
              <w:jc w:val="center"/>
              <w:rPr>
                <w:rFonts w:hint="default" w:ascii="Times New Roman" w:hAnsi="Times New Roman" w:eastAsia="宋体" w:cs="Times New Roman"/>
                <w:i w:val="0"/>
                <w:iCs w:val="0"/>
                <w:color w:val="000000"/>
                <w:sz w:val="24"/>
                <w:szCs w:val="24"/>
                <w:u w:val="none"/>
              </w:rPr>
            </w:pPr>
          </w:p>
        </w:tc>
        <w:tc>
          <w:tcPr>
            <w:tcW w:w="1968" w:type="dxa"/>
            <w:tcBorders>
              <w:top w:val="nil"/>
              <w:left w:val="nil"/>
              <w:bottom w:val="nil"/>
              <w:right w:val="nil"/>
            </w:tcBorders>
            <w:shd w:val="clear" w:color="auto" w:fill="auto"/>
            <w:noWrap/>
            <w:vAlign w:val="center"/>
          </w:tcPr>
          <w:p w14:paraId="37348D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66" w:type="dxa"/>
            <w:tcBorders>
              <w:top w:val="nil"/>
              <w:left w:val="nil"/>
              <w:bottom w:val="nil"/>
              <w:right w:val="nil"/>
            </w:tcBorders>
            <w:shd w:val="clear" w:color="auto" w:fill="auto"/>
            <w:noWrap/>
            <w:vAlign w:val="center"/>
          </w:tcPr>
          <w:p w14:paraId="64E8ABB3">
            <w:pPr>
              <w:snapToGrid w:val="0"/>
              <w:jc w:val="center"/>
              <w:rPr>
                <w:rFonts w:hint="default" w:ascii="Times New Roman" w:hAnsi="Times New Roman" w:eastAsia="宋体" w:cs="Times New Roman"/>
                <w:i w:val="0"/>
                <w:iCs w:val="0"/>
                <w:color w:val="000000"/>
                <w:sz w:val="24"/>
                <w:szCs w:val="24"/>
                <w:u w:val="none"/>
              </w:rPr>
            </w:pPr>
          </w:p>
        </w:tc>
      </w:tr>
      <w:tr w14:paraId="18782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4B3CA7F8">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Low-High</w:t>
            </w:r>
          </w:p>
        </w:tc>
        <w:tc>
          <w:tcPr>
            <w:tcW w:w="1967" w:type="dxa"/>
            <w:tcBorders>
              <w:top w:val="nil"/>
              <w:left w:val="nil"/>
              <w:bottom w:val="nil"/>
              <w:right w:val="nil"/>
            </w:tcBorders>
            <w:shd w:val="clear" w:color="auto" w:fill="auto"/>
            <w:noWrap/>
            <w:vAlign w:val="center"/>
          </w:tcPr>
          <w:p w14:paraId="66B4BE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 (1.22~1.89)</w:t>
            </w:r>
          </w:p>
        </w:tc>
        <w:tc>
          <w:tcPr>
            <w:tcW w:w="1159" w:type="dxa"/>
            <w:tcBorders>
              <w:top w:val="nil"/>
              <w:left w:val="nil"/>
              <w:bottom w:val="nil"/>
              <w:right w:val="nil"/>
            </w:tcBorders>
            <w:shd w:val="clear" w:color="auto" w:fill="auto"/>
            <w:noWrap/>
            <w:vAlign w:val="center"/>
          </w:tcPr>
          <w:p w14:paraId="413301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7" w:type="dxa"/>
            <w:tcBorders>
              <w:top w:val="nil"/>
              <w:left w:val="nil"/>
              <w:bottom w:val="nil"/>
              <w:right w:val="nil"/>
            </w:tcBorders>
            <w:shd w:val="clear" w:color="auto" w:fill="auto"/>
            <w:noWrap/>
            <w:vAlign w:val="center"/>
          </w:tcPr>
          <w:p w14:paraId="1AA4F6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 (1.19~1.85)</w:t>
            </w:r>
          </w:p>
        </w:tc>
        <w:tc>
          <w:tcPr>
            <w:tcW w:w="1159" w:type="dxa"/>
            <w:tcBorders>
              <w:top w:val="nil"/>
              <w:left w:val="nil"/>
              <w:bottom w:val="nil"/>
              <w:right w:val="nil"/>
            </w:tcBorders>
            <w:shd w:val="clear" w:color="auto" w:fill="auto"/>
            <w:noWrap/>
            <w:vAlign w:val="center"/>
          </w:tcPr>
          <w:p w14:paraId="71295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8" w:type="dxa"/>
            <w:tcBorders>
              <w:top w:val="nil"/>
              <w:left w:val="nil"/>
              <w:bottom w:val="nil"/>
              <w:right w:val="nil"/>
            </w:tcBorders>
            <w:shd w:val="clear" w:color="auto" w:fill="auto"/>
            <w:noWrap/>
            <w:vAlign w:val="bottom"/>
          </w:tcPr>
          <w:p w14:paraId="49676F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1.49 (1.20~1.86)</w:t>
            </w:r>
          </w:p>
        </w:tc>
        <w:tc>
          <w:tcPr>
            <w:tcW w:w="1166" w:type="dxa"/>
            <w:tcBorders>
              <w:top w:val="nil"/>
              <w:left w:val="nil"/>
              <w:bottom w:val="nil"/>
              <w:right w:val="nil"/>
            </w:tcBorders>
            <w:shd w:val="clear" w:color="auto" w:fill="auto"/>
            <w:noWrap/>
            <w:vAlign w:val="bottom"/>
          </w:tcPr>
          <w:p w14:paraId="47EFE5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9ABC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3802E0D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High-Low</w:t>
            </w:r>
          </w:p>
        </w:tc>
        <w:tc>
          <w:tcPr>
            <w:tcW w:w="1967" w:type="dxa"/>
            <w:tcBorders>
              <w:top w:val="nil"/>
              <w:left w:val="nil"/>
              <w:bottom w:val="nil"/>
              <w:right w:val="nil"/>
            </w:tcBorders>
            <w:shd w:val="clear" w:color="auto" w:fill="auto"/>
            <w:noWrap/>
            <w:vAlign w:val="center"/>
          </w:tcPr>
          <w:p w14:paraId="17A83C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 (1.20~2.25)</w:t>
            </w:r>
          </w:p>
        </w:tc>
        <w:tc>
          <w:tcPr>
            <w:tcW w:w="1159" w:type="dxa"/>
            <w:tcBorders>
              <w:top w:val="nil"/>
              <w:left w:val="nil"/>
              <w:bottom w:val="nil"/>
              <w:right w:val="nil"/>
            </w:tcBorders>
            <w:shd w:val="clear" w:color="auto" w:fill="auto"/>
            <w:noWrap/>
            <w:vAlign w:val="center"/>
          </w:tcPr>
          <w:p w14:paraId="18FCA0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0.002</w:t>
            </w:r>
          </w:p>
        </w:tc>
        <w:tc>
          <w:tcPr>
            <w:tcW w:w="1967" w:type="dxa"/>
            <w:tcBorders>
              <w:top w:val="nil"/>
              <w:left w:val="nil"/>
              <w:bottom w:val="nil"/>
              <w:right w:val="nil"/>
            </w:tcBorders>
            <w:shd w:val="clear" w:color="auto" w:fill="auto"/>
            <w:noWrap/>
            <w:vAlign w:val="center"/>
          </w:tcPr>
          <w:p w14:paraId="6041FE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 (1.16~2.19)</w:t>
            </w:r>
          </w:p>
        </w:tc>
        <w:tc>
          <w:tcPr>
            <w:tcW w:w="1159" w:type="dxa"/>
            <w:tcBorders>
              <w:top w:val="nil"/>
              <w:left w:val="nil"/>
              <w:bottom w:val="nil"/>
              <w:right w:val="nil"/>
            </w:tcBorders>
            <w:shd w:val="clear" w:color="auto" w:fill="auto"/>
            <w:noWrap/>
            <w:vAlign w:val="center"/>
          </w:tcPr>
          <w:p w14:paraId="163395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0.004</w:t>
            </w:r>
          </w:p>
        </w:tc>
        <w:tc>
          <w:tcPr>
            <w:tcW w:w="1968" w:type="dxa"/>
            <w:tcBorders>
              <w:top w:val="nil"/>
              <w:left w:val="nil"/>
              <w:bottom w:val="nil"/>
              <w:right w:val="nil"/>
            </w:tcBorders>
            <w:shd w:val="clear" w:color="auto" w:fill="auto"/>
            <w:noWrap/>
            <w:vAlign w:val="bottom"/>
          </w:tcPr>
          <w:p w14:paraId="41F716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1.62 (1.18~2.22)</w:t>
            </w:r>
          </w:p>
        </w:tc>
        <w:tc>
          <w:tcPr>
            <w:tcW w:w="1166" w:type="dxa"/>
            <w:tcBorders>
              <w:top w:val="nil"/>
              <w:left w:val="nil"/>
              <w:bottom w:val="nil"/>
              <w:right w:val="nil"/>
            </w:tcBorders>
            <w:shd w:val="clear" w:color="auto" w:fill="auto"/>
            <w:noWrap/>
            <w:vAlign w:val="bottom"/>
          </w:tcPr>
          <w:p w14:paraId="04B8F2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0.003</w:t>
            </w:r>
          </w:p>
        </w:tc>
      </w:tr>
      <w:tr w14:paraId="3A01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30EF7717">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High-High</w:t>
            </w:r>
          </w:p>
        </w:tc>
        <w:tc>
          <w:tcPr>
            <w:tcW w:w="1967" w:type="dxa"/>
            <w:tcBorders>
              <w:top w:val="nil"/>
              <w:left w:val="nil"/>
              <w:bottom w:val="nil"/>
              <w:right w:val="nil"/>
            </w:tcBorders>
            <w:shd w:val="clear" w:color="auto" w:fill="auto"/>
            <w:noWrap/>
            <w:vAlign w:val="center"/>
          </w:tcPr>
          <w:p w14:paraId="019A01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 (1.59~2.21)</w:t>
            </w:r>
          </w:p>
        </w:tc>
        <w:tc>
          <w:tcPr>
            <w:tcW w:w="1159" w:type="dxa"/>
            <w:tcBorders>
              <w:top w:val="nil"/>
              <w:left w:val="nil"/>
              <w:bottom w:val="nil"/>
              <w:right w:val="nil"/>
            </w:tcBorders>
            <w:shd w:val="clear" w:color="auto" w:fill="auto"/>
            <w:noWrap/>
            <w:vAlign w:val="center"/>
          </w:tcPr>
          <w:p w14:paraId="67F8F9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7" w:type="dxa"/>
            <w:tcBorders>
              <w:top w:val="nil"/>
              <w:left w:val="nil"/>
              <w:bottom w:val="nil"/>
              <w:right w:val="nil"/>
            </w:tcBorders>
            <w:shd w:val="clear" w:color="auto" w:fill="auto"/>
            <w:noWrap/>
            <w:vAlign w:val="center"/>
          </w:tcPr>
          <w:p w14:paraId="4D4732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 (1.49~2.07)</w:t>
            </w:r>
          </w:p>
        </w:tc>
        <w:tc>
          <w:tcPr>
            <w:tcW w:w="1159" w:type="dxa"/>
            <w:tcBorders>
              <w:top w:val="nil"/>
              <w:left w:val="nil"/>
              <w:bottom w:val="nil"/>
              <w:right w:val="nil"/>
            </w:tcBorders>
            <w:shd w:val="clear" w:color="auto" w:fill="auto"/>
            <w:noWrap/>
            <w:vAlign w:val="center"/>
          </w:tcPr>
          <w:p w14:paraId="1FA9FD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8" w:type="dxa"/>
            <w:tcBorders>
              <w:top w:val="nil"/>
              <w:left w:val="nil"/>
              <w:bottom w:val="nil"/>
              <w:right w:val="nil"/>
            </w:tcBorders>
            <w:shd w:val="clear" w:color="auto" w:fill="auto"/>
            <w:noWrap/>
            <w:vAlign w:val="bottom"/>
          </w:tcPr>
          <w:p w14:paraId="04FA1E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1.77 (1.50~2.09)</w:t>
            </w:r>
          </w:p>
        </w:tc>
        <w:tc>
          <w:tcPr>
            <w:tcW w:w="1166" w:type="dxa"/>
            <w:tcBorders>
              <w:top w:val="nil"/>
              <w:left w:val="nil"/>
              <w:bottom w:val="nil"/>
              <w:right w:val="nil"/>
            </w:tcBorders>
            <w:shd w:val="clear" w:color="auto" w:fill="auto"/>
            <w:noWrap/>
            <w:vAlign w:val="bottom"/>
          </w:tcPr>
          <w:p w14:paraId="5515A3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79F43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3E9F964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Cumulative TyG-CVAI</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(per 1-SD increase)</w:t>
            </w:r>
          </w:p>
        </w:tc>
        <w:tc>
          <w:tcPr>
            <w:tcW w:w="1967" w:type="dxa"/>
            <w:tcBorders>
              <w:top w:val="nil"/>
              <w:left w:val="nil"/>
              <w:bottom w:val="nil"/>
              <w:right w:val="nil"/>
            </w:tcBorders>
            <w:shd w:val="clear" w:color="auto" w:fill="auto"/>
            <w:noWrap/>
            <w:vAlign w:val="center"/>
          </w:tcPr>
          <w:p w14:paraId="078FBD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(1.07~1.15)</w:t>
            </w:r>
          </w:p>
        </w:tc>
        <w:tc>
          <w:tcPr>
            <w:tcW w:w="1159" w:type="dxa"/>
            <w:tcBorders>
              <w:top w:val="nil"/>
              <w:left w:val="nil"/>
              <w:bottom w:val="nil"/>
              <w:right w:val="nil"/>
            </w:tcBorders>
            <w:shd w:val="clear" w:color="auto" w:fill="auto"/>
            <w:noWrap/>
            <w:vAlign w:val="center"/>
          </w:tcPr>
          <w:p w14:paraId="49BD65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7" w:type="dxa"/>
            <w:tcBorders>
              <w:top w:val="nil"/>
              <w:left w:val="nil"/>
              <w:bottom w:val="nil"/>
              <w:right w:val="nil"/>
            </w:tcBorders>
            <w:shd w:val="clear" w:color="auto" w:fill="auto"/>
            <w:noWrap/>
            <w:vAlign w:val="center"/>
          </w:tcPr>
          <w:p w14:paraId="01AFD3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 (1.06~1.14)</w:t>
            </w:r>
          </w:p>
        </w:tc>
        <w:tc>
          <w:tcPr>
            <w:tcW w:w="1159" w:type="dxa"/>
            <w:tcBorders>
              <w:top w:val="nil"/>
              <w:left w:val="nil"/>
              <w:bottom w:val="nil"/>
              <w:right w:val="nil"/>
            </w:tcBorders>
            <w:shd w:val="clear" w:color="auto" w:fill="auto"/>
            <w:noWrap/>
            <w:vAlign w:val="center"/>
          </w:tcPr>
          <w:p w14:paraId="0B2102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8" w:type="dxa"/>
            <w:tcBorders>
              <w:top w:val="nil"/>
              <w:left w:val="nil"/>
              <w:bottom w:val="nil"/>
              <w:right w:val="nil"/>
            </w:tcBorders>
            <w:shd w:val="clear" w:color="auto" w:fill="auto"/>
            <w:noWrap/>
            <w:vAlign w:val="center"/>
          </w:tcPr>
          <w:p w14:paraId="40772D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color w:val="000000"/>
                <w:kern w:val="0"/>
                <w:sz w:val="24"/>
                <w:u w:val="none"/>
                <w:lang w:bidi="ar"/>
              </w:rPr>
              <w:t>1.09 (1.06~1.14)</w:t>
            </w:r>
          </w:p>
        </w:tc>
        <w:tc>
          <w:tcPr>
            <w:tcW w:w="1166" w:type="dxa"/>
            <w:tcBorders>
              <w:top w:val="nil"/>
              <w:left w:val="nil"/>
              <w:bottom w:val="nil"/>
              <w:right w:val="nil"/>
            </w:tcBorders>
            <w:shd w:val="clear" w:color="auto" w:fill="auto"/>
            <w:noWrap/>
            <w:vAlign w:val="center"/>
          </w:tcPr>
          <w:p w14:paraId="326D8B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12E2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1FB1956B">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Quartiles of Cumulative TyG-CVAI</w:t>
            </w:r>
          </w:p>
        </w:tc>
        <w:tc>
          <w:tcPr>
            <w:tcW w:w="1967" w:type="dxa"/>
            <w:tcBorders>
              <w:top w:val="nil"/>
              <w:left w:val="nil"/>
              <w:bottom w:val="nil"/>
              <w:right w:val="nil"/>
            </w:tcBorders>
            <w:shd w:val="clear" w:color="auto" w:fill="auto"/>
            <w:noWrap/>
            <w:vAlign w:val="center"/>
          </w:tcPr>
          <w:p w14:paraId="359D28F8">
            <w:pPr>
              <w:snapToGrid w:val="0"/>
              <w:jc w:val="center"/>
              <w:rPr>
                <w:rFonts w:hint="default" w:ascii="Times New Roman" w:hAnsi="Times New Roman" w:eastAsia="宋体" w:cs="Times New Roman"/>
                <w:i w:val="0"/>
                <w:iCs w:val="0"/>
                <w:color w:val="000000"/>
                <w:sz w:val="24"/>
                <w:szCs w:val="24"/>
                <w:u w:val="none"/>
              </w:rPr>
            </w:pPr>
          </w:p>
        </w:tc>
        <w:tc>
          <w:tcPr>
            <w:tcW w:w="1159" w:type="dxa"/>
            <w:tcBorders>
              <w:top w:val="nil"/>
              <w:left w:val="nil"/>
              <w:bottom w:val="nil"/>
              <w:right w:val="nil"/>
            </w:tcBorders>
            <w:shd w:val="clear" w:color="auto" w:fill="auto"/>
            <w:noWrap/>
            <w:vAlign w:val="center"/>
          </w:tcPr>
          <w:p w14:paraId="2CCA46A0">
            <w:pPr>
              <w:snapToGrid w:val="0"/>
              <w:jc w:val="center"/>
              <w:rPr>
                <w:rFonts w:hint="default" w:ascii="Times New Roman" w:hAnsi="Times New Roman" w:eastAsia="宋体" w:cs="Times New Roman"/>
                <w:i w:val="0"/>
                <w:iCs w:val="0"/>
                <w:color w:val="000000"/>
                <w:sz w:val="24"/>
                <w:szCs w:val="24"/>
                <w:u w:val="none"/>
              </w:rPr>
            </w:pPr>
          </w:p>
        </w:tc>
        <w:tc>
          <w:tcPr>
            <w:tcW w:w="1967" w:type="dxa"/>
            <w:tcBorders>
              <w:top w:val="nil"/>
              <w:left w:val="nil"/>
              <w:bottom w:val="nil"/>
              <w:right w:val="nil"/>
            </w:tcBorders>
            <w:shd w:val="clear" w:color="auto" w:fill="auto"/>
            <w:noWrap/>
            <w:vAlign w:val="center"/>
          </w:tcPr>
          <w:p w14:paraId="657D8FC3">
            <w:pPr>
              <w:snapToGrid w:val="0"/>
              <w:jc w:val="center"/>
              <w:rPr>
                <w:rFonts w:hint="default" w:ascii="Times New Roman" w:hAnsi="Times New Roman" w:eastAsia="宋体" w:cs="Times New Roman"/>
                <w:i w:val="0"/>
                <w:iCs w:val="0"/>
                <w:color w:val="000000"/>
                <w:sz w:val="24"/>
                <w:szCs w:val="24"/>
                <w:u w:val="none"/>
              </w:rPr>
            </w:pPr>
          </w:p>
        </w:tc>
        <w:tc>
          <w:tcPr>
            <w:tcW w:w="1159" w:type="dxa"/>
            <w:tcBorders>
              <w:top w:val="nil"/>
              <w:left w:val="nil"/>
              <w:bottom w:val="nil"/>
              <w:right w:val="nil"/>
            </w:tcBorders>
            <w:shd w:val="clear" w:color="auto" w:fill="auto"/>
            <w:noWrap/>
            <w:vAlign w:val="center"/>
          </w:tcPr>
          <w:p w14:paraId="3E3A7B9C">
            <w:pPr>
              <w:snapToGrid w:val="0"/>
              <w:jc w:val="center"/>
              <w:rPr>
                <w:rFonts w:hint="default" w:ascii="Times New Roman" w:hAnsi="Times New Roman" w:eastAsia="宋体" w:cs="Times New Roman"/>
                <w:i w:val="0"/>
                <w:iCs w:val="0"/>
                <w:color w:val="000000"/>
                <w:sz w:val="24"/>
                <w:szCs w:val="24"/>
                <w:u w:val="none"/>
              </w:rPr>
            </w:pPr>
          </w:p>
        </w:tc>
        <w:tc>
          <w:tcPr>
            <w:tcW w:w="1968" w:type="dxa"/>
            <w:tcBorders>
              <w:top w:val="nil"/>
              <w:left w:val="nil"/>
              <w:bottom w:val="nil"/>
              <w:right w:val="nil"/>
            </w:tcBorders>
            <w:shd w:val="clear" w:color="auto" w:fill="auto"/>
            <w:noWrap/>
            <w:vAlign w:val="center"/>
          </w:tcPr>
          <w:p w14:paraId="4D415BD8">
            <w:pPr>
              <w:snapToGrid w:val="0"/>
              <w:jc w:val="center"/>
              <w:rPr>
                <w:rFonts w:hint="default" w:ascii="Times New Roman" w:hAnsi="Times New Roman" w:eastAsia="宋体" w:cs="Times New Roman"/>
                <w:i w:val="0"/>
                <w:iCs w:val="0"/>
                <w:color w:val="000000"/>
                <w:sz w:val="24"/>
                <w:szCs w:val="24"/>
                <w:u w:val="none"/>
              </w:rPr>
            </w:pPr>
          </w:p>
        </w:tc>
        <w:tc>
          <w:tcPr>
            <w:tcW w:w="1166" w:type="dxa"/>
            <w:tcBorders>
              <w:top w:val="nil"/>
              <w:left w:val="nil"/>
              <w:bottom w:val="nil"/>
              <w:right w:val="nil"/>
            </w:tcBorders>
            <w:shd w:val="clear" w:color="auto" w:fill="auto"/>
            <w:noWrap/>
            <w:vAlign w:val="center"/>
          </w:tcPr>
          <w:p w14:paraId="1BE9EF50">
            <w:pPr>
              <w:snapToGrid w:val="0"/>
              <w:jc w:val="center"/>
              <w:rPr>
                <w:rFonts w:hint="default" w:ascii="Times New Roman" w:hAnsi="Times New Roman" w:eastAsia="宋体" w:cs="Times New Roman"/>
                <w:i w:val="0"/>
                <w:iCs w:val="0"/>
                <w:color w:val="000000"/>
                <w:sz w:val="24"/>
                <w:szCs w:val="24"/>
                <w:u w:val="none"/>
              </w:rPr>
            </w:pPr>
          </w:p>
        </w:tc>
      </w:tr>
      <w:tr w14:paraId="2CF5D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5B53ECD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w:t>
            </w:r>
          </w:p>
        </w:tc>
        <w:tc>
          <w:tcPr>
            <w:tcW w:w="1967" w:type="dxa"/>
            <w:tcBorders>
              <w:top w:val="nil"/>
              <w:left w:val="nil"/>
              <w:bottom w:val="nil"/>
              <w:right w:val="nil"/>
            </w:tcBorders>
            <w:shd w:val="clear" w:color="auto" w:fill="auto"/>
            <w:noWrap/>
            <w:vAlign w:val="center"/>
          </w:tcPr>
          <w:p w14:paraId="63F23F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59" w:type="dxa"/>
            <w:tcBorders>
              <w:top w:val="nil"/>
              <w:left w:val="nil"/>
              <w:bottom w:val="nil"/>
              <w:right w:val="nil"/>
            </w:tcBorders>
            <w:shd w:val="clear" w:color="auto" w:fill="auto"/>
            <w:noWrap/>
            <w:vAlign w:val="center"/>
          </w:tcPr>
          <w:p w14:paraId="1CC03BE0">
            <w:pPr>
              <w:snapToGrid w:val="0"/>
              <w:jc w:val="center"/>
              <w:rPr>
                <w:rFonts w:hint="default" w:ascii="Times New Roman" w:hAnsi="Times New Roman" w:eastAsia="宋体" w:cs="Times New Roman"/>
                <w:i w:val="0"/>
                <w:iCs w:val="0"/>
                <w:color w:val="000000"/>
                <w:sz w:val="24"/>
                <w:szCs w:val="24"/>
                <w:u w:val="none"/>
              </w:rPr>
            </w:pPr>
          </w:p>
        </w:tc>
        <w:tc>
          <w:tcPr>
            <w:tcW w:w="1967" w:type="dxa"/>
            <w:tcBorders>
              <w:top w:val="nil"/>
              <w:left w:val="nil"/>
              <w:bottom w:val="nil"/>
              <w:right w:val="nil"/>
            </w:tcBorders>
            <w:shd w:val="clear" w:color="auto" w:fill="auto"/>
            <w:noWrap/>
            <w:vAlign w:val="center"/>
          </w:tcPr>
          <w:p w14:paraId="2028E1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59" w:type="dxa"/>
            <w:tcBorders>
              <w:top w:val="nil"/>
              <w:left w:val="nil"/>
              <w:bottom w:val="nil"/>
              <w:right w:val="nil"/>
            </w:tcBorders>
            <w:shd w:val="clear" w:color="auto" w:fill="auto"/>
            <w:noWrap/>
            <w:vAlign w:val="center"/>
          </w:tcPr>
          <w:p w14:paraId="68CD8697">
            <w:pPr>
              <w:snapToGrid w:val="0"/>
              <w:jc w:val="center"/>
              <w:rPr>
                <w:rFonts w:hint="default" w:ascii="Times New Roman" w:hAnsi="Times New Roman" w:eastAsia="宋体" w:cs="Times New Roman"/>
                <w:i w:val="0"/>
                <w:iCs w:val="0"/>
                <w:color w:val="000000"/>
                <w:sz w:val="24"/>
                <w:szCs w:val="24"/>
                <w:u w:val="none"/>
              </w:rPr>
            </w:pPr>
          </w:p>
        </w:tc>
        <w:tc>
          <w:tcPr>
            <w:tcW w:w="1968" w:type="dxa"/>
            <w:tcBorders>
              <w:top w:val="nil"/>
              <w:left w:val="nil"/>
              <w:bottom w:val="nil"/>
              <w:right w:val="nil"/>
            </w:tcBorders>
            <w:shd w:val="clear" w:color="auto" w:fill="auto"/>
            <w:noWrap/>
            <w:vAlign w:val="center"/>
          </w:tcPr>
          <w:p w14:paraId="371186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66" w:type="dxa"/>
            <w:tcBorders>
              <w:top w:val="nil"/>
              <w:left w:val="nil"/>
              <w:bottom w:val="nil"/>
              <w:right w:val="nil"/>
            </w:tcBorders>
            <w:shd w:val="clear" w:color="auto" w:fill="auto"/>
            <w:noWrap/>
            <w:vAlign w:val="center"/>
          </w:tcPr>
          <w:p w14:paraId="48F1EBB2">
            <w:pPr>
              <w:snapToGrid w:val="0"/>
              <w:jc w:val="center"/>
              <w:rPr>
                <w:rFonts w:hint="default" w:ascii="Times New Roman" w:hAnsi="Times New Roman" w:eastAsia="宋体" w:cs="Times New Roman"/>
                <w:i w:val="0"/>
                <w:iCs w:val="0"/>
                <w:color w:val="000000"/>
                <w:sz w:val="24"/>
                <w:szCs w:val="24"/>
                <w:u w:val="none"/>
              </w:rPr>
            </w:pPr>
          </w:p>
        </w:tc>
      </w:tr>
      <w:tr w14:paraId="50910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06896310">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Q2</w:t>
            </w:r>
          </w:p>
        </w:tc>
        <w:tc>
          <w:tcPr>
            <w:tcW w:w="1967" w:type="dxa"/>
            <w:tcBorders>
              <w:top w:val="nil"/>
              <w:left w:val="nil"/>
              <w:bottom w:val="nil"/>
              <w:right w:val="nil"/>
            </w:tcBorders>
            <w:shd w:val="clear" w:color="auto" w:fill="auto"/>
            <w:noWrap/>
            <w:vAlign w:val="center"/>
          </w:tcPr>
          <w:p w14:paraId="31417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 (1.04~1.59)</w:t>
            </w:r>
          </w:p>
        </w:tc>
        <w:tc>
          <w:tcPr>
            <w:tcW w:w="1159" w:type="dxa"/>
            <w:tcBorders>
              <w:top w:val="nil"/>
              <w:left w:val="nil"/>
              <w:bottom w:val="nil"/>
              <w:right w:val="nil"/>
            </w:tcBorders>
            <w:shd w:val="clear" w:color="auto" w:fill="auto"/>
            <w:noWrap/>
            <w:vAlign w:val="center"/>
          </w:tcPr>
          <w:p w14:paraId="118A34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0.021</w:t>
            </w:r>
          </w:p>
        </w:tc>
        <w:tc>
          <w:tcPr>
            <w:tcW w:w="1967" w:type="dxa"/>
            <w:tcBorders>
              <w:top w:val="nil"/>
              <w:left w:val="nil"/>
              <w:bottom w:val="nil"/>
              <w:right w:val="nil"/>
            </w:tcBorders>
            <w:shd w:val="clear" w:color="auto" w:fill="auto"/>
            <w:noWrap/>
            <w:vAlign w:val="center"/>
          </w:tcPr>
          <w:p w14:paraId="11A8A1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 (1.01~1.55)</w:t>
            </w:r>
          </w:p>
        </w:tc>
        <w:tc>
          <w:tcPr>
            <w:tcW w:w="1159" w:type="dxa"/>
            <w:tcBorders>
              <w:top w:val="nil"/>
              <w:left w:val="nil"/>
              <w:bottom w:val="nil"/>
              <w:right w:val="nil"/>
            </w:tcBorders>
            <w:shd w:val="clear" w:color="auto" w:fill="auto"/>
            <w:noWrap/>
            <w:vAlign w:val="center"/>
          </w:tcPr>
          <w:p w14:paraId="4CA1C5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0.039</w:t>
            </w:r>
          </w:p>
        </w:tc>
        <w:tc>
          <w:tcPr>
            <w:tcW w:w="1968" w:type="dxa"/>
            <w:tcBorders>
              <w:top w:val="nil"/>
              <w:left w:val="nil"/>
              <w:bottom w:val="nil"/>
              <w:right w:val="nil"/>
            </w:tcBorders>
            <w:shd w:val="clear" w:color="auto" w:fill="auto"/>
            <w:noWrap/>
            <w:vAlign w:val="bottom"/>
          </w:tcPr>
          <w:p w14:paraId="6C740D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1.26 (1.02~1.56)</w:t>
            </w:r>
          </w:p>
        </w:tc>
        <w:tc>
          <w:tcPr>
            <w:tcW w:w="1166" w:type="dxa"/>
            <w:tcBorders>
              <w:top w:val="nil"/>
              <w:left w:val="nil"/>
              <w:bottom w:val="nil"/>
              <w:right w:val="nil"/>
            </w:tcBorders>
            <w:shd w:val="clear" w:color="auto" w:fill="auto"/>
            <w:noWrap/>
            <w:vAlign w:val="bottom"/>
          </w:tcPr>
          <w:p w14:paraId="2D2CA3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0.034</w:t>
            </w:r>
          </w:p>
        </w:tc>
      </w:tr>
      <w:tr w14:paraId="396C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18E58BB5">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Q3</w:t>
            </w:r>
          </w:p>
        </w:tc>
        <w:tc>
          <w:tcPr>
            <w:tcW w:w="1967" w:type="dxa"/>
            <w:tcBorders>
              <w:top w:val="nil"/>
              <w:left w:val="nil"/>
              <w:bottom w:val="nil"/>
              <w:right w:val="nil"/>
            </w:tcBorders>
            <w:shd w:val="clear" w:color="auto" w:fill="auto"/>
            <w:noWrap/>
            <w:vAlign w:val="center"/>
          </w:tcPr>
          <w:p w14:paraId="3B77A5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 (1.20~1.81)</w:t>
            </w:r>
          </w:p>
        </w:tc>
        <w:tc>
          <w:tcPr>
            <w:tcW w:w="1159" w:type="dxa"/>
            <w:tcBorders>
              <w:top w:val="nil"/>
              <w:left w:val="nil"/>
              <w:bottom w:val="nil"/>
              <w:right w:val="nil"/>
            </w:tcBorders>
            <w:shd w:val="clear" w:color="auto" w:fill="auto"/>
            <w:noWrap/>
            <w:vAlign w:val="center"/>
          </w:tcPr>
          <w:p w14:paraId="01C808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7" w:type="dxa"/>
            <w:tcBorders>
              <w:top w:val="nil"/>
              <w:left w:val="nil"/>
              <w:bottom w:val="nil"/>
              <w:right w:val="nil"/>
            </w:tcBorders>
            <w:shd w:val="clear" w:color="auto" w:fill="auto"/>
            <w:noWrap/>
            <w:vAlign w:val="center"/>
          </w:tcPr>
          <w:p w14:paraId="1D87B4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 (1.14~1.73)</w:t>
            </w:r>
          </w:p>
        </w:tc>
        <w:tc>
          <w:tcPr>
            <w:tcW w:w="1159" w:type="dxa"/>
            <w:tcBorders>
              <w:top w:val="nil"/>
              <w:left w:val="nil"/>
              <w:bottom w:val="nil"/>
              <w:right w:val="nil"/>
            </w:tcBorders>
            <w:shd w:val="clear" w:color="auto" w:fill="auto"/>
            <w:noWrap/>
            <w:vAlign w:val="center"/>
          </w:tcPr>
          <w:p w14:paraId="3716F4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0.001</w:t>
            </w:r>
          </w:p>
        </w:tc>
        <w:tc>
          <w:tcPr>
            <w:tcW w:w="1968" w:type="dxa"/>
            <w:tcBorders>
              <w:top w:val="nil"/>
              <w:left w:val="nil"/>
              <w:bottom w:val="nil"/>
              <w:right w:val="nil"/>
            </w:tcBorders>
            <w:shd w:val="clear" w:color="auto" w:fill="auto"/>
            <w:noWrap/>
            <w:vAlign w:val="bottom"/>
          </w:tcPr>
          <w:p w14:paraId="1FDA6D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1.42 (1.15~1.75)</w:t>
            </w:r>
          </w:p>
        </w:tc>
        <w:tc>
          <w:tcPr>
            <w:tcW w:w="1166" w:type="dxa"/>
            <w:tcBorders>
              <w:top w:val="nil"/>
              <w:left w:val="nil"/>
              <w:bottom w:val="nil"/>
              <w:right w:val="nil"/>
            </w:tcBorders>
            <w:shd w:val="clear" w:color="auto" w:fill="auto"/>
            <w:noWrap/>
            <w:vAlign w:val="bottom"/>
          </w:tcPr>
          <w:p w14:paraId="2B03B55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0.001</w:t>
            </w:r>
          </w:p>
        </w:tc>
      </w:tr>
      <w:tr w14:paraId="5672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nil"/>
              <w:right w:val="nil"/>
            </w:tcBorders>
            <w:shd w:val="clear" w:color="auto" w:fill="auto"/>
            <w:noWrap/>
            <w:vAlign w:val="center"/>
          </w:tcPr>
          <w:p w14:paraId="21B8F24C">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Q4</w:t>
            </w:r>
          </w:p>
        </w:tc>
        <w:tc>
          <w:tcPr>
            <w:tcW w:w="1967" w:type="dxa"/>
            <w:tcBorders>
              <w:top w:val="nil"/>
              <w:left w:val="nil"/>
              <w:bottom w:val="nil"/>
              <w:right w:val="nil"/>
            </w:tcBorders>
            <w:shd w:val="clear" w:color="auto" w:fill="auto"/>
            <w:noWrap/>
            <w:vAlign w:val="center"/>
          </w:tcPr>
          <w:p w14:paraId="5BF42E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 (1.68~2.49)</w:t>
            </w:r>
          </w:p>
        </w:tc>
        <w:tc>
          <w:tcPr>
            <w:tcW w:w="1159" w:type="dxa"/>
            <w:tcBorders>
              <w:top w:val="nil"/>
              <w:left w:val="nil"/>
              <w:bottom w:val="nil"/>
              <w:right w:val="nil"/>
            </w:tcBorders>
            <w:shd w:val="clear" w:color="auto" w:fill="auto"/>
            <w:noWrap/>
            <w:vAlign w:val="center"/>
          </w:tcPr>
          <w:p w14:paraId="30522B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7" w:type="dxa"/>
            <w:tcBorders>
              <w:top w:val="nil"/>
              <w:left w:val="nil"/>
              <w:bottom w:val="nil"/>
              <w:right w:val="nil"/>
            </w:tcBorders>
            <w:shd w:val="clear" w:color="auto" w:fill="auto"/>
            <w:noWrap/>
            <w:vAlign w:val="center"/>
          </w:tcPr>
          <w:p w14:paraId="302A70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 (1.55~2.31)</w:t>
            </w:r>
          </w:p>
        </w:tc>
        <w:tc>
          <w:tcPr>
            <w:tcW w:w="1159" w:type="dxa"/>
            <w:tcBorders>
              <w:top w:val="nil"/>
              <w:left w:val="nil"/>
              <w:bottom w:val="nil"/>
              <w:right w:val="nil"/>
            </w:tcBorders>
            <w:shd w:val="clear" w:color="auto" w:fill="auto"/>
            <w:noWrap/>
            <w:vAlign w:val="center"/>
          </w:tcPr>
          <w:p w14:paraId="750087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8" w:type="dxa"/>
            <w:tcBorders>
              <w:top w:val="nil"/>
              <w:left w:val="nil"/>
              <w:bottom w:val="nil"/>
              <w:right w:val="nil"/>
            </w:tcBorders>
            <w:shd w:val="clear" w:color="auto" w:fill="auto"/>
            <w:noWrap/>
            <w:vAlign w:val="bottom"/>
          </w:tcPr>
          <w:p w14:paraId="402E7E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1.91 (1.56~2.33)</w:t>
            </w:r>
          </w:p>
        </w:tc>
        <w:tc>
          <w:tcPr>
            <w:tcW w:w="1166" w:type="dxa"/>
            <w:tcBorders>
              <w:top w:val="nil"/>
              <w:left w:val="nil"/>
              <w:bottom w:val="nil"/>
              <w:right w:val="nil"/>
            </w:tcBorders>
            <w:shd w:val="clear" w:color="auto" w:fill="auto"/>
            <w:noWrap/>
            <w:vAlign w:val="bottom"/>
          </w:tcPr>
          <w:p w14:paraId="3D9830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6E5D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88" w:type="dxa"/>
            <w:tcBorders>
              <w:top w:val="nil"/>
              <w:left w:val="nil"/>
              <w:bottom w:val="single" w:color="000000" w:sz="12" w:space="0"/>
              <w:right w:val="nil"/>
            </w:tcBorders>
            <w:shd w:val="clear" w:color="auto" w:fill="auto"/>
            <w:noWrap/>
            <w:vAlign w:val="center"/>
          </w:tcPr>
          <w:p w14:paraId="5DE669C3">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 for trend</w:t>
            </w:r>
          </w:p>
        </w:tc>
        <w:tc>
          <w:tcPr>
            <w:tcW w:w="1967" w:type="dxa"/>
            <w:tcBorders>
              <w:top w:val="nil"/>
              <w:left w:val="nil"/>
              <w:bottom w:val="single" w:color="000000" w:sz="12" w:space="0"/>
              <w:right w:val="nil"/>
            </w:tcBorders>
            <w:shd w:val="clear" w:color="auto" w:fill="auto"/>
            <w:noWrap/>
            <w:vAlign w:val="center"/>
          </w:tcPr>
          <w:p w14:paraId="7402C33A">
            <w:pPr>
              <w:snapToGrid w:val="0"/>
              <w:jc w:val="center"/>
              <w:rPr>
                <w:rFonts w:hint="default" w:ascii="Times New Roman" w:hAnsi="Times New Roman" w:eastAsia="宋体" w:cs="Times New Roman"/>
                <w:i w:val="0"/>
                <w:iCs w:val="0"/>
                <w:color w:val="000000"/>
                <w:sz w:val="24"/>
                <w:szCs w:val="24"/>
                <w:u w:val="none"/>
              </w:rPr>
            </w:pPr>
          </w:p>
        </w:tc>
        <w:tc>
          <w:tcPr>
            <w:tcW w:w="1159" w:type="dxa"/>
            <w:tcBorders>
              <w:top w:val="nil"/>
              <w:left w:val="nil"/>
              <w:bottom w:val="single" w:color="000000" w:sz="12" w:space="0"/>
              <w:right w:val="nil"/>
            </w:tcBorders>
            <w:shd w:val="clear" w:color="auto" w:fill="auto"/>
            <w:noWrap/>
            <w:vAlign w:val="center"/>
          </w:tcPr>
          <w:p w14:paraId="3E4FCD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7" w:type="dxa"/>
            <w:tcBorders>
              <w:top w:val="nil"/>
              <w:left w:val="nil"/>
              <w:bottom w:val="single" w:color="000000" w:sz="12" w:space="0"/>
              <w:right w:val="nil"/>
            </w:tcBorders>
            <w:shd w:val="clear" w:color="auto" w:fill="auto"/>
            <w:noWrap/>
            <w:vAlign w:val="center"/>
          </w:tcPr>
          <w:p w14:paraId="0F6F8C74">
            <w:pPr>
              <w:snapToGrid w:val="0"/>
              <w:jc w:val="center"/>
              <w:rPr>
                <w:rFonts w:hint="default" w:ascii="Times New Roman" w:hAnsi="Times New Roman" w:eastAsia="宋体" w:cs="Times New Roman"/>
                <w:i w:val="0"/>
                <w:iCs w:val="0"/>
                <w:color w:val="000000"/>
                <w:sz w:val="24"/>
                <w:szCs w:val="24"/>
                <w:u w:val="none"/>
              </w:rPr>
            </w:pPr>
          </w:p>
        </w:tc>
        <w:tc>
          <w:tcPr>
            <w:tcW w:w="1159" w:type="dxa"/>
            <w:tcBorders>
              <w:top w:val="nil"/>
              <w:left w:val="nil"/>
              <w:bottom w:val="single" w:color="000000" w:sz="12" w:space="0"/>
              <w:right w:val="nil"/>
            </w:tcBorders>
            <w:shd w:val="clear" w:color="auto" w:fill="auto"/>
            <w:noWrap/>
            <w:vAlign w:val="center"/>
          </w:tcPr>
          <w:p w14:paraId="270B35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968" w:type="dxa"/>
            <w:tcBorders>
              <w:top w:val="nil"/>
              <w:left w:val="nil"/>
              <w:bottom w:val="single" w:color="000000" w:sz="12" w:space="0"/>
              <w:right w:val="nil"/>
            </w:tcBorders>
            <w:shd w:val="clear" w:color="auto" w:fill="auto"/>
            <w:noWrap/>
            <w:vAlign w:val="center"/>
          </w:tcPr>
          <w:p w14:paraId="6849519B">
            <w:pPr>
              <w:snapToGrid w:val="0"/>
              <w:jc w:val="center"/>
              <w:rPr>
                <w:rFonts w:hint="default" w:ascii="Times New Roman" w:hAnsi="Times New Roman" w:eastAsia="宋体" w:cs="Times New Roman"/>
                <w:i w:val="0"/>
                <w:iCs w:val="0"/>
                <w:color w:val="000000"/>
                <w:sz w:val="24"/>
                <w:szCs w:val="24"/>
                <w:u w:val="none"/>
              </w:rPr>
            </w:pPr>
          </w:p>
        </w:tc>
        <w:tc>
          <w:tcPr>
            <w:tcW w:w="1166" w:type="dxa"/>
            <w:tcBorders>
              <w:top w:val="nil"/>
              <w:left w:val="nil"/>
              <w:bottom w:val="single" w:color="000000" w:sz="12" w:space="0"/>
              <w:right w:val="nil"/>
            </w:tcBorders>
            <w:shd w:val="clear" w:color="auto" w:fill="auto"/>
            <w:noWrap/>
            <w:vAlign w:val="center"/>
          </w:tcPr>
          <w:p w14:paraId="4BEA8C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FF5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jc w:val="center"/>
        </w:trPr>
        <w:tc>
          <w:tcPr>
            <w:tcW w:w="14174" w:type="dxa"/>
            <w:gridSpan w:val="7"/>
            <w:tcBorders>
              <w:top w:val="nil"/>
              <w:left w:val="nil"/>
              <w:bottom w:val="nil"/>
              <w:right w:val="nil"/>
            </w:tcBorders>
            <w:shd w:val="clear" w:color="auto" w:fill="auto"/>
            <w:vAlign w:val="center"/>
          </w:tcPr>
          <w:p w14:paraId="28343F9D">
            <w:pPr>
              <w:keepNext w:val="0"/>
              <w:keepLines w:val="0"/>
              <w:pageBreakBefore w:val="0"/>
              <w:widowControl/>
              <w:suppressLineNumbers w:val="0"/>
              <w:kinsoku/>
              <w:wordWrap/>
              <w:overflowPunct/>
              <w:topLinePunct w:val="0"/>
              <w:autoSpaceDE/>
              <w:autoSpaceDN/>
              <w:bidi w:val="0"/>
              <w:adjustRightInd/>
              <w:snapToGrid w:val="0"/>
              <w:spacing w:line="300" w:lineRule="auto"/>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With missing data: The numbers of missing values for the covariates were 3 (0.07%) for rural residence, 4 (0.09%) for drinking status, 13 (0.30%) for kidney disease, 16 (0.37%) for cancer, 16 (0.37%) for liver disease. Multiple imputation by chained equations was applied to handle missing values in the covariates. Follow-up time, outcome status, TyG-CVAI change patterns, and cumulative TyG-CVAI were not imputed. Cumulative TyG-CVAI was standardized before Cox regression; HRs are interpreted per 1-SD increase.</w:t>
            </w:r>
          </w:p>
        </w:tc>
      </w:tr>
    </w:tbl>
    <w:p w14:paraId="3C070B7E">
      <w:pPr>
        <w:spacing w:line="480" w:lineRule="auto"/>
        <w:jc w:val="both"/>
        <w:rPr>
          <w:rFonts w:hint="default" w:ascii="Times New Roman" w:hAnsi="Times New Roman" w:cs="Times New Roman"/>
          <w:color w:val="auto"/>
          <w:sz w:val="24"/>
          <w:szCs w:val="24"/>
          <w:highlight w:val="none"/>
          <w:lang w:val="en-US" w:eastAsia="zh-CN"/>
        </w:rPr>
        <w:sectPr>
          <w:pgSz w:w="16838" w:h="11906" w:orient="landscape"/>
          <w:pgMar w:top="1800" w:right="1440" w:bottom="1800" w:left="1440" w:header="851" w:footer="992" w:gutter="0"/>
          <w:cols w:space="425" w:num="1"/>
          <w:docGrid w:type="lines" w:linePitch="312" w:charSpace="0"/>
        </w:sectPr>
      </w:pPr>
    </w:p>
    <w:p w14:paraId="287EAE17">
      <w:pPr>
        <w:spacing w:line="480" w:lineRule="auto"/>
        <w:jc w:val="left"/>
        <w:rPr>
          <w:rFonts w:hint="default" w:ascii="Times New Roman" w:hAnsi="Times New Roman" w:cs="Times New Roman"/>
          <w:color w:val="auto"/>
          <w:sz w:val="24"/>
          <w:szCs w:val="24"/>
          <w:highlight w:val="none"/>
          <w:lang w:val="en-US" w:eastAsia="zh-CN"/>
        </w:rPr>
      </w:pPr>
    </w:p>
    <w:tbl>
      <w:tblPr>
        <w:tblStyle w:val="6"/>
        <w:tblW w:w="84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68"/>
        <w:gridCol w:w="2382"/>
        <w:gridCol w:w="1499"/>
      </w:tblGrid>
      <w:tr w14:paraId="20DFF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jc w:val="center"/>
        </w:trPr>
        <w:tc>
          <w:tcPr>
            <w:tcW w:w="8457" w:type="dxa"/>
            <w:gridSpan w:val="3"/>
            <w:tcBorders>
              <w:top w:val="nil"/>
              <w:left w:val="nil"/>
              <w:bottom w:val="nil"/>
              <w:right w:val="nil"/>
            </w:tcBorders>
            <w:shd w:val="clear" w:color="auto" w:fill="auto"/>
            <w:vAlign w:val="center"/>
          </w:tcPr>
          <w:p w14:paraId="30EF2B7B">
            <w:pPr>
              <w:pStyle w:val="2"/>
              <w:rPr>
                <w:rFonts w:hint="default" w:ascii="Times New Roman" w:hAnsi="Times New Roman" w:eastAsia="宋体" w:cs="Times New Roman"/>
                <w:b/>
                <w:bCs/>
                <w:i w:val="0"/>
                <w:iCs w:val="0"/>
                <w:color w:val="000000"/>
                <w:szCs w:val="24"/>
                <w:u w:val="none"/>
              </w:rPr>
            </w:pPr>
            <w:bookmarkStart w:id="4" w:name="_Toc4482"/>
            <w:bookmarkStart w:id="5" w:name="_Toc1328"/>
            <w:r>
              <w:rPr>
                <w:b/>
                <w:bCs/>
              </w:rPr>
              <w:t>Table S3</w:t>
            </w:r>
            <w:bookmarkEnd w:id="4"/>
            <w:r>
              <w:rPr>
                <w:b/>
                <w:bCs/>
              </w:rPr>
              <w:t xml:space="preserve">. </w:t>
            </w:r>
            <w:r>
              <w:t>Association between TyG-CVAI change patterns, cumulative TyG-CVAI, and new-onset CVD risk: Fine–Gray competing-risk regression analysi</w:t>
            </w:r>
            <w:r>
              <w:rPr>
                <w:lang w:val="en-US" w:eastAsia="zh-CN"/>
              </w:rPr>
              <w:t>s</w:t>
            </w:r>
            <w:bookmarkEnd w:id="5"/>
          </w:p>
        </w:tc>
      </w:tr>
      <w:tr w14:paraId="6347A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0" w:type="auto"/>
            <w:tcBorders>
              <w:top w:val="single" w:color="000000" w:sz="12" w:space="0"/>
              <w:left w:val="nil"/>
              <w:bottom w:val="single" w:color="000000" w:sz="8" w:space="0"/>
              <w:right w:val="nil"/>
            </w:tcBorders>
            <w:shd w:val="clear" w:color="auto" w:fill="auto"/>
            <w:noWrap/>
            <w:vAlign w:val="center"/>
          </w:tcPr>
          <w:p w14:paraId="21B02CE3">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Variable</w:t>
            </w:r>
          </w:p>
        </w:tc>
        <w:tc>
          <w:tcPr>
            <w:tcW w:w="0" w:type="auto"/>
            <w:tcBorders>
              <w:top w:val="single" w:color="000000" w:sz="12" w:space="0"/>
              <w:left w:val="nil"/>
              <w:bottom w:val="single" w:color="000000" w:sz="8" w:space="0"/>
              <w:right w:val="nil"/>
            </w:tcBorders>
            <w:shd w:val="clear" w:color="auto" w:fill="auto"/>
            <w:noWrap/>
            <w:vAlign w:val="center"/>
          </w:tcPr>
          <w:p w14:paraId="5329C33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eastAsia" w:ascii="Times New Roman" w:hAnsi="Times New Roman" w:eastAsia="宋体" w:cs="Times New Roman"/>
                <w:b/>
                <w:bCs/>
                <w:i w:val="0"/>
                <w:iCs w:val="0"/>
                <w:color w:val="000000"/>
                <w:kern w:val="0"/>
                <w:sz w:val="24"/>
                <w:szCs w:val="24"/>
                <w:u w:val="none"/>
                <w:lang w:val="en-US" w:eastAsia="zh-CN" w:bidi="ar"/>
              </w:rPr>
              <w:t>s</w:t>
            </w: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0" w:type="auto"/>
            <w:tcBorders>
              <w:top w:val="single" w:color="000000" w:sz="12" w:space="0"/>
              <w:left w:val="nil"/>
              <w:bottom w:val="single" w:color="000000" w:sz="8" w:space="0"/>
              <w:right w:val="nil"/>
            </w:tcBorders>
            <w:shd w:val="clear" w:color="auto" w:fill="auto"/>
            <w:noWrap/>
            <w:vAlign w:val="center"/>
          </w:tcPr>
          <w:p w14:paraId="3F1B029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r>
      <w:tr w14:paraId="18A4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29FE06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TyG-CVAI change patterns</w:t>
            </w:r>
          </w:p>
        </w:tc>
        <w:tc>
          <w:tcPr>
            <w:tcW w:w="0" w:type="auto"/>
            <w:tcBorders>
              <w:top w:val="nil"/>
              <w:left w:val="nil"/>
              <w:bottom w:val="nil"/>
              <w:right w:val="nil"/>
            </w:tcBorders>
            <w:shd w:val="clear" w:color="auto" w:fill="auto"/>
            <w:noWrap/>
            <w:vAlign w:val="center"/>
          </w:tcPr>
          <w:p w14:paraId="6EDDB2A6">
            <w:pP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002FB7EF">
            <w:pPr>
              <w:rPr>
                <w:rFonts w:hint="default" w:ascii="Times New Roman" w:hAnsi="Times New Roman" w:eastAsia="宋体" w:cs="Times New Roman"/>
                <w:i w:val="0"/>
                <w:iCs w:val="0"/>
                <w:color w:val="000000"/>
                <w:sz w:val="24"/>
                <w:szCs w:val="24"/>
                <w:u w:val="none"/>
              </w:rPr>
            </w:pPr>
          </w:p>
        </w:tc>
      </w:tr>
      <w:tr w14:paraId="5E4F3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1C89FA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Low-Low</w:t>
            </w:r>
          </w:p>
        </w:tc>
        <w:tc>
          <w:tcPr>
            <w:tcW w:w="0" w:type="auto"/>
            <w:tcBorders>
              <w:top w:val="nil"/>
              <w:left w:val="nil"/>
              <w:bottom w:val="nil"/>
              <w:right w:val="nil"/>
            </w:tcBorders>
            <w:shd w:val="clear" w:color="auto" w:fill="auto"/>
            <w:noWrap/>
            <w:vAlign w:val="center"/>
          </w:tcPr>
          <w:p w14:paraId="631900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0" w:type="auto"/>
            <w:tcBorders>
              <w:top w:val="nil"/>
              <w:left w:val="nil"/>
              <w:bottom w:val="nil"/>
              <w:right w:val="nil"/>
            </w:tcBorders>
            <w:shd w:val="clear" w:color="auto" w:fill="auto"/>
            <w:noWrap/>
            <w:vAlign w:val="center"/>
          </w:tcPr>
          <w:p w14:paraId="41439A91">
            <w:pPr>
              <w:jc w:val="center"/>
              <w:rPr>
                <w:rFonts w:hint="default" w:ascii="Times New Roman" w:hAnsi="Times New Roman" w:eastAsia="宋体" w:cs="Times New Roman"/>
                <w:i w:val="0"/>
                <w:iCs w:val="0"/>
                <w:color w:val="000000"/>
                <w:sz w:val="24"/>
                <w:szCs w:val="24"/>
                <w:u w:val="none"/>
              </w:rPr>
            </w:pPr>
          </w:p>
        </w:tc>
      </w:tr>
      <w:tr w14:paraId="34C5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5EE1E7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Low-High</w:t>
            </w:r>
          </w:p>
        </w:tc>
        <w:tc>
          <w:tcPr>
            <w:tcW w:w="2313" w:type="dxa"/>
            <w:tcBorders>
              <w:top w:val="nil"/>
              <w:left w:val="nil"/>
              <w:bottom w:val="nil"/>
              <w:right w:val="nil"/>
            </w:tcBorders>
            <w:shd w:val="clear" w:color="auto" w:fill="auto"/>
            <w:noWrap/>
            <w:vAlign w:val="bottom"/>
          </w:tcPr>
          <w:p w14:paraId="5F8EDD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1.47 (1.19~1.82)</w:t>
            </w:r>
          </w:p>
        </w:tc>
        <w:tc>
          <w:tcPr>
            <w:tcW w:w="1455" w:type="dxa"/>
            <w:tcBorders>
              <w:top w:val="nil"/>
              <w:left w:val="nil"/>
              <w:bottom w:val="nil"/>
              <w:right w:val="nil"/>
            </w:tcBorders>
            <w:shd w:val="clear" w:color="auto" w:fill="auto"/>
            <w:noWrap/>
            <w:vAlign w:val="bottom"/>
          </w:tcPr>
          <w:p w14:paraId="480195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178F8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5170AD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High-Low</w:t>
            </w:r>
          </w:p>
        </w:tc>
        <w:tc>
          <w:tcPr>
            <w:tcW w:w="2313" w:type="dxa"/>
            <w:tcBorders>
              <w:top w:val="nil"/>
              <w:left w:val="nil"/>
              <w:bottom w:val="nil"/>
              <w:right w:val="nil"/>
            </w:tcBorders>
            <w:shd w:val="clear" w:color="auto" w:fill="auto"/>
            <w:noWrap/>
            <w:vAlign w:val="bottom"/>
          </w:tcPr>
          <w:p w14:paraId="13C09F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1.60 (1.19~2.15)</w:t>
            </w:r>
          </w:p>
        </w:tc>
        <w:tc>
          <w:tcPr>
            <w:tcW w:w="1455" w:type="dxa"/>
            <w:tcBorders>
              <w:top w:val="nil"/>
              <w:left w:val="nil"/>
              <w:bottom w:val="nil"/>
              <w:right w:val="nil"/>
            </w:tcBorders>
            <w:shd w:val="clear" w:color="auto" w:fill="auto"/>
            <w:noWrap/>
            <w:vAlign w:val="bottom"/>
          </w:tcPr>
          <w:p w14:paraId="6195B9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0.002</w:t>
            </w:r>
          </w:p>
        </w:tc>
      </w:tr>
      <w:tr w14:paraId="78B56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4C2DC6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High-High</w:t>
            </w:r>
          </w:p>
        </w:tc>
        <w:tc>
          <w:tcPr>
            <w:tcW w:w="2313" w:type="dxa"/>
            <w:tcBorders>
              <w:top w:val="nil"/>
              <w:left w:val="nil"/>
              <w:bottom w:val="nil"/>
              <w:right w:val="nil"/>
            </w:tcBorders>
            <w:shd w:val="clear" w:color="auto" w:fill="auto"/>
            <w:noWrap/>
            <w:vAlign w:val="bottom"/>
          </w:tcPr>
          <w:p w14:paraId="6C7664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1.71 (1.46~2.02)</w:t>
            </w:r>
          </w:p>
        </w:tc>
        <w:tc>
          <w:tcPr>
            <w:tcW w:w="1455" w:type="dxa"/>
            <w:tcBorders>
              <w:top w:val="nil"/>
              <w:left w:val="nil"/>
              <w:bottom w:val="nil"/>
              <w:right w:val="nil"/>
            </w:tcBorders>
            <w:shd w:val="clear" w:color="auto" w:fill="auto"/>
            <w:noWrap/>
            <w:vAlign w:val="bottom"/>
          </w:tcPr>
          <w:p w14:paraId="0C64DDA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909B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1190DA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Cumulative TyG-CVAI</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(per 1-SD increase)</w:t>
            </w:r>
          </w:p>
        </w:tc>
        <w:tc>
          <w:tcPr>
            <w:tcW w:w="2313" w:type="dxa"/>
            <w:tcBorders>
              <w:top w:val="nil"/>
              <w:left w:val="nil"/>
              <w:bottom w:val="nil"/>
              <w:right w:val="nil"/>
            </w:tcBorders>
            <w:shd w:val="clear" w:color="auto" w:fill="auto"/>
            <w:noWrap/>
            <w:vAlign w:val="bottom"/>
          </w:tcPr>
          <w:p w14:paraId="76AD12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1.09 (1.04~1.15)</w:t>
            </w:r>
          </w:p>
        </w:tc>
        <w:tc>
          <w:tcPr>
            <w:tcW w:w="1455" w:type="dxa"/>
            <w:tcBorders>
              <w:top w:val="nil"/>
              <w:left w:val="nil"/>
              <w:bottom w:val="nil"/>
              <w:right w:val="nil"/>
            </w:tcBorders>
            <w:shd w:val="clear" w:color="auto" w:fill="auto"/>
            <w:noWrap/>
            <w:vAlign w:val="bottom"/>
          </w:tcPr>
          <w:p w14:paraId="0D1D51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C110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03B18F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Quartiles of Cumulative TyG-CVAI</w:t>
            </w:r>
          </w:p>
        </w:tc>
        <w:tc>
          <w:tcPr>
            <w:tcW w:w="0" w:type="auto"/>
            <w:tcBorders>
              <w:top w:val="nil"/>
              <w:left w:val="nil"/>
              <w:bottom w:val="nil"/>
              <w:right w:val="nil"/>
            </w:tcBorders>
            <w:shd w:val="clear" w:color="auto" w:fill="auto"/>
            <w:noWrap/>
            <w:vAlign w:val="center"/>
          </w:tcPr>
          <w:p w14:paraId="2757A824">
            <w:pPr>
              <w:widowControl/>
              <w:jc w:val="center"/>
              <w:textAlignment w:val="center"/>
              <w:rPr>
                <w:rFonts w:hint="default" w:ascii="Times New Roman" w:hAnsi="Times New Roman" w:eastAsia="宋体" w:cs="Times New Roman"/>
                <w:i w:val="0"/>
                <w:iCs w:val="0"/>
                <w:color w:val="000000"/>
                <w:kern w:val="0"/>
                <w:sz w:val="24"/>
                <w:szCs w:val="24"/>
                <w:u w:val="none"/>
                <w:lang w:bidi="ar"/>
              </w:rPr>
            </w:pPr>
          </w:p>
        </w:tc>
        <w:tc>
          <w:tcPr>
            <w:tcW w:w="0" w:type="auto"/>
            <w:tcBorders>
              <w:top w:val="nil"/>
              <w:left w:val="nil"/>
              <w:bottom w:val="nil"/>
              <w:right w:val="nil"/>
            </w:tcBorders>
            <w:shd w:val="clear" w:color="auto" w:fill="auto"/>
            <w:noWrap/>
            <w:vAlign w:val="center"/>
          </w:tcPr>
          <w:p w14:paraId="21947E4B">
            <w:pPr>
              <w:widowControl/>
              <w:jc w:val="center"/>
              <w:textAlignment w:val="center"/>
              <w:rPr>
                <w:rFonts w:hint="default" w:ascii="Times New Roman" w:hAnsi="Times New Roman" w:eastAsia="宋体" w:cs="Times New Roman"/>
                <w:i w:val="0"/>
                <w:iCs w:val="0"/>
                <w:color w:val="000000"/>
                <w:kern w:val="0"/>
                <w:sz w:val="24"/>
                <w:szCs w:val="24"/>
                <w:u w:val="none"/>
                <w:lang w:bidi="ar"/>
              </w:rPr>
            </w:pPr>
          </w:p>
        </w:tc>
      </w:tr>
      <w:tr w14:paraId="4F9E1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5DD599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w:t>
            </w:r>
          </w:p>
        </w:tc>
        <w:tc>
          <w:tcPr>
            <w:tcW w:w="0" w:type="auto"/>
            <w:tcBorders>
              <w:top w:val="nil"/>
              <w:left w:val="nil"/>
              <w:bottom w:val="nil"/>
              <w:right w:val="nil"/>
            </w:tcBorders>
            <w:shd w:val="clear" w:color="auto" w:fill="auto"/>
            <w:noWrap/>
            <w:vAlign w:val="center"/>
          </w:tcPr>
          <w:p w14:paraId="1D5F54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0" w:type="auto"/>
            <w:tcBorders>
              <w:top w:val="nil"/>
              <w:left w:val="nil"/>
              <w:bottom w:val="nil"/>
              <w:right w:val="nil"/>
            </w:tcBorders>
            <w:shd w:val="clear" w:color="auto" w:fill="auto"/>
            <w:noWrap/>
            <w:vAlign w:val="center"/>
          </w:tcPr>
          <w:p w14:paraId="3F9E7DA6">
            <w:pPr>
              <w:widowControl/>
              <w:jc w:val="center"/>
              <w:textAlignment w:val="center"/>
              <w:rPr>
                <w:rFonts w:hint="default" w:ascii="Times New Roman" w:hAnsi="Times New Roman" w:eastAsia="宋体" w:cs="Times New Roman"/>
                <w:i w:val="0"/>
                <w:iCs w:val="0"/>
                <w:color w:val="000000"/>
                <w:kern w:val="0"/>
                <w:sz w:val="24"/>
                <w:szCs w:val="24"/>
                <w:u w:val="none"/>
                <w:lang w:bidi="ar"/>
              </w:rPr>
            </w:pPr>
          </w:p>
        </w:tc>
      </w:tr>
      <w:tr w14:paraId="26E3C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027D77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Q2</w:t>
            </w:r>
          </w:p>
        </w:tc>
        <w:tc>
          <w:tcPr>
            <w:tcW w:w="2313" w:type="dxa"/>
            <w:tcBorders>
              <w:top w:val="nil"/>
              <w:left w:val="nil"/>
              <w:bottom w:val="nil"/>
              <w:right w:val="nil"/>
            </w:tcBorders>
            <w:shd w:val="clear" w:color="auto" w:fill="auto"/>
            <w:noWrap/>
            <w:vAlign w:val="bottom"/>
          </w:tcPr>
          <w:p w14:paraId="3AF45A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1.25 (1.02~1.53)</w:t>
            </w:r>
          </w:p>
        </w:tc>
        <w:tc>
          <w:tcPr>
            <w:tcW w:w="1455" w:type="dxa"/>
            <w:tcBorders>
              <w:top w:val="nil"/>
              <w:left w:val="nil"/>
              <w:bottom w:val="nil"/>
              <w:right w:val="nil"/>
            </w:tcBorders>
            <w:shd w:val="clear" w:color="auto" w:fill="auto"/>
            <w:noWrap/>
            <w:vAlign w:val="bottom"/>
          </w:tcPr>
          <w:p w14:paraId="03AE69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0.035</w:t>
            </w:r>
          </w:p>
        </w:tc>
      </w:tr>
      <w:tr w14:paraId="2E56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3AF3B0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Q3</w:t>
            </w:r>
          </w:p>
        </w:tc>
        <w:tc>
          <w:tcPr>
            <w:tcW w:w="2313" w:type="dxa"/>
            <w:tcBorders>
              <w:top w:val="nil"/>
              <w:left w:val="nil"/>
              <w:bottom w:val="nil"/>
              <w:right w:val="nil"/>
            </w:tcBorders>
            <w:shd w:val="clear" w:color="auto" w:fill="auto"/>
            <w:noWrap/>
            <w:vAlign w:val="bottom"/>
          </w:tcPr>
          <w:p w14:paraId="52B14F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1.38 (1.13~1.68)</w:t>
            </w:r>
          </w:p>
        </w:tc>
        <w:tc>
          <w:tcPr>
            <w:tcW w:w="1455" w:type="dxa"/>
            <w:tcBorders>
              <w:top w:val="nil"/>
              <w:left w:val="nil"/>
              <w:bottom w:val="nil"/>
              <w:right w:val="nil"/>
            </w:tcBorders>
            <w:shd w:val="clear" w:color="auto" w:fill="auto"/>
            <w:noWrap/>
            <w:vAlign w:val="bottom"/>
          </w:tcPr>
          <w:p w14:paraId="769BE7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0.002</w:t>
            </w:r>
          </w:p>
        </w:tc>
      </w:tr>
      <w:tr w14:paraId="479FB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center"/>
          </w:tcPr>
          <w:p w14:paraId="5B0B70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Q4</w:t>
            </w:r>
          </w:p>
        </w:tc>
        <w:tc>
          <w:tcPr>
            <w:tcW w:w="2313" w:type="dxa"/>
            <w:tcBorders>
              <w:top w:val="nil"/>
              <w:left w:val="nil"/>
              <w:bottom w:val="nil"/>
              <w:right w:val="nil"/>
            </w:tcBorders>
            <w:shd w:val="clear" w:color="auto" w:fill="auto"/>
            <w:noWrap/>
            <w:vAlign w:val="bottom"/>
          </w:tcPr>
          <w:p w14:paraId="488B42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1.84 (1.52~2.22)</w:t>
            </w:r>
          </w:p>
        </w:tc>
        <w:tc>
          <w:tcPr>
            <w:tcW w:w="1455" w:type="dxa"/>
            <w:tcBorders>
              <w:top w:val="nil"/>
              <w:left w:val="nil"/>
              <w:bottom w:val="nil"/>
              <w:right w:val="nil"/>
            </w:tcBorders>
            <w:shd w:val="clear" w:color="auto" w:fill="auto"/>
            <w:noWrap/>
            <w:vAlign w:val="bottom"/>
          </w:tcPr>
          <w:p w14:paraId="7838EC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D33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0" w:type="auto"/>
            <w:tcBorders>
              <w:top w:val="nil"/>
              <w:left w:val="nil"/>
              <w:bottom w:val="single" w:color="000000" w:sz="12" w:space="0"/>
              <w:right w:val="nil"/>
            </w:tcBorders>
            <w:shd w:val="clear" w:color="auto" w:fill="auto"/>
            <w:noWrap/>
            <w:vAlign w:val="center"/>
          </w:tcPr>
          <w:p w14:paraId="55DAB4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 for trend</w:t>
            </w:r>
          </w:p>
        </w:tc>
        <w:tc>
          <w:tcPr>
            <w:tcW w:w="0" w:type="auto"/>
            <w:tcBorders>
              <w:top w:val="nil"/>
              <w:left w:val="nil"/>
              <w:bottom w:val="single" w:color="000000" w:sz="12" w:space="0"/>
              <w:right w:val="nil"/>
            </w:tcBorders>
            <w:shd w:val="clear" w:color="auto" w:fill="auto"/>
            <w:noWrap/>
            <w:vAlign w:val="center"/>
          </w:tcPr>
          <w:p w14:paraId="0826D7BE">
            <w:pPr>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single" w:color="000000" w:sz="12" w:space="0"/>
              <w:right w:val="nil"/>
            </w:tcBorders>
            <w:shd w:val="clear" w:color="auto" w:fill="auto"/>
            <w:noWrap/>
            <w:vAlign w:val="center"/>
          </w:tcPr>
          <w:p w14:paraId="7373ED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0005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jc w:val="center"/>
        </w:trPr>
        <w:tc>
          <w:tcPr>
            <w:tcW w:w="8457" w:type="dxa"/>
            <w:gridSpan w:val="3"/>
            <w:tcBorders>
              <w:top w:val="nil"/>
              <w:left w:val="nil"/>
              <w:bottom w:val="nil"/>
              <w:right w:val="nil"/>
            </w:tcBorders>
            <w:shd w:val="clear" w:color="auto" w:fill="auto"/>
            <w:vAlign w:val="center"/>
          </w:tcPr>
          <w:p w14:paraId="7C0421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lang w:val="en-US"/>
              </w:rPr>
            </w:pPr>
            <w:r>
              <w:rPr>
                <w:rFonts w:hint="eastAsia" w:ascii="Times New Roman" w:hAnsi="Times New Roman" w:eastAsia="宋体" w:cs="Times New Roman"/>
                <w:i w:val="0"/>
                <w:iCs w:val="0"/>
                <w:color w:val="000000"/>
                <w:kern w:val="0"/>
                <w:sz w:val="24"/>
                <w:szCs w:val="24"/>
                <w:u w:val="none"/>
                <w:lang w:val="en-US" w:eastAsia="zh-CN" w:bidi="ar"/>
              </w:rPr>
              <w:t>s</w:t>
            </w:r>
            <w:r>
              <w:rPr>
                <w:rFonts w:hint="default" w:ascii="Times New Roman" w:hAnsi="Times New Roman" w:eastAsia="宋体" w:cs="Times New Roman"/>
                <w:i w:val="0"/>
                <w:iCs w:val="0"/>
                <w:color w:val="000000"/>
                <w:kern w:val="0"/>
                <w:sz w:val="24"/>
                <w:szCs w:val="24"/>
                <w:u w:val="none"/>
                <w:lang w:val="en-US" w:eastAsia="zh-CN" w:bidi="ar"/>
              </w:rPr>
              <w:t>HR, subdistribution hazard ratio; CI, confidence interval; CVD, cardiovascular disease; TyG-CVAI, triglyceride-glucose index combined with Chinese visceral adiposity index.</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 xml:space="preserve">Non-CVD death was treated as the competing event in Fine–Gray competing-risk regression models. The model was adjusted for age,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marital status, educational level, smoking status, </w:t>
            </w:r>
            <w:r>
              <w:rPr>
                <w:rFonts w:hint="eastAsia" w:ascii="Times New Roman" w:hAnsi="Times New Roman" w:eastAsia="宋体" w:cs="Times New Roman"/>
                <w:i w:val="0"/>
                <w:iCs w:val="0"/>
                <w:color w:val="000000"/>
                <w:kern w:val="0"/>
                <w:sz w:val="24"/>
                <w:szCs w:val="24"/>
                <w:u w:val="none"/>
                <w:lang w:val="en-US" w:eastAsia="zh-CN" w:bidi="ar"/>
              </w:rPr>
              <w:t>drinking status</w:t>
            </w:r>
            <w:r>
              <w:rPr>
                <w:rFonts w:hint="default" w:ascii="Times New Roman" w:hAnsi="Times New Roman" w:eastAsia="宋体" w:cs="Times New Roman"/>
                <w:i w:val="0"/>
                <w:iCs w:val="0"/>
                <w:color w:val="000000"/>
                <w:kern w:val="0"/>
                <w:sz w:val="24"/>
                <w:szCs w:val="24"/>
                <w:u w:val="none"/>
                <w:lang w:val="en-US" w:eastAsia="zh-CN" w:bidi="ar"/>
              </w:rPr>
              <w:t>, cancer, liver disease and kidney disease.</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Cumulative TyG-CVAI was standardized before regression.</w:t>
            </w:r>
          </w:p>
        </w:tc>
      </w:tr>
    </w:tbl>
    <w:p w14:paraId="57D9BB5B"/>
    <w:p w14:paraId="0A28981A"/>
    <w:p w14:paraId="53F17D98">
      <w:pPr>
        <w:sectPr>
          <w:pgSz w:w="11906" w:h="16838"/>
          <w:pgMar w:top="1440" w:right="1800" w:bottom="1440" w:left="1800" w:header="851" w:footer="992" w:gutter="0"/>
          <w:cols w:space="425" w:num="1"/>
          <w:docGrid w:type="lines" w:linePitch="312" w:charSpace="0"/>
        </w:sectPr>
      </w:pPr>
    </w:p>
    <w:tbl>
      <w:tblPr>
        <w:tblStyle w:val="6"/>
        <w:tblW w:w="5080" w:type="pct"/>
        <w:tblInd w:w="-228" w:type="dxa"/>
        <w:tblLayout w:type="fixed"/>
        <w:tblCellMar>
          <w:top w:w="0" w:type="dxa"/>
          <w:left w:w="108" w:type="dxa"/>
          <w:bottom w:w="0" w:type="dxa"/>
          <w:right w:w="108" w:type="dxa"/>
        </w:tblCellMar>
      </w:tblPr>
      <w:tblGrid>
        <w:gridCol w:w="3939"/>
        <w:gridCol w:w="1218"/>
        <w:gridCol w:w="1366"/>
        <w:gridCol w:w="1602"/>
        <w:gridCol w:w="1015"/>
        <w:gridCol w:w="1602"/>
        <w:gridCol w:w="1015"/>
        <w:gridCol w:w="1602"/>
        <w:gridCol w:w="1043"/>
      </w:tblGrid>
      <w:tr w14:paraId="603DED0D">
        <w:tblPrEx>
          <w:tblCellMar>
            <w:top w:w="0" w:type="dxa"/>
            <w:left w:w="108" w:type="dxa"/>
            <w:bottom w:w="0" w:type="dxa"/>
            <w:right w:w="108" w:type="dxa"/>
          </w:tblCellMar>
        </w:tblPrEx>
        <w:trPr>
          <w:trHeight w:val="324" w:hRule="atLeast"/>
        </w:trPr>
        <w:tc>
          <w:tcPr>
            <w:tcW w:w="5000" w:type="pct"/>
            <w:gridSpan w:val="9"/>
            <w:tcBorders>
              <w:top w:val="nil"/>
              <w:left w:val="nil"/>
              <w:bottom w:val="nil"/>
              <w:right w:val="nil"/>
            </w:tcBorders>
            <w:noWrap/>
            <w:vAlign w:val="center"/>
          </w:tcPr>
          <w:p w14:paraId="46196F0E">
            <w:pPr>
              <w:pStyle w:val="2"/>
              <w:rPr>
                <w:rFonts w:ascii="Times New Roman" w:hAnsi="Times New Roman" w:eastAsia="宋体" w:cs="Times New Roman"/>
                <w:b/>
                <w:bCs/>
                <w:color w:val="000000"/>
                <w:szCs w:val="21"/>
              </w:rPr>
            </w:pPr>
            <w:bookmarkStart w:id="6" w:name="_Toc11765"/>
            <w:bookmarkStart w:id="7" w:name="_Toc27352"/>
            <w:r>
              <w:rPr>
                <w:b/>
                <w:bCs/>
              </w:rPr>
              <w:t>Table S4</w:t>
            </w:r>
            <w:bookmarkEnd w:id="6"/>
            <w:r>
              <w:rPr>
                <w:rFonts w:hint="eastAsia"/>
                <w:b/>
                <w:bCs/>
                <w:lang w:val="en-US" w:eastAsia="zh-CN"/>
              </w:rPr>
              <w:t>.</w:t>
            </w:r>
            <w:r>
              <w:t xml:space="preserve"> </w:t>
            </w:r>
            <w:r>
              <w:rPr>
                <w:rFonts w:hint="eastAsia"/>
              </w:rPr>
              <w:t>Sensitivity analysis additionally adjusted for baseline hypertension and diabetes for the associations of TyG-CVAI change patterns and cumulative TyG-CVAI with new-onset CVD risk.</w:t>
            </w:r>
            <w:bookmarkEnd w:id="7"/>
          </w:p>
        </w:tc>
      </w:tr>
      <w:tr w14:paraId="14D2098F">
        <w:tblPrEx>
          <w:tblCellMar>
            <w:top w:w="0" w:type="dxa"/>
            <w:left w:w="108" w:type="dxa"/>
            <w:bottom w:w="0" w:type="dxa"/>
            <w:right w:w="108" w:type="dxa"/>
          </w:tblCellMar>
        </w:tblPrEx>
        <w:trPr>
          <w:trHeight w:val="312" w:hRule="atLeast"/>
        </w:trPr>
        <w:tc>
          <w:tcPr>
            <w:tcW w:w="1367" w:type="pct"/>
            <w:vMerge w:val="restart"/>
            <w:tcBorders>
              <w:top w:val="single" w:color="000000" w:sz="12" w:space="0"/>
              <w:left w:val="nil"/>
              <w:bottom w:val="single" w:color="000000" w:sz="8" w:space="0"/>
              <w:right w:val="nil"/>
            </w:tcBorders>
            <w:noWrap/>
          </w:tcPr>
          <w:p w14:paraId="4DE48EC4">
            <w:pPr>
              <w:widowControl/>
              <w:jc w:val="left"/>
              <w:textAlignment w:val="top"/>
              <w:rPr>
                <w:rFonts w:ascii="Times New Roman" w:hAnsi="Times New Roman" w:eastAsia="宋体" w:cs="Times New Roman"/>
                <w:b/>
                <w:bCs/>
                <w:color w:val="000000"/>
                <w:szCs w:val="21"/>
              </w:rPr>
            </w:pPr>
            <w:r>
              <w:rPr>
                <w:rFonts w:ascii="Times New Roman" w:hAnsi="Times New Roman" w:eastAsia="宋体" w:cs="Times New Roman"/>
                <w:b/>
                <w:bCs/>
                <w:color w:val="000000"/>
                <w:kern w:val="0"/>
                <w:szCs w:val="21"/>
                <w:lang w:bidi="ar"/>
              </w:rPr>
              <w:t>Variable</w:t>
            </w:r>
          </w:p>
        </w:tc>
        <w:tc>
          <w:tcPr>
            <w:tcW w:w="422" w:type="pct"/>
            <w:vMerge w:val="restart"/>
            <w:tcBorders>
              <w:top w:val="single" w:color="000000" w:sz="12" w:space="0"/>
              <w:left w:val="nil"/>
              <w:bottom w:val="single" w:color="000000" w:sz="8" w:space="0"/>
              <w:right w:val="nil"/>
            </w:tcBorders>
            <w:noWrap/>
          </w:tcPr>
          <w:p w14:paraId="1B66FBFB">
            <w:pPr>
              <w:widowControl/>
              <w:jc w:val="center"/>
              <w:textAlignment w:val="top"/>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Total number</w:t>
            </w:r>
          </w:p>
        </w:tc>
        <w:tc>
          <w:tcPr>
            <w:tcW w:w="474" w:type="pct"/>
            <w:vMerge w:val="restart"/>
            <w:tcBorders>
              <w:top w:val="single" w:color="000000" w:sz="12" w:space="0"/>
              <w:left w:val="nil"/>
              <w:bottom w:val="single" w:color="000000" w:sz="8" w:space="0"/>
              <w:right w:val="nil"/>
            </w:tcBorders>
            <w:noWrap/>
          </w:tcPr>
          <w:p w14:paraId="5E8ED249">
            <w:pPr>
              <w:widowControl/>
              <w:jc w:val="center"/>
              <w:textAlignment w:val="top"/>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Events, n(%)</w:t>
            </w:r>
          </w:p>
        </w:tc>
        <w:tc>
          <w:tcPr>
            <w:tcW w:w="908" w:type="pct"/>
            <w:gridSpan w:val="2"/>
            <w:tcBorders>
              <w:top w:val="single" w:color="000000" w:sz="12" w:space="0"/>
              <w:left w:val="nil"/>
              <w:bottom w:val="single" w:color="000000" w:sz="8" w:space="0"/>
              <w:right w:val="nil"/>
            </w:tcBorders>
            <w:noWrap/>
            <w:vAlign w:val="center"/>
          </w:tcPr>
          <w:p w14:paraId="3F702375">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Model</w:t>
            </w:r>
            <w:r>
              <w:rPr>
                <w:rFonts w:hint="eastAsia" w:ascii="Times New Roman" w:hAnsi="Times New Roman" w:eastAsia="宋体" w:cs="Times New Roman"/>
                <w:b/>
                <w:bCs/>
                <w:color w:val="000000"/>
                <w:kern w:val="0"/>
                <w:sz w:val="20"/>
                <w:szCs w:val="20"/>
                <w:lang w:val="en-US" w:eastAsia="zh-CN" w:bidi="ar"/>
              </w:rPr>
              <w:t xml:space="preserve"> </w:t>
            </w:r>
            <w:r>
              <w:rPr>
                <w:rFonts w:ascii="Times New Roman" w:hAnsi="Times New Roman" w:eastAsia="宋体" w:cs="Times New Roman"/>
                <w:b/>
                <w:bCs/>
                <w:color w:val="000000"/>
                <w:kern w:val="0"/>
                <w:sz w:val="20"/>
                <w:szCs w:val="20"/>
                <w:lang w:bidi="ar"/>
              </w:rPr>
              <w:t>1</w:t>
            </w:r>
          </w:p>
        </w:tc>
        <w:tc>
          <w:tcPr>
            <w:tcW w:w="908" w:type="pct"/>
            <w:gridSpan w:val="2"/>
            <w:tcBorders>
              <w:top w:val="single" w:color="000000" w:sz="12" w:space="0"/>
              <w:left w:val="nil"/>
              <w:bottom w:val="single" w:color="000000" w:sz="8" w:space="0"/>
              <w:right w:val="nil"/>
            </w:tcBorders>
            <w:noWrap/>
            <w:vAlign w:val="center"/>
          </w:tcPr>
          <w:p w14:paraId="508BA492">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Model</w:t>
            </w:r>
            <w:r>
              <w:rPr>
                <w:rFonts w:hint="eastAsia" w:ascii="Times New Roman" w:hAnsi="Times New Roman" w:eastAsia="宋体" w:cs="Times New Roman"/>
                <w:b/>
                <w:bCs/>
                <w:color w:val="000000"/>
                <w:kern w:val="0"/>
                <w:sz w:val="20"/>
                <w:szCs w:val="20"/>
                <w:lang w:val="en-US" w:eastAsia="zh-CN" w:bidi="ar"/>
              </w:rPr>
              <w:t xml:space="preserve"> </w:t>
            </w:r>
            <w:r>
              <w:rPr>
                <w:rFonts w:ascii="Times New Roman" w:hAnsi="Times New Roman" w:eastAsia="宋体" w:cs="Times New Roman"/>
                <w:b/>
                <w:bCs/>
                <w:color w:val="000000"/>
                <w:kern w:val="0"/>
                <w:sz w:val="20"/>
                <w:szCs w:val="20"/>
                <w:lang w:bidi="ar"/>
              </w:rPr>
              <w:t>2</w:t>
            </w:r>
          </w:p>
        </w:tc>
        <w:tc>
          <w:tcPr>
            <w:tcW w:w="918" w:type="pct"/>
            <w:gridSpan w:val="2"/>
            <w:tcBorders>
              <w:top w:val="single" w:color="000000" w:sz="12" w:space="0"/>
              <w:left w:val="nil"/>
              <w:bottom w:val="single" w:color="000000" w:sz="8" w:space="0"/>
              <w:right w:val="nil"/>
            </w:tcBorders>
            <w:noWrap/>
            <w:vAlign w:val="center"/>
          </w:tcPr>
          <w:p w14:paraId="4712EEC1">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Model</w:t>
            </w:r>
            <w:r>
              <w:rPr>
                <w:rFonts w:hint="eastAsia" w:ascii="Times New Roman" w:hAnsi="Times New Roman" w:eastAsia="宋体" w:cs="Times New Roman"/>
                <w:b/>
                <w:bCs/>
                <w:color w:val="000000"/>
                <w:kern w:val="0"/>
                <w:sz w:val="20"/>
                <w:szCs w:val="20"/>
                <w:lang w:val="en-US" w:eastAsia="zh-CN" w:bidi="ar"/>
              </w:rPr>
              <w:t xml:space="preserve"> </w:t>
            </w:r>
            <w:r>
              <w:rPr>
                <w:rFonts w:ascii="Times New Roman" w:hAnsi="Times New Roman" w:eastAsia="宋体" w:cs="Times New Roman"/>
                <w:b/>
                <w:bCs/>
                <w:color w:val="000000"/>
                <w:kern w:val="0"/>
                <w:sz w:val="20"/>
                <w:szCs w:val="20"/>
                <w:lang w:bidi="ar"/>
              </w:rPr>
              <w:t>3</w:t>
            </w:r>
          </w:p>
        </w:tc>
      </w:tr>
      <w:tr w14:paraId="72E0EAA4">
        <w:tblPrEx>
          <w:tblCellMar>
            <w:top w:w="0" w:type="dxa"/>
            <w:left w:w="108" w:type="dxa"/>
            <w:bottom w:w="0" w:type="dxa"/>
            <w:right w:w="108" w:type="dxa"/>
          </w:tblCellMar>
        </w:tblPrEx>
        <w:trPr>
          <w:trHeight w:val="297" w:hRule="atLeast"/>
        </w:trPr>
        <w:tc>
          <w:tcPr>
            <w:tcW w:w="1367" w:type="pct"/>
            <w:vMerge w:val="continue"/>
            <w:tcBorders>
              <w:top w:val="single" w:color="000000" w:sz="12" w:space="0"/>
              <w:left w:val="nil"/>
              <w:bottom w:val="single" w:color="000000" w:sz="8" w:space="0"/>
              <w:right w:val="nil"/>
            </w:tcBorders>
            <w:noWrap/>
          </w:tcPr>
          <w:p w14:paraId="145E9C8D">
            <w:pPr>
              <w:jc w:val="left"/>
              <w:rPr>
                <w:rFonts w:ascii="Times New Roman" w:hAnsi="Times New Roman" w:eastAsia="宋体" w:cs="Times New Roman"/>
                <w:b/>
                <w:bCs/>
                <w:color w:val="000000"/>
                <w:szCs w:val="21"/>
              </w:rPr>
            </w:pPr>
          </w:p>
        </w:tc>
        <w:tc>
          <w:tcPr>
            <w:tcW w:w="422" w:type="pct"/>
            <w:vMerge w:val="continue"/>
            <w:tcBorders>
              <w:top w:val="single" w:color="000000" w:sz="12" w:space="0"/>
              <w:left w:val="nil"/>
              <w:bottom w:val="single" w:color="000000" w:sz="8" w:space="0"/>
              <w:right w:val="nil"/>
            </w:tcBorders>
            <w:noWrap/>
          </w:tcPr>
          <w:p w14:paraId="166AC25F">
            <w:pPr>
              <w:jc w:val="center"/>
              <w:rPr>
                <w:rFonts w:ascii="Times New Roman" w:hAnsi="Times New Roman" w:eastAsia="宋体" w:cs="Times New Roman"/>
                <w:b/>
                <w:bCs/>
                <w:color w:val="000000"/>
                <w:sz w:val="20"/>
                <w:szCs w:val="20"/>
              </w:rPr>
            </w:pPr>
          </w:p>
        </w:tc>
        <w:tc>
          <w:tcPr>
            <w:tcW w:w="474" w:type="pct"/>
            <w:vMerge w:val="continue"/>
            <w:tcBorders>
              <w:top w:val="single" w:color="000000" w:sz="12" w:space="0"/>
              <w:left w:val="nil"/>
              <w:bottom w:val="single" w:color="000000" w:sz="8" w:space="0"/>
              <w:right w:val="nil"/>
            </w:tcBorders>
            <w:noWrap/>
          </w:tcPr>
          <w:p w14:paraId="5B469C20">
            <w:pPr>
              <w:jc w:val="center"/>
              <w:rPr>
                <w:rFonts w:ascii="Times New Roman" w:hAnsi="Times New Roman" w:eastAsia="宋体" w:cs="Times New Roman"/>
                <w:b/>
                <w:bCs/>
                <w:color w:val="000000"/>
                <w:sz w:val="20"/>
                <w:szCs w:val="20"/>
              </w:rPr>
            </w:pPr>
          </w:p>
        </w:tc>
        <w:tc>
          <w:tcPr>
            <w:tcW w:w="556" w:type="pct"/>
            <w:tcBorders>
              <w:top w:val="nil"/>
              <w:left w:val="nil"/>
              <w:bottom w:val="single" w:color="000000" w:sz="8" w:space="0"/>
              <w:right w:val="nil"/>
            </w:tcBorders>
            <w:noWrap/>
            <w:vAlign w:val="center"/>
          </w:tcPr>
          <w:p w14:paraId="37BED586">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HR (95% CI)</w:t>
            </w:r>
          </w:p>
        </w:tc>
        <w:tc>
          <w:tcPr>
            <w:tcW w:w="352" w:type="pct"/>
            <w:tcBorders>
              <w:top w:val="nil"/>
              <w:left w:val="nil"/>
              <w:bottom w:val="single" w:color="000000" w:sz="8" w:space="0"/>
              <w:right w:val="nil"/>
            </w:tcBorders>
            <w:noWrap/>
            <w:vAlign w:val="center"/>
          </w:tcPr>
          <w:p w14:paraId="3169F8FA">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P  value</w:t>
            </w:r>
          </w:p>
        </w:tc>
        <w:tc>
          <w:tcPr>
            <w:tcW w:w="556" w:type="pct"/>
            <w:tcBorders>
              <w:top w:val="nil"/>
              <w:left w:val="nil"/>
              <w:bottom w:val="single" w:color="000000" w:sz="8" w:space="0"/>
              <w:right w:val="nil"/>
            </w:tcBorders>
            <w:noWrap/>
            <w:vAlign w:val="center"/>
          </w:tcPr>
          <w:p w14:paraId="61657187">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HR (95% CI)</w:t>
            </w:r>
          </w:p>
        </w:tc>
        <w:tc>
          <w:tcPr>
            <w:tcW w:w="352" w:type="pct"/>
            <w:tcBorders>
              <w:top w:val="nil"/>
              <w:left w:val="nil"/>
              <w:bottom w:val="single" w:color="000000" w:sz="8" w:space="0"/>
              <w:right w:val="nil"/>
            </w:tcBorders>
            <w:noWrap/>
            <w:vAlign w:val="center"/>
          </w:tcPr>
          <w:p w14:paraId="6143091D">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P  value</w:t>
            </w:r>
          </w:p>
        </w:tc>
        <w:tc>
          <w:tcPr>
            <w:tcW w:w="556" w:type="pct"/>
            <w:tcBorders>
              <w:top w:val="nil"/>
              <w:left w:val="nil"/>
              <w:bottom w:val="single" w:color="000000" w:sz="8" w:space="0"/>
              <w:right w:val="nil"/>
            </w:tcBorders>
            <w:noWrap/>
            <w:vAlign w:val="center"/>
          </w:tcPr>
          <w:p w14:paraId="2337F81A">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HR (95% CI)</w:t>
            </w:r>
          </w:p>
        </w:tc>
        <w:tc>
          <w:tcPr>
            <w:tcW w:w="362" w:type="pct"/>
            <w:tcBorders>
              <w:top w:val="nil"/>
              <w:left w:val="nil"/>
              <w:bottom w:val="single" w:color="000000" w:sz="8" w:space="0"/>
              <w:right w:val="nil"/>
            </w:tcBorders>
            <w:noWrap/>
            <w:vAlign w:val="center"/>
          </w:tcPr>
          <w:p w14:paraId="304F011F">
            <w:pPr>
              <w:widowControl/>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P  value</w:t>
            </w:r>
          </w:p>
        </w:tc>
      </w:tr>
      <w:tr w14:paraId="441F5524">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2AFF4F35">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TyG-CVAI change patterns</w:t>
            </w:r>
          </w:p>
        </w:tc>
        <w:tc>
          <w:tcPr>
            <w:tcW w:w="422" w:type="pct"/>
            <w:tcBorders>
              <w:top w:val="nil"/>
              <w:left w:val="nil"/>
              <w:bottom w:val="nil"/>
              <w:right w:val="nil"/>
            </w:tcBorders>
            <w:noWrap/>
            <w:vAlign w:val="center"/>
          </w:tcPr>
          <w:p w14:paraId="0BEB1152">
            <w:pPr>
              <w:jc w:val="center"/>
              <w:rPr>
                <w:rFonts w:ascii="Times New Roman" w:hAnsi="Times New Roman" w:eastAsia="宋体" w:cs="Times New Roman"/>
                <w:color w:val="000000"/>
                <w:sz w:val="20"/>
                <w:szCs w:val="20"/>
              </w:rPr>
            </w:pPr>
          </w:p>
        </w:tc>
        <w:tc>
          <w:tcPr>
            <w:tcW w:w="474" w:type="pct"/>
            <w:tcBorders>
              <w:top w:val="nil"/>
              <w:left w:val="nil"/>
              <w:bottom w:val="nil"/>
              <w:right w:val="nil"/>
            </w:tcBorders>
            <w:noWrap/>
            <w:vAlign w:val="center"/>
          </w:tcPr>
          <w:p w14:paraId="00037D30">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70331B53">
            <w:pPr>
              <w:jc w:val="center"/>
              <w:rPr>
                <w:rFonts w:ascii="Times New Roman" w:hAnsi="Times New Roman" w:eastAsia="宋体" w:cs="Times New Roman"/>
                <w:color w:val="000000"/>
                <w:sz w:val="20"/>
                <w:szCs w:val="20"/>
              </w:rPr>
            </w:pPr>
          </w:p>
        </w:tc>
        <w:tc>
          <w:tcPr>
            <w:tcW w:w="352" w:type="pct"/>
            <w:tcBorders>
              <w:top w:val="nil"/>
              <w:left w:val="nil"/>
              <w:bottom w:val="nil"/>
              <w:right w:val="nil"/>
            </w:tcBorders>
            <w:noWrap/>
            <w:vAlign w:val="center"/>
          </w:tcPr>
          <w:p w14:paraId="36407C38">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4C2980A4">
            <w:pPr>
              <w:jc w:val="center"/>
              <w:rPr>
                <w:rFonts w:ascii="Times New Roman" w:hAnsi="Times New Roman" w:eastAsia="宋体" w:cs="Times New Roman"/>
                <w:color w:val="000000"/>
                <w:sz w:val="20"/>
                <w:szCs w:val="20"/>
              </w:rPr>
            </w:pPr>
          </w:p>
        </w:tc>
        <w:tc>
          <w:tcPr>
            <w:tcW w:w="352" w:type="pct"/>
            <w:tcBorders>
              <w:top w:val="nil"/>
              <w:left w:val="nil"/>
              <w:bottom w:val="nil"/>
              <w:right w:val="nil"/>
            </w:tcBorders>
            <w:noWrap/>
            <w:vAlign w:val="center"/>
          </w:tcPr>
          <w:p w14:paraId="5AA6DC95">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2B83B6B0">
            <w:pPr>
              <w:jc w:val="center"/>
              <w:rPr>
                <w:rFonts w:ascii="Times New Roman" w:hAnsi="Times New Roman" w:eastAsia="宋体" w:cs="Times New Roman"/>
                <w:color w:val="000000"/>
                <w:sz w:val="20"/>
                <w:szCs w:val="20"/>
              </w:rPr>
            </w:pPr>
          </w:p>
        </w:tc>
        <w:tc>
          <w:tcPr>
            <w:tcW w:w="362" w:type="pct"/>
            <w:tcBorders>
              <w:top w:val="nil"/>
              <w:left w:val="nil"/>
              <w:bottom w:val="nil"/>
              <w:right w:val="nil"/>
            </w:tcBorders>
            <w:noWrap/>
            <w:vAlign w:val="center"/>
          </w:tcPr>
          <w:p w14:paraId="12CD7258">
            <w:pPr>
              <w:jc w:val="center"/>
              <w:rPr>
                <w:rFonts w:ascii="Times New Roman" w:hAnsi="Times New Roman" w:eastAsia="宋体" w:cs="Times New Roman"/>
                <w:color w:val="000000"/>
                <w:sz w:val="20"/>
                <w:szCs w:val="20"/>
              </w:rPr>
            </w:pPr>
          </w:p>
        </w:tc>
      </w:tr>
      <w:tr w14:paraId="2FA95666">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4ACD90E9">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Low-Low</w:t>
            </w:r>
          </w:p>
        </w:tc>
        <w:tc>
          <w:tcPr>
            <w:tcW w:w="422" w:type="pct"/>
            <w:tcBorders>
              <w:top w:val="nil"/>
              <w:left w:val="nil"/>
              <w:bottom w:val="nil"/>
              <w:right w:val="nil"/>
            </w:tcBorders>
            <w:noWrap/>
            <w:vAlign w:val="center"/>
          </w:tcPr>
          <w:p w14:paraId="52983E3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1482</w:t>
            </w:r>
          </w:p>
        </w:tc>
        <w:tc>
          <w:tcPr>
            <w:tcW w:w="474" w:type="pct"/>
            <w:tcBorders>
              <w:top w:val="nil"/>
              <w:left w:val="nil"/>
              <w:bottom w:val="nil"/>
              <w:right w:val="nil"/>
            </w:tcBorders>
            <w:noWrap/>
            <w:vAlign w:val="center"/>
          </w:tcPr>
          <w:p w14:paraId="23D13C8B">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201 (13.6%)</w:t>
            </w:r>
          </w:p>
        </w:tc>
        <w:tc>
          <w:tcPr>
            <w:tcW w:w="556" w:type="pct"/>
            <w:tcBorders>
              <w:top w:val="nil"/>
              <w:left w:val="nil"/>
              <w:bottom w:val="nil"/>
              <w:right w:val="nil"/>
            </w:tcBorders>
            <w:noWrap/>
            <w:vAlign w:val="center"/>
          </w:tcPr>
          <w:p w14:paraId="42BD1816">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1.00 (Reference)</w:t>
            </w:r>
          </w:p>
        </w:tc>
        <w:tc>
          <w:tcPr>
            <w:tcW w:w="352" w:type="pct"/>
            <w:tcBorders>
              <w:top w:val="nil"/>
              <w:left w:val="nil"/>
              <w:bottom w:val="nil"/>
              <w:right w:val="nil"/>
            </w:tcBorders>
            <w:noWrap/>
            <w:vAlign w:val="center"/>
          </w:tcPr>
          <w:p w14:paraId="4F1D265F">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128D8B8B">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1.00 (Reference)</w:t>
            </w:r>
          </w:p>
        </w:tc>
        <w:tc>
          <w:tcPr>
            <w:tcW w:w="352" w:type="pct"/>
            <w:tcBorders>
              <w:top w:val="nil"/>
              <w:left w:val="nil"/>
              <w:bottom w:val="nil"/>
              <w:right w:val="nil"/>
            </w:tcBorders>
            <w:noWrap/>
            <w:vAlign w:val="center"/>
          </w:tcPr>
          <w:p w14:paraId="71452F2D">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514ECD8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1.00 (Reference)</w:t>
            </w:r>
          </w:p>
        </w:tc>
        <w:tc>
          <w:tcPr>
            <w:tcW w:w="362" w:type="pct"/>
            <w:tcBorders>
              <w:top w:val="nil"/>
              <w:left w:val="nil"/>
              <w:bottom w:val="nil"/>
              <w:right w:val="nil"/>
            </w:tcBorders>
            <w:noWrap/>
            <w:vAlign w:val="center"/>
          </w:tcPr>
          <w:p w14:paraId="4684479E">
            <w:pPr>
              <w:jc w:val="center"/>
              <w:rPr>
                <w:rFonts w:ascii="Times New Roman" w:hAnsi="Times New Roman" w:eastAsia="宋体" w:cs="Times New Roman"/>
                <w:color w:val="000000"/>
                <w:sz w:val="20"/>
                <w:szCs w:val="20"/>
              </w:rPr>
            </w:pPr>
          </w:p>
        </w:tc>
      </w:tr>
      <w:tr w14:paraId="5D04E5DA">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47ED309A">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Low-High</w:t>
            </w:r>
          </w:p>
        </w:tc>
        <w:tc>
          <w:tcPr>
            <w:tcW w:w="422" w:type="pct"/>
            <w:tcBorders>
              <w:top w:val="nil"/>
              <w:left w:val="nil"/>
              <w:bottom w:val="nil"/>
              <w:right w:val="nil"/>
            </w:tcBorders>
            <w:noWrap/>
            <w:vAlign w:val="center"/>
          </w:tcPr>
          <w:p w14:paraId="3B00E88E">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651</w:t>
            </w:r>
          </w:p>
        </w:tc>
        <w:tc>
          <w:tcPr>
            <w:tcW w:w="474" w:type="pct"/>
            <w:tcBorders>
              <w:top w:val="nil"/>
              <w:left w:val="nil"/>
              <w:bottom w:val="nil"/>
              <w:right w:val="nil"/>
            </w:tcBorders>
            <w:noWrap/>
            <w:vAlign w:val="center"/>
          </w:tcPr>
          <w:p w14:paraId="1B06188E">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128 (19.7%)</w:t>
            </w:r>
          </w:p>
        </w:tc>
        <w:tc>
          <w:tcPr>
            <w:tcW w:w="556" w:type="pct"/>
            <w:tcBorders>
              <w:top w:val="nil"/>
              <w:left w:val="nil"/>
              <w:bottom w:val="nil"/>
              <w:right w:val="nil"/>
            </w:tcBorders>
            <w:noWrap/>
            <w:vAlign w:val="center"/>
          </w:tcPr>
          <w:p w14:paraId="27CF1DCB">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1.51 (1.21~1.88)</w:t>
            </w:r>
          </w:p>
        </w:tc>
        <w:tc>
          <w:tcPr>
            <w:tcW w:w="352" w:type="pct"/>
            <w:tcBorders>
              <w:top w:val="nil"/>
              <w:left w:val="nil"/>
              <w:bottom w:val="nil"/>
              <w:right w:val="nil"/>
            </w:tcBorders>
            <w:noWrap/>
            <w:vAlign w:val="center"/>
          </w:tcPr>
          <w:p w14:paraId="03ADF8AA">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5119D7EC">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1.48 (1.18~1.84)</w:t>
            </w:r>
          </w:p>
        </w:tc>
        <w:tc>
          <w:tcPr>
            <w:tcW w:w="352" w:type="pct"/>
            <w:tcBorders>
              <w:top w:val="nil"/>
              <w:left w:val="nil"/>
              <w:bottom w:val="nil"/>
              <w:right w:val="nil"/>
            </w:tcBorders>
            <w:noWrap/>
            <w:vAlign w:val="center"/>
          </w:tcPr>
          <w:p w14:paraId="398F1E65">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5D3DF489">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1.44 (1.15~1.80)</w:t>
            </w:r>
          </w:p>
        </w:tc>
        <w:tc>
          <w:tcPr>
            <w:tcW w:w="362" w:type="pct"/>
            <w:tcBorders>
              <w:top w:val="nil"/>
              <w:left w:val="nil"/>
              <w:bottom w:val="nil"/>
              <w:right w:val="nil"/>
            </w:tcBorders>
            <w:noWrap/>
            <w:vAlign w:val="center"/>
          </w:tcPr>
          <w:p w14:paraId="0F74FC5C">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0.001</w:t>
            </w:r>
          </w:p>
        </w:tc>
      </w:tr>
      <w:tr w14:paraId="65C98DDF">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0A7A715B">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High-Low</w:t>
            </w:r>
          </w:p>
        </w:tc>
        <w:tc>
          <w:tcPr>
            <w:tcW w:w="422" w:type="pct"/>
            <w:tcBorders>
              <w:top w:val="nil"/>
              <w:left w:val="nil"/>
              <w:bottom w:val="nil"/>
              <w:right w:val="nil"/>
            </w:tcBorders>
            <w:noWrap/>
            <w:vAlign w:val="center"/>
          </w:tcPr>
          <w:p w14:paraId="44AD6074">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225</w:t>
            </w:r>
          </w:p>
        </w:tc>
        <w:tc>
          <w:tcPr>
            <w:tcW w:w="474" w:type="pct"/>
            <w:tcBorders>
              <w:top w:val="nil"/>
              <w:left w:val="nil"/>
              <w:bottom w:val="nil"/>
              <w:right w:val="nil"/>
            </w:tcBorders>
            <w:noWrap/>
            <w:vAlign w:val="center"/>
          </w:tcPr>
          <w:p w14:paraId="3023FFA9">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48 (21.3%)</w:t>
            </w:r>
          </w:p>
        </w:tc>
        <w:tc>
          <w:tcPr>
            <w:tcW w:w="556" w:type="pct"/>
            <w:tcBorders>
              <w:top w:val="nil"/>
              <w:left w:val="nil"/>
              <w:bottom w:val="nil"/>
              <w:right w:val="nil"/>
            </w:tcBorders>
            <w:noWrap/>
            <w:vAlign w:val="center"/>
          </w:tcPr>
          <w:p w14:paraId="3F745FCC">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1.66 (1.21~2.27)</w:t>
            </w:r>
          </w:p>
        </w:tc>
        <w:tc>
          <w:tcPr>
            <w:tcW w:w="352" w:type="pct"/>
            <w:tcBorders>
              <w:top w:val="nil"/>
              <w:left w:val="nil"/>
              <w:bottom w:val="nil"/>
              <w:right w:val="nil"/>
            </w:tcBorders>
            <w:noWrap/>
            <w:vAlign w:val="center"/>
          </w:tcPr>
          <w:p w14:paraId="16A00342">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0.002</w:t>
            </w:r>
          </w:p>
        </w:tc>
        <w:tc>
          <w:tcPr>
            <w:tcW w:w="556" w:type="pct"/>
            <w:tcBorders>
              <w:top w:val="nil"/>
              <w:left w:val="nil"/>
              <w:bottom w:val="nil"/>
              <w:right w:val="nil"/>
            </w:tcBorders>
            <w:noWrap/>
            <w:vAlign w:val="center"/>
          </w:tcPr>
          <w:p w14:paraId="09D57199">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1.62 (1.18~2.22)</w:t>
            </w:r>
          </w:p>
        </w:tc>
        <w:tc>
          <w:tcPr>
            <w:tcW w:w="352" w:type="pct"/>
            <w:tcBorders>
              <w:top w:val="nil"/>
              <w:left w:val="nil"/>
              <w:bottom w:val="nil"/>
              <w:right w:val="nil"/>
            </w:tcBorders>
            <w:noWrap/>
            <w:vAlign w:val="center"/>
          </w:tcPr>
          <w:p w14:paraId="05D7A85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0.003</w:t>
            </w:r>
          </w:p>
        </w:tc>
        <w:tc>
          <w:tcPr>
            <w:tcW w:w="556" w:type="pct"/>
            <w:tcBorders>
              <w:top w:val="nil"/>
              <w:left w:val="nil"/>
              <w:bottom w:val="nil"/>
              <w:right w:val="nil"/>
            </w:tcBorders>
            <w:noWrap/>
            <w:vAlign w:val="center"/>
          </w:tcPr>
          <w:p w14:paraId="51AC08EF">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1.51 (1.10~2.07)</w:t>
            </w:r>
          </w:p>
        </w:tc>
        <w:tc>
          <w:tcPr>
            <w:tcW w:w="362" w:type="pct"/>
            <w:tcBorders>
              <w:top w:val="nil"/>
              <w:left w:val="nil"/>
              <w:bottom w:val="nil"/>
              <w:right w:val="nil"/>
            </w:tcBorders>
            <w:noWrap/>
            <w:vAlign w:val="center"/>
          </w:tcPr>
          <w:p w14:paraId="02E49172">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0.011</w:t>
            </w:r>
          </w:p>
        </w:tc>
      </w:tr>
      <w:tr w14:paraId="31955ACB">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043AD4C2">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High-High</w:t>
            </w:r>
          </w:p>
        </w:tc>
        <w:tc>
          <w:tcPr>
            <w:tcW w:w="422" w:type="pct"/>
            <w:tcBorders>
              <w:top w:val="nil"/>
              <w:left w:val="nil"/>
              <w:bottom w:val="nil"/>
              <w:right w:val="nil"/>
            </w:tcBorders>
            <w:noWrap/>
            <w:vAlign w:val="center"/>
          </w:tcPr>
          <w:p w14:paraId="3BF06A2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1905</w:t>
            </w:r>
          </w:p>
        </w:tc>
        <w:tc>
          <w:tcPr>
            <w:tcW w:w="474" w:type="pct"/>
            <w:tcBorders>
              <w:top w:val="nil"/>
              <w:left w:val="nil"/>
              <w:bottom w:val="nil"/>
              <w:right w:val="nil"/>
            </w:tcBorders>
            <w:noWrap/>
            <w:vAlign w:val="center"/>
          </w:tcPr>
          <w:p w14:paraId="5D48E0EB">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453 (23.8%)</w:t>
            </w:r>
          </w:p>
        </w:tc>
        <w:tc>
          <w:tcPr>
            <w:tcW w:w="556" w:type="pct"/>
            <w:tcBorders>
              <w:top w:val="nil"/>
              <w:left w:val="nil"/>
              <w:bottom w:val="nil"/>
              <w:right w:val="nil"/>
            </w:tcBorders>
            <w:noWrap/>
            <w:vAlign w:val="center"/>
          </w:tcPr>
          <w:p w14:paraId="04082E1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1.87 (1.58~2.20)</w:t>
            </w:r>
          </w:p>
        </w:tc>
        <w:tc>
          <w:tcPr>
            <w:tcW w:w="352" w:type="pct"/>
            <w:tcBorders>
              <w:top w:val="nil"/>
              <w:left w:val="nil"/>
              <w:bottom w:val="nil"/>
              <w:right w:val="nil"/>
            </w:tcBorders>
            <w:noWrap/>
            <w:vAlign w:val="center"/>
          </w:tcPr>
          <w:p w14:paraId="10B1D487">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0FAD400A">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1.75 (1.48~2.07)</w:t>
            </w:r>
          </w:p>
        </w:tc>
        <w:tc>
          <w:tcPr>
            <w:tcW w:w="352" w:type="pct"/>
            <w:tcBorders>
              <w:top w:val="nil"/>
              <w:left w:val="nil"/>
              <w:bottom w:val="nil"/>
              <w:right w:val="nil"/>
            </w:tcBorders>
            <w:noWrap/>
            <w:vAlign w:val="center"/>
          </w:tcPr>
          <w:p w14:paraId="65F50A8F">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320AB896">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1.56 (1.31~1.86)</w:t>
            </w:r>
          </w:p>
        </w:tc>
        <w:tc>
          <w:tcPr>
            <w:tcW w:w="362" w:type="pct"/>
            <w:tcBorders>
              <w:top w:val="nil"/>
              <w:left w:val="nil"/>
              <w:bottom w:val="nil"/>
              <w:right w:val="nil"/>
            </w:tcBorders>
            <w:noWrap/>
            <w:vAlign w:val="center"/>
          </w:tcPr>
          <w:p w14:paraId="486299A3">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r>
      <w:tr w14:paraId="45BDBEA7">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2AA6C385">
            <w:pPr>
              <w:widowControl/>
              <w:jc w:val="left"/>
              <w:textAlignment w:val="center"/>
              <w:rPr>
                <w:rFonts w:hint="eastAsia" w:ascii="Times New Roman" w:hAnsi="Times New Roman" w:eastAsia="宋体" w:cs="Times New Roman"/>
                <w:color w:val="000000"/>
                <w:szCs w:val="21"/>
                <w:lang w:val="en-US" w:eastAsia="zh-CN"/>
              </w:rPr>
            </w:pPr>
            <w:r>
              <w:rPr>
                <w:rFonts w:ascii="Times New Roman" w:hAnsi="Times New Roman" w:eastAsia="宋体" w:cs="Times New Roman"/>
                <w:color w:val="000000"/>
                <w:kern w:val="0"/>
                <w:szCs w:val="21"/>
                <w:lang w:bidi="ar"/>
              </w:rPr>
              <w:t>Cumulative TyG-CVAI</w:t>
            </w:r>
            <w:r>
              <w:rPr>
                <w:rFonts w:hint="eastAsia" w:ascii="Times New Roman" w:hAnsi="Times New Roman" w:eastAsia="宋体" w:cs="Times New Roman"/>
                <w:color w:val="000000"/>
                <w:kern w:val="0"/>
                <w:szCs w:val="21"/>
                <w:lang w:val="en-US" w:eastAsia="zh-CN" w:bidi="ar"/>
              </w:rPr>
              <w:t xml:space="preserve"> (per 1-SD increase)</w:t>
            </w:r>
          </w:p>
        </w:tc>
        <w:tc>
          <w:tcPr>
            <w:tcW w:w="422" w:type="pct"/>
            <w:tcBorders>
              <w:top w:val="nil"/>
              <w:left w:val="nil"/>
              <w:bottom w:val="nil"/>
              <w:right w:val="nil"/>
            </w:tcBorders>
            <w:noWrap/>
            <w:vAlign w:val="center"/>
          </w:tcPr>
          <w:p w14:paraId="7B5B6552">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w:t>
            </w:r>
          </w:p>
        </w:tc>
        <w:tc>
          <w:tcPr>
            <w:tcW w:w="474" w:type="pct"/>
            <w:tcBorders>
              <w:top w:val="nil"/>
              <w:left w:val="nil"/>
              <w:bottom w:val="nil"/>
              <w:right w:val="nil"/>
            </w:tcBorders>
            <w:noWrap/>
            <w:vAlign w:val="center"/>
          </w:tcPr>
          <w:p w14:paraId="1CA30E46">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w:t>
            </w:r>
          </w:p>
        </w:tc>
        <w:tc>
          <w:tcPr>
            <w:tcW w:w="556" w:type="pct"/>
            <w:tcBorders>
              <w:top w:val="nil"/>
              <w:left w:val="nil"/>
              <w:bottom w:val="nil"/>
              <w:right w:val="nil"/>
            </w:tcBorders>
            <w:noWrap/>
            <w:vAlign w:val="center"/>
          </w:tcPr>
          <w:p w14:paraId="2DD9CBED">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1.11 (1.07~1.15)</w:t>
            </w:r>
          </w:p>
        </w:tc>
        <w:tc>
          <w:tcPr>
            <w:tcW w:w="352" w:type="pct"/>
            <w:tcBorders>
              <w:top w:val="nil"/>
              <w:left w:val="nil"/>
              <w:bottom w:val="nil"/>
              <w:right w:val="nil"/>
            </w:tcBorders>
            <w:noWrap/>
            <w:vAlign w:val="center"/>
          </w:tcPr>
          <w:p w14:paraId="6EAA577F">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126755B1">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1.10 (1.06~1.14)</w:t>
            </w:r>
          </w:p>
        </w:tc>
        <w:tc>
          <w:tcPr>
            <w:tcW w:w="352" w:type="pct"/>
            <w:tcBorders>
              <w:top w:val="nil"/>
              <w:left w:val="nil"/>
              <w:bottom w:val="nil"/>
              <w:right w:val="nil"/>
            </w:tcBorders>
            <w:noWrap/>
            <w:vAlign w:val="center"/>
          </w:tcPr>
          <w:p w14:paraId="0B36E121">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453BD173">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1.08 (1.04~1.13)</w:t>
            </w:r>
          </w:p>
        </w:tc>
        <w:tc>
          <w:tcPr>
            <w:tcW w:w="362" w:type="pct"/>
            <w:tcBorders>
              <w:top w:val="nil"/>
              <w:left w:val="nil"/>
              <w:bottom w:val="nil"/>
              <w:right w:val="nil"/>
            </w:tcBorders>
            <w:noWrap/>
            <w:vAlign w:val="center"/>
          </w:tcPr>
          <w:p w14:paraId="4B7FE34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r>
      <w:tr w14:paraId="0DB81094">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1A3ED093">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Quartiles of Cumulative TyG-CVAI</w:t>
            </w:r>
          </w:p>
        </w:tc>
        <w:tc>
          <w:tcPr>
            <w:tcW w:w="422" w:type="pct"/>
            <w:tcBorders>
              <w:top w:val="nil"/>
              <w:left w:val="nil"/>
              <w:bottom w:val="nil"/>
              <w:right w:val="nil"/>
            </w:tcBorders>
            <w:noWrap/>
            <w:vAlign w:val="center"/>
          </w:tcPr>
          <w:p w14:paraId="74727D45">
            <w:pPr>
              <w:jc w:val="center"/>
              <w:rPr>
                <w:rFonts w:ascii="Times New Roman" w:hAnsi="Times New Roman" w:eastAsia="宋体" w:cs="Times New Roman"/>
                <w:color w:val="000000"/>
                <w:sz w:val="20"/>
                <w:szCs w:val="20"/>
              </w:rPr>
            </w:pPr>
          </w:p>
        </w:tc>
        <w:tc>
          <w:tcPr>
            <w:tcW w:w="474" w:type="pct"/>
            <w:tcBorders>
              <w:top w:val="nil"/>
              <w:left w:val="nil"/>
              <w:bottom w:val="nil"/>
              <w:right w:val="nil"/>
            </w:tcBorders>
            <w:noWrap/>
            <w:vAlign w:val="center"/>
          </w:tcPr>
          <w:p w14:paraId="2B998E3F">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1DFA2D3F">
            <w:pPr>
              <w:jc w:val="center"/>
              <w:rPr>
                <w:rFonts w:hint="eastAsia" w:ascii="宋体" w:hAnsi="宋体" w:eastAsia="宋体" w:cs="宋体"/>
                <w:color w:val="000000"/>
                <w:sz w:val="20"/>
                <w:szCs w:val="20"/>
              </w:rPr>
            </w:pPr>
          </w:p>
        </w:tc>
        <w:tc>
          <w:tcPr>
            <w:tcW w:w="352" w:type="pct"/>
            <w:tcBorders>
              <w:top w:val="nil"/>
              <w:left w:val="nil"/>
              <w:bottom w:val="nil"/>
              <w:right w:val="nil"/>
            </w:tcBorders>
            <w:noWrap/>
            <w:vAlign w:val="center"/>
          </w:tcPr>
          <w:p w14:paraId="4C4D259D">
            <w:pPr>
              <w:jc w:val="center"/>
              <w:rPr>
                <w:rFonts w:hint="eastAsia" w:ascii="宋体" w:hAnsi="宋体" w:eastAsia="宋体" w:cs="宋体"/>
                <w:color w:val="000000"/>
                <w:sz w:val="20"/>
                <w:szCs w:val="20"/>
              </w:rPr>
            </w:pPr>
          </w:p>
        </w:tc>
        <w:tc>
          <w:tcPr>
            <w:tcW w:w="556" w:type="pct"/>
            <w:tcBorders>
              <w:top w:val="nil"/>
              <w:left w:val="nil"/>
              <w:bottom w:val="nil"/>
              <w:right w:val="nil"/>
            </w:tcBorders>
            <w:noWrap/>
            <w:vAlign w:val="center"/>
          </w:tcPr>
          <w:p w14:paraId="3694B4B8">
            <w:pPr>
              <w:jc w:val="center"/>
              <w:rPr>
                <w:rFonts w:hint="eastAsia" w:ascii="宋体" w:hAnsi="宋体" w:eastAsia="宋体" w:cs="宋体"/>
                <w:color w:val="000000"/>
                <w:sz w:val="20"/>
                <w:szCs w:val="20"/>
              </w:rPr>
            </w:pPr>
          </w:p>
        </w:tc>
        <w:tc>
          <w:tcPr>
            <w:tcW w:w="352" w:type="pct"/>
            <w:tcBorders>
              <w:top w:val="nil"/>
              <w:left w:val="nil"/>
              <w:bottom w:val="nil"/>
              <w:right w:val="nil"/>
            </w:tcBorders>
            <w:noWrap/>
            <w:vAlign w:val="center"/>
          </w:tcPr>
          <w:p w14:paraId="12BBBEF9">
            <w:pPr>
              <w:jc w:val="center"/>
              <w:rPr>
                <w:rFonts w:hint="eastAsia" w:ascii="宋体" w:hAnsi="宋体" w:eastAsia="宋体" w:cs="宋体"/>
                <w:color w:val="000000"/>
                <w:sz w:val="20"/>
                <w:szCs w:val="20"/>
              </w:rPr>
            </w:pPr>
          </w:p>
        </w:tc>
        <w:tc>
          <w:tcPr>
            <w:tcW w:w="556" w:type="pct"/>
            <w:tcBorders>
              <w:top w:val="nil"/>
              <w:left w:val="nil"/>
              <w:bottom w:val="nil"/>
              <w:right w:val="nil"/>
            </w:tcBorders>
            <w:noWrap/>
            <w:vAlign w:val="center"/>
          </w:tcPr>
          <w:p w14:paraId="28680842">
            <w:pPr>
              <w:jc w:val="center"/>
              <w:rPr>
                <w:rFonts w:hint="eastAsia" w:ascii="宋体" w:hAnsi="宋体" w:eastAsia="宋体" w:cs="宋体"/>
                <w:color w:val="000000"/>
                <w:sz w:val="20"/>
                <w:szCs w:val="20"/>
              </w:rPr>
            </w:pPr>
          </w:p>
        </w:tc>
        <w:tc>
          <w:tcPr>
            <w:tcW w:w="362" w:type="pct"/>
            <w:tcBorders>
              <w:top w:val="nil"/>
              <w:left w:val="nil"/>
              <w:bottom w:val="nil"/>
              <w:right w:val="nil"/>
            </w:tcBorders>
            <w:noWrap/>
            <w:vAlign w:val="center"/>
          </w:tcPr>
          <w:p w14:paraId="5B2DD191">
            <w:pPr>
              <w:jc w:val="center"/>
              <w:rPr>
                <w:rFonts w:hint="eastAsia" w:ascii="宋体" w:hAnsi="宋体" w:eastAsia="宋体" w:cs="宋体"/>
                <w:color w:val="000000"/>
                <w:sz w:val="20"/>
                <w:szCs w:val="20"/>
              </w:rPr>
            </w:pPr>
          </w:p>
        </w:tc>
      </w:tr>
      <w:tr w14:paraId="4947AFAD">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48084B02">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Q1</w:t>
            </w:r>
          </w:p>
        </w:tc>
        <w:tc>
          <w:tcPr>
            <w:tcW w:w="422" w:type="pct"/>
            <w:tcBorders>
              <w:top w:val="nil"/>
              <w:left w:val="nil"/>
              <w:bottom w:val="nil"/>
              <w:right w:val="nil"/>
            </w:tcBorders>
            <w:noWrap/>
            <w:vAlign w:val="center"/>
          </w:tcPr>
          <w:p w14:paraId="35DFB111">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1066</w:t>
            </w:r>
          </w:p>
        </w:tc>
        <w:tc>
          <w:tcPr>
            <w:tcW w:w="474" w:type="pct"/>
            <w:tcBorders>
              <w:top w:val="nil"/>
              <w:left w:val="nil"/>
              <w:bottom w:val="nil"/>
              <w:right w:val="nil"/>
            </w:tcBorders>
            <w:noWrap/>
            <w:vAlign w:val="center"/>
          </w:tcPr>
          <w:p w14:paraId="0936B468">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151 (14.2%)</w:t>
            </w:r>
          </w:p>
        </w:tc>
        <w:tc>
          <w:tcPr>
            <w:tcW w:w="556" w:type="pct"/>
            <w:tcBorders>
              <w:top w:val="nil"/>
              <w:left w:val="nil"/>
              <w:bottom w:val="nil"/>
              <w:right w:val="nil"/>
            </w:tcBorders>
            <w:noWrap/>
            <w:vAlign w:val="center"/>
          </w:tcPr>
          <w:p w14:paraId="0D37B50F">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1.00 (Reference)</w:t>
            </w:r>
          </w:p>
        </w:tc>
        <w:tc>
          <w:tcPr>
            <w:tcW w:w="352" w:type="pct"/>
            <w:tcBorders>
              <w:top w:val="nil"/>
              <w:left w:val="nil"/>
              <w:bottom w:val="nil"/>
              <w:right w:val="nil"/>
            </w:tcBorders>
            <w:noWrap/>
            <w:vAlign w:val="center"/>
          </w:tcPr>
          <w:p w14:paraId="058BD04D">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4AE74B7E">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1.00 (Reference)</w:t>
            </w:r>
          </w:p>
        </w:tc>
        <w:tc>
          <w:tcPr>
            <w:tcW w:w="352" w:type="pct"/>
            <w:tcBorders>
              <w:top w:val="nil"/>
              <w:left w:val="nil"/>
              <w:bottom w:val="nil"/>
              <w:right w:val="nil"/>
            </w:tcBorders>
            <w:noWrap/>
            <w:vAlign w:val="center"/>
          </w:tcPr>
          <w:p w14:paraId="1F2A8A3A">
            <w:pPr>
              <w:jc w:val="center"/>
              <w:rPr>
                <w:rFonts w:ascii="Times New Roman" w:hAnsi="Times New Roman" w:eastAsia="宋体" w:cs="Times New Roman"/>
                <w:color w:val="000000"/>
                <w:sz w:val="20"/>
                <w:szCs w:val="20"/>
              </w:rPr>
            </w:pPr>
          </w:p>
        </w:tc>
        <w:tc>
          <w:tcPr>
            <w:tcW w:w="556" w:type="pct"/>
            <w:tcBorders>
              <w:top w:val="nil"/>
              <w:left w:val="nil"/>
              <w:bottom w:val="nil"/>
              <w:right w:val="nil"/>
            </w:tcBorders>
            <w:noWrap/>
            <w:vAlign w:val="center"/>
          </w:tcPr>
          <w:p w14:paraId="7861F4C7">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1.00 (Reference)</w:t>
            </w:r>
          </w:p>
        </w:tc>
        <w:tc>
          <w:tcPr>
            <w:tcW w:w="362" w:type="pct"/>
            <w:tcBorders>
              <w:top w:val="nil"/>
              <w:left w:val="nil"/>
              <w:bottom w:val="nil"/>
              <w:right w:val="nil"/>
            </w:tcBorders>
            <w:noWrap/>
            <w:vAlign w:val="center"/>
          </w:tcPr>
          <w:p w14:paraId="05A7A97E">
            <w:pPr>
              <w:jc w:val="center"/>
              <w:rPr>
                <w:rFonts w:ascii="Times New Roman" w:hAnsi="Times New Roman" w:eastAsia="宋体" w:cs="Times New Roman"/>
                <w:color w:val="000000"/>
                <w:sz w:val="20"/>
                <w:szCs w:val="20"/>
              </w:rPr>
            </w:pPr>
          </w:p>
        </w:tc>
      </w:tr>
      <w:tr w14:paraId="14B02567">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45432303">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Q2</w:t>
            </w:r>
          </w:p>
        </w:tc>
        <w:tc>
          <w:tcPr>
            <w:tcW w:w="422" w:type="pct"/>
            <w:tcBorders>
              <w:top w:val="nil"/>
              <w:left w:val="nil"/>
              <w:bottom w:val="nil"/>
              <w:right w:val="nil"/>
            </w:tcBorders>
            <w:noWrap/>
            <w:vAlign w:val="center"/>
          </w:tcPr>
          <w:p w14:paraId="7822002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1071</w:t>
            </w:r>
          </w:p>
        </w:tc>
        <w:tc>
          <w:tcPr>
            <w:tcW w:w="474" w:type="pct"/>
            <w:tcBorders>
              <w:top w:val="nil"/>
              <w:left w:val="nil"/>
              <w:bottom w:val="nil"/>
              <w:right w:val="nil"/>
            </w:tcBorders>
            <w:noWrap/>
            <w:vAlign w:val="center"/>
          </w:tcPr>
          <w:p w14:paraId="73DE25D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187 (17.5%)</w:t>
            </w:r>
          </w:p>
        </w:tc>
        <w:tc>
          <w:tcPr>
            <w:tcW w:w="556" w:type="pct"/>
            <w:tcBorders>
              <w:top w:val="nil"/>
              <w:left w:val="nil"/>
              <w:bottom w:val="nil"/>
              <w:right w:val="nil"/>
            </w:tcBorders>
            <w:noWrap/>
            <w:vAlign w:val="center"/>
          </w:tcPr>
          <w:p w14:paraId="5867B604">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1.26 (1.01~1.56)</w:t>
            </w:r>
          </w:p>
        </w:tc>
        <w:tc>
          <w:tcPr>
            <w:tcW w:w="352" w:type="pct"/>
            <w:tcBorders>
              <w:top w:val="nil"/>
              <w:left w:val="nil"/>
              <w:bottom w:val="nil"/>
              <w:right w:val="nil"/>
            </w:tcBorders>
            <w:noWrap/>
            <w:vAlign w:val="center"/>
          </w:tcPr>
          <w:p w14:paraId="434EEC18">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0.037</w:t>
            </w:r>
          </w:p>
        </w:tc>
        <w:tc>
          <w:tcPr>
            <w:tcW w:w="556" w:type="pct"/>
            <w:tcBorders>
              <w:top w:val="nil"/>
              <w:left w:val="nil"/>
              <w:bottom w:val="nil"/>
              <w:right w:val="nil"/>
            </w:tcBorders>
            <w:noWrap/>
            <w:vAlign w:val="center"/>
          </w:tcPr>
          <w:p w14:paraId="19DB56C2">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1.23 (0.99~1.52)</w:t>
            </w:r>
          </w:p>
        </w:tc>
        <w:tc>
          <w:tcPr>
            <w:tcW w:w="352" w:type="pct"/>
            <w:tcBorders>
              <w:top w:val="nil"/>
              <w:left w:val="nil"/>
              <w:bottom w:val="nil"/>
              <w:right w:val="nil"/>
            </w:tcBorders>
            <w:noWrap/>
            <w:vAlign w:val="center"/>
          </w:tcPr>
          <w:p w14:paraId="0691A683">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0.064</w:t>
            </w:r>
          </w:p>
        </w:tc>
        <w:tc>
          <w:tcPr>
            <w:tcW w:w="556" w:type="pct"/>
            <w:tcBorders>
              <w:top w:val="nil"/>
              <w:left w:val="nil"/>
              <w:bottom w:val="nil"/>
              <w:right w:val="nil"/>
            </w:tcBorders>
            <w:noWrap/>
            <w:vAlign w:val="center"/>
          </w:tcPr>
          <w:p w14:paraId="2EAE0327">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1.19 (0.96~1.48)</w:t>
            </w:r>
          </w:p>
        </w:tc>
        <w:tc>
          <w:tcPr>
            <w:tcW w:w="362" w:type="pct"/>
            <w:tcBorders>
              <w:top w:val="nil"/>
              <w:left w:val="nil"/>
              <w:bottom w:val="nil"/>
              <w:right w:val="nil"/>
            </w:tcBorders>
            <w:noWrap/>
            <w:vAlign w:val="center"/>
          </w:tcPr>
          <w:p w14:paraId="14094D01">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0.113</w:t>
            </w:r>
          </w:p>
        </w:tc>
      </w:tr>
      <w:tr w14:paraId="06661544">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708079EB">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Q3</w:t>
            </w:r>
          </w:p>
        </w:tc>
        <w:tc>
          <w:tcPr>
            <w:tcW w:w="422" w:type="pct"/>
            <w:tcBorders>
              <w:top w:val="nil"/>
              <w:left w:val="nil"/>
              <w:bottom w:val="nil"/>
              <w:right w:val="nil"/>
            </w:tcBorders>
            <w:noWrap/>
            <w:vAlign w:val="center"/>
          </w:tcPr>
          <w:p w14:paraId="0A6FEB23">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1062</w:t>
            </w:r>
          </w:p>
        </w:tc>
        <w:tc>
          <w:tcPr>
            <w:tcW w:w="474" w:type="pct"/>
            <w:tcBorders>
              <w:top w:val="nil"/>
              <w:left w:val="nil"/>
              <w:bottom w:val="nil"/>
              <w:right w:val="nil"/>
            </w:tcBorders>
            <w:noWrap/>
            <w:vAlign w:val="center"/>
          </w:tcPr>
          <w:p w14:paraId="05BA3323">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209 (19.7%)</w:t>
            </w:r>
          </w:p>
        </w:tc>
        <w:tc>
          <w:tcPr>
            <w:tcW w:w="556" w:type="pct"/>
            <w:tcBorders>
              <w:top w:val="nil"/>
              <w:left w:val="nil"/>
              <w:bottom w:val="nil"/>
              <w:right w:val="nil"/>
            </w:tcBorders>
            <w:noWrap/>
            <w:vAlign w:val="center"/>
          </w:tcPr>
          <w:p w14:paraId="4812D1F5">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1.44 (1.17~1.78)</w:t>
            </w:r>
          </w:p>
        </w:tc>
        <w:tc>
          <w:tcPr>
            <w:tcW w:w="352" w:type="pct"/>
            <w:tcBorders>
              <w:top w:val="nil"/>
              <w:left w:val="nil"/>
              <w:bottom w:val="nil"/>
              <w:right w:val="nil"/>
            </w:tcBorders>
            <w:noWrap/>
            <w:vAlign w:val="center"/>
          </w:tcPr>
          <w:p w14:paraId="0A7E1BDA">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2DB0AFD0">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1.38 (1.12~1.70)</w:t>
            </w:r>
          </w:p>
        </w:tc>
        <w:tc>
          <w:tcPr>
            <w:tcW w:w="352" w:type="pct"/>
            <w:tcBorders>
              <w:top w:val="nil"/>
              <w:left w:val="nil"/>
              <w:bottom w:val="nil"/>
              <w:right w:val="nil"/>
            </w:tcBorders>
            <w:noWrap/>
            <w:vAlign w:val="center"/>
          </w:tcPr>
          <w:p w14:paraId="26C6D637">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0.003</w:t>
            </w:r>
          </w:p>
        </w:tc>
        <w:tc>
          <w:tcPr>
            <w:tcW w:w="556" w:type="pct"/>
            <w:tcBorders>
              <w:top w:val="nil"/>
              <w:left w:val="nil"/>
              <w:bottom w:val="nil"/>
              <w:right w:val="nil"/>
            </w:tcBorders>
            <w:noWrap/>
            <w:vAlign w:val="center"/>
          </w:tcPr>
          <w:p w14:paraId="75030459">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1.31 (1.06~1.61)</w:t>
            </w:r>
          </w:p>
        </w:tc>
        <w:tc>
          <w:tcPr>
            <w:tcW w:w="362" w:type="pct"/>
            <w:tcBorders>
              <w:top w:val="nil"/>
              <w:left w:val="nil"/>
              <w:bottom w:val="nil"/>
              <w:right w:val="nil"/>
            </w:tcBorders>
            <w:noWrap/>
            <w:vAlign w:val="center"/>
          </w:tcPr>
          <w:p w14:paraId="2DFA7476">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0.014</w:t>
            </w:r>
          </w:p>
        </w:tc>
      </w:tr>
      <w:tr w14:paraId="13638534">
        <w:tblPrEx>
          <w:tblCellMar>
            <w:top w:w="0" w:type="dxa"/>
            <w:left w:w="108" w:type="dxa"/>
            <w:bottom w:w="0" w:type="dxa"/>
            <w:right w:w="108" w:type="dxa"/>
          </w:tblCellMar>
        </w:tblPrEx>
        <w:trPr>
          <w:trHeight w:val="308" w:hRule="atLeast"/>
        </w:trPr>
        <w:tc>
          <w:tcPr>
            <w:tcW w:w="1367" w:type="pct"/>
            <w:tcBorders>
              <w:top w:val="nil"/>
              <w:left w:val="nil"/>
              <w:bottom w:val="nil"/>
              <w:right w:val="nil"/>
            </w:tcBorders>
            <w:noWrap/>
            <w:vAlign w:val="center"/>
          </w:tcPr>
          <w:p w14:paraId="7CFD1D2B">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Q4</w:t>
            </w:r>
          </w:p>
        </w:tc>
        <w:tc>
          <w:tcPr>
            <w:tcW w:w="422" w:type="pct"/>
            <w:tcBorders>
              <w:top w:val="nil"/>
              <w:left w:val="nil"/>
              <w:bottom w:val="nil"/>
              <w:right w:val="nil"/>
            </w:tcBorders>
            <w:noWrap/>
            <w:vAlign w:val="center"/>
          </w:tcPr>
          <w:p w14:paraId="3A800FAC">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1064</w:t>
            </w:r>
          </w:p>
        </w:tc>
        <w:tc>
          <w:tcPr>
            <w:tcW w:w="474" w:type="pct"/>
            <w:tcBorders>
              <w:top w:val="nil"/>
              <w:left w:val="nil"/>
              <w:bottom w:val="nil"/>
              <w:right w:val="nil"/>
            </w:tcBorders>
            <w:noWrap/>
            <w:vAlign w:val="center"/>
          </w:tcPr>
          <w:p w14:paraId="4F1F9EC2">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283 (26.6%)</w:t>
            </w:r>
          </w:p>
        </w:tc>
        <w:tc>
          <w:tcPr>
            <w:tcW w:w="556" w:type="pct"/>
            <w:tcBorders>
              <w:top w:val="nil"/>
              <w:left w:val="nil"/>
              <w:bottom w:val="nil"/>
              <w:right w:val="nil"/>
            </w:tcBorders>
            <w:noWrap/>
            <w:vAlign w:val="center"/>
          </w:tcPr>
          <w:p w14:paraId="26BDF32D">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2.03 (1.67~2.47)</w:t>
            </w:r>
          </w:p>
        </w:tc>
        <w:tc>
          <w:tcPr>
            <w:tcW w:w="352" w:type="pct"/>
            <w:tcBorders>
              <w:top w:val="nil"/>
              <w:left w:val="nil"/>
              <w:bottom w:val="nil"/>
              <w:right w:val="nil"/>
            </w:tcBorders>
            <w:noWrap/>
            <w:vAlign w:val="center"/>
          </w:tcPr>
          <w:p w14:paraId="58D9C06E">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74A80D37">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1.88 (1.54~2.30)</w:t>
            </w:r>
          </w:p>
        </w:tc>
        <w:tc>
          <w:tcPr>
            <w:tcW w:w="352" w:type="pct"/>
            <w:tcBorders>
              <w:top w:val="nil"/>
              <w:left w:val="nil"/>
              <w:bottom w:val="nil"/>
              <w:right w:val="nil"/>
            </w:tcBorders>
            <w:noWrap/>
            <w:vAlign w:val="center"/>
          </w:tcPr>
          <w:p w14:paraId="1E7DE5FF">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556" w:type="pct"/>
            <w:tcBorders>
              <w:top w:val="nil"/>
              <w:left w:val="nil"/>
              <w:bottom w:val="nil"/>
              <w:right w:val="nil"/>
            </w:tcBorders>
            <w:noWrap/>
            <w:vAlign w:val="center"/>
          </w:tcPr>
          <w:p w14:paraId="0AF3509D">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1.61 (1.30~1.98)</w:t>
            </w:r>
          </w:p>
        </w:tc>
        <w:tc>
          <w:tcPr>
            <w:tcW w:w="362" w:type="pct"/>
            <w:tcBorders>
              <w:top w:val="nil"/>
              <w:left w:val="nil"/>
              <w:bottom w:val="nil"/>
              <w:right w:val="nil"/>
            </w:tcBorders>
            <w:noWrap/>
            <w:vAlign w:val="center"/>
          </w:tcPr>
          <w:p w14:paraId="44A92511">
            <w:pPr>
              <w:keepNext w:val="0"/>
              <w:keepLines w:val="0"/>
              <w:widowControl/>
              <w:suppressLineNumbers w:val="0"/>
              <w:jc w:val="center"/>
              <w:textAlignment w:val="center"/>
              <w:rPr>
                <w:rFonts w:ascii="Times New Roman" w:hAnsi="Times New Roman" w:eastAsia="宋体" w:cs="Times New Roman"/>
                <w:color w:val="000000"/>
                <w:sz w:val="20"/>
                <w:szCs w:val="20"/>
              </w:rPr>
            </w:pPr>
            <w:r>
              <w:rPr>
                <w:rFonts w:hint="default" w:ascii="Times New Roman" w:hAnsi="Times New Roman" w:eastAsia="宋体" w:cs="Times New Roman"/>
                <w:i w:val="0"/>
                <w:iCs w:val="0"/>
                <w:color w:val="000000"/>
                <w:kern w:val="0"/>
                <w:sz w:val="20"/>
                <w:szCs w:val="20"/>
                <w:u w:val="none"/>
                <w:lang w:val="en-US" w:eastAsia="zh-CN" w:bidi="ar"/>
              </w:rPr>
              <w:t>&lt;0.001</w:t>
            </w:r>
          </w:p>
        </w:tc>
      </w:tr>
      <w:tr w14:paraId="4A72A2C1">
        <w:tblPrEx>
          <w:tblCellMar>
            <w:top w:w="0" w:type="dxa"/>
            <w:left w:w="108" w:type="dxa"/>
            <w:bottom w:w="0" w:type="dxa"/>
            <w:right w:w="108" w:type="dxa"/>
          </w:tblCellMar>
        </w:tblPrEx>
        <w:trPr>
          <w:trHeight w:val="323" w:hRule="atLeast"/>
        </w:trPr>
        <w:tc>
          <w:tcPr>
            <w:tcW w:w="1367" w:type="pct"/>
            <w:tcBorders>
              <w:top w:val="nil"/>
              <w:left w:val="nil"/>
              <w:bottom w:val="single" w:color="000000" w:sz="12" w:space="0"/>
              <w:right w:val="nil"/>
            </w:tcBorders>
            <w:noWrap/>
            <w:vAlign w:val="center"/>
          </w:tcPr>
          <w:p w14:paraId="0E568746">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P for trend</w:t>
            </w:r>
          </w:p>
        </w:tc>
        <w:tc>
          <w:tcPr>
            <w:tcW w:w="422" w:type="pct"/>
            <w:tcBorders>
              <w:top w:val="nil"/>
              <w:left w:val="nil"/>
              <w:bottom w:val="single" w:color="000000" w:sz="12" w:space="0"/>
              <w:right w:val="nil"/>
            </w:tcBorders>
            <w:noWrap/>
            <w:vAlign w:val="center"/>
          </w:tcPr>
          <w:p w14:paraId="04001195">
            <w:pPr>
              <w:jc w:val="center"/>
              <w:rPr>
                <w:rFonts w:ascii="Times New Roman" w:hAnsi="Times New Roman" w:eastAsia="宋体" w:cs="Times New Roman"/>
                <w:color w:val="000000"/>
                <w:sz w:val="20"/>
                <w:szCs w:val="20"/>
              </w:rPr>
            </w:pPr>
          </w:p>
        </w:tc>
        <w:tc>
          <w:tcPr>
            <w:tcW w:w="474" w:type="pct"/>
            <w:tcBorders>
              <w:top w:val="nil"/>
              <w:left w:val="nil"/>
              <w:bottom w:val="single" w:color="000000" w:sz="12" w:space="0"/>
              <w:right w:val="nil"/>
            </w:tcBorders>
            <w:noWrap/>
            <w:vAlign w:val="center"/>
          </w:tcPr>
          <w:p w14:paraId="1700BFA2">
            <w:pPr>
              <w:jc w:val="center"/>
              <w:rPr>
                <w:rFonts w:ascii="Times New Roman" w:hAnsi="Times New Roman" w:eastAsia="宋体" w:cs="Times New Roman"/>
                <w:color w:val="000000"/>
                <w:sz w:val="20"/>
                <w:szCs w:val="20"/>
              </w:rPr>
            </w:pPr>
          </w:p>
        </w:tc>
        <w:tc>
          <w:tcPr>
            <w:tcW w:w="556" w:type="pct"/>
            <w:tcBorders>
              <w:top w:val="nil"/>
              <w:left w:val="nil"/>
              <w:bottom w:val="single" w:color="000000" w:sz="12" w:space="0"/>
              <w:right w:val="nil"/>
            </w:tcBorders>
            <w:noWrap/>
            <w:vAlign w:val="center"/>
          </w:tcPr>
          <w:p w14:paraId="3DA16AC9">
            <w:pPr>
              <w:jc w:val="center"/>
              <w:rPr>
                <w:rFonts w:ascii="Times New Roman" w:hAnsi="Times New Roman" w:eastAsia="宋体" w:cs="Times New Roman"/>
                <w:color w:val="000000"/>
                <w:sz w:val="20"/>
                <w:szCs w:val="20"/>
              </w:rPr>
            </w:pPr>
          </w:p>
        </w:tc>
        <w:tc>
          <w:tcPr>
            <w:tcW w:w="352" w:type="pct"/>
            <w:tcBorders>
              <w:top w:val="nil"/>
              <w:left w:val="nil"/>
              <w:bottom w:val="single" w:color="000000" w:sz="12" w:space="0"/>
              <w:right w:val="nil"/>
            </w:tcBorders>
            <w:noWrap/>
            <w:vAlign w:val="center"/>
          </w:tcPr>
          <w:p w14:paraId="6002F3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556" w:type="pct"/>
            <w:tcBorders>
              <w:top w:val="nil"/>
              <w:left w:val="nil"/>
              <w:bottom w:val="single" w:color="000000" w:sz="12" w:space="0"/>
              <w:right w:val="nil"/>
            </w:tcBorders>
            <w:noWrap/>
            <w:vAlign w:val="center"/>
          </w:tcPr>
          <w:p w14:paraId="034EE8EF">
            <w:pPr>
              <w:jc w:val="center"/>
              <w:rPr>
                <w:rFonts w:ascii="Times New Roman" w:hAnsi="Times New Roman" w:eastAsia="宋体" w:cs="Times New Roman"/>
                <w:color w:val="000000"/>
                <w:sz w:val="20"/>
                <w:szCs w:val="20"/>
              </w:rPr>
            </w:pPr>
          </w:p>
        </w:tc>
        <w:tc>
          <w:tcPr>
            <w:tcW w:w="352" w:type="pct"/>
            <w:tcBorders>
              <w:top w:val="nil"/>
              <w:left w:val="nil"/>
              <w:bottom w:val="single" w:color="000000" w:sz="12" w:space="0"/>
              <w:right w:val="nil"/>
            </w:tcBorders>
            <w:noWrap/>
            <w:vAlign w:val="center"/>
          </w:tcPr>
          <w:p w14:paraId="243334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c>
          <w:tcPr>
            <w:tcW w:w="556" w:type="pct"/>
            <w:tcBorders>
              <w:top w:val="nil"/>
              <w:left w:val="nil"/>
              <w:bottom w:val="single" w:color="000000" w:sz="12" w:space="0"/>
              <w:right w:val="nil"/>
            </w:tcBorders>
            <w:noWrap/>
            <w:vAlign w:val="center"/>
          </w:tcPr>
          <w:p w14:paraId="1E046FE7">
            <w:pPr>
              <w:jc w:val="center"/>
              <w:rPr>
                <w:rFonts w:ascii="Times New Roman" w:hAnsi="Times New Roman" w:eastAsia="宋体" w:cs="Times New Roman"/>
                <w:color w:val="000000"/>
                <w:sz w:val="20"/>
                <w:szCs w:val="20"/>
              </w:rPr>
            </w:pPr>
          </w:p>
        </w:tc>
        <w:tc>
          <w:tcPr>
            <w:tcW w:w="362" w:type="pct"/>
            <w:tcBorders>
              <w:top w:val="nil"/>
              <w:left w:val="nil"/>
              <w:bottom w:val="single" w:color="000000" w:sz="12" w:space="0"/>
              <w:right w:val="nil"/>
            </w:tcBorders>
            <w:noWrap/>
            <w:vAlign w:val="center"/>
          </w:tcPr>
          <w:p w14:paraId="5FD1F5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&lt;0.001</w:t>
            </w:r>
          </w:p>
        </w:tc>
      </w:tr>
      <w:tr w14:paraId="671AE9B7">
        <w:tblPrEx>
          <w:tblCellMar>
            <w:top w:w="0" w:type="dxa"/>
            <w:left w:w="108" w:type="dxa"/>
            <w:bottom w:w="0" w:type="dxa"/>
            <w:right w:w="108" w:type="dxa"/>
          </w:tblCellMar>
        </w:tblPrEx>
        <w:trPr>
          <w:trHeight w:val="1240" w:hRule="atLeast"/>
        </w:trPr>
        <w:tc>
          <w:tcPr>
            <w:tcW w:w="5000" w:type="pct"/>
            <w:gridSpan w:val="9"/>
            <w:tcBorders>
              <w:top w:val="nil"/>
              <w:left w:val="nil"/>
              <w:bottom w:val="nil"/>
              <w:right w:val="nil"/>
            </w:tcBorders>
            <w:vAlign w:val="center"/>
          </w:tcPr>
          <w:p w14:paraId="640F25E1">
            <w:pPr>
              <w:widowControl/>
              <w:jc w:val="left"/>
              <w:textAlignment w:val="center"/>
              <w:rPr>
                <w:rFonts w:hint="eastAsia" w:ascii="Times New Roman" w:hAnsi="Times New Roman" w:eastAsia="宋体" w:cs="Times New Roman"/>
                <w:color w:val="000000"/>
                <w:szCs w:val="21"/>
              </w:rPr>
            </w:pPr>
            <w:r>
              <w:rPr>
                <w:rFonts w:hint="eastAsia" w:ascii="Times New Roman" w:hAnsi="Times New Roman" w:eastAsia="宋体" w:cs="Times New Roman"/>
                <w:color w:val="000000"/>
                <w:szCs w:val="21"/>
              </w:rPr>
              <w:t>Model 1: no covariates were adjusted.</w:t>
            </w:r>
          </w:p>
          <w:p w14:paraId="73003DE6">
            <w:pPr>
              <w:widowControl/>
              <w:jc w:val="left"/>
              <w:textAlignment w:val="center"/>
              <w:rPr>
                <w:rFonts w:hint="eastAsia"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Model 2: adjusted for age and </w:t>
            </w:r>
            <w:r>
              <w:rPr>
                <w:rFonts w:hint="eastAsia" w:ascii="Times New Roman" w:hAnsi="Times New Roman" w:eastAsia="宋体" w:cs="Times New Roman"/>
                <w:color w:val="000000"/>
                <w:szCs w:val="21"/>
                <w:lang w:eastAsia="zh-CN"/>
              </w:rPr>
              <w:t>sex</w:t>
            </w:r>
            <w:r>
              <w:rPr>
                <w:rFonts w:hint="eastAsia" w:ascii="Times New Roman" w:hAnsi="Times New Roman" w:eastAsia="宋体" w:cs="Times New Roman"/>
                <w:color w:val="000000"/>
                <w:szCs w:val="21"/>
              </w:rPr>
              <w:t>.</w:t>
            </w:r>
          </w:p>
          <w:p w14:paraId="71BF2ED9">
            <w:pPr>
              <w:widowControl/>
              <w:jc w:val="left"/>
              <w:textAlignment w:val="center"/>
              <w:rPr>
                <w:rFonts w:hint="eastAsia"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Model 3: adjusted for age, </w:t>
            </w:r>
            <w:r>
              <w:rPr>
                <w:rFonts w:hint="eastAsia" w:ascii="Times New Roman" w:hAnsi="Times New Roman" w:eastAsia="宋体" w:cs="Times New Roman"/>
                <w:color w:val="000000"/>
                <w:szCs w:val="21"/>
                <w:lang w:val="en-US" w:eastAsia="zh-CN"/>
              </w:rPr>
              <w:t>sex</w:t>
            </w:r>
            <w:r>
              <w:rPr>
                <w:rFonts w:hint="eastAsia" w:ascii="Times New Roman" w:hAnsi="Times New Roman" w:eastAsia="宋体" w:cs="Times New Roman"/>
                <w:color w:val="000000"/>
                <w:szCs w:val="21"/>
              </w:rPr>
              <w:t xml:space="preserve">, marital status, educational level, residence, smoking status, </w:t>
            </w:r>
            <w:r>
              <w:rPr>
                <w:rFonts w:hint="eastAsia" w:ascii="Times New Roman" w:hAnsi="Times New Roman" w:eastAsia="宋体" w:cs="Times New Roman"/>
                <w:color w:val="000000"/>
                <w:szCs w:val="21"/>
                <w:lang w:eastAsia="zh-CN"/>
              </w:rPr>
              <w:t>drinking status</w:t>
            </w:r>
            <w:r>
              <w:rPr>
                <w:rFonts w:hint="eastAsia" w:ascii="Times New Roman" w:hAnsi="Times New Roman" w:eastAsia="宋体" w:cs="Times New Roman"/>
                <w:color w:val="000000"/>
                <w:szCs w:val="21"/>
              </w:rPr>
              <w:t>, cancer, liver disease, kidney disease, hypertension, and diabetes.</w:t>
            </w:r>
          </w:p>
          <w:p w14:paraId="36CBFB6C">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szCs w:val="21"/>
              </w:rPr>
              <w:t>Analyses were conducted after excluding participants with missing covariate data required for this sensitivity analysis. The continuous cumulative TyG-CVAI analysis included 4,263 participants and 830 CVD events. Cumulative TyG-CVAI was standardized before Cox regression; HRs are interpreted per 1-SD increase. HR, hazard ratio; CI, confidence interval; CVD, cardiovascular disease; TyG-CVAI, triglyceride glucose–Chinese visceral adiposity index.</w:t>
            </w:r>
          </w:p>
        </w:tc>
      </w:tr>
    </w:tbl>
    <w:p w14:paraId="723EC7C8">
      <w:pPr>
        <w:sectPr>
          <w:pgSz w:w="16838" w:h="11906" w:orient="landscape"/>
          <w:pgMar w:top="1800" w:right="1440" w:bottom="1800" w:left="1440" w:header="851" w:footer="992" w:gutter="0"/>
          <w:cols w:space="425" w:num="1"/>
          <w:docGrid w:type="lines" w:linePitch="312" w:charSpace="0"/>
        </w:sectPr>
      </w:pPr>
    </w:p>
    <w:tbl>
      <w:tblPr>
        <w:tblStyle w:val="6"/>
        <w:tblW w:w="139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61"/>
        <w:gridCol w:w="2297"/>
        <w:gridCol w:w="1346"/>
        <w:gridCol w:w="2297"/>
        <w:gridCol w:w="1346"/>
        <w:gridCol w:w="3223"/>
        <w:gridCol w:w="1890"/>
      </w:tblGrid>
      <w:tr w14:paraId="17B4F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13960" w:type="dxa"/>
            <w:gridSpan w:val="7"/>
            <w:tcBorders>
              <w:top w:val="nil"/>
              <w:left w:val="nil"/>
              <w:bottom w:val="nil"/>
              <w:right w:val="nil"/>
            </w:tcBorders>
            <w:shd w:val="clear" w:color="auto" w:fill="auto"/>
            <w:vAlign w:val="center"/>
          </w:tcPr>
          <w:p w14:paraId="1FF3AE2D">
            <w:pPr>
              <w:pStyle w:val="2"/>
              <w:keepNext w:val="0"/>
              <w:keepLines w:val="0"/>
              <w:widowControl/>
              <w:suppressLineNumbers w:val="0"/>
              <w:jc w:val="left"/>
              <w:textAlignment w:val="center"/>
              <w:rPr>
                <w:rFonts w:hint="default" w:ascii="Times New Roman" w:hAnsi="Times New Roman" w:eastAsia="宋体" w:cs="Times New Roman"/>
                <w:b/>
                <w:bCs/>
                <w:i w:val="0"/>
                <w:iCs w:val="0"/>
                <w:color w:val="000000"/>
                <w:szCs w:val="24"/>
                <w:u w:val="none"/>
              </w:rPr>
            </w:pPr>
            <w:bookmarkStart w:id="8" w:name="_Toc23194"/>
            <w:bookmarkStart w:id="9" w:name="_Toc29225"/>
            <w:r>
              <w:rPr>
                <w:b/>
                <w:bCs/>
              </w:rPr>
              <w:t>Table S5.</w:t>
            </w:r>
            <w:bookmarkEnd w:id="8"/>
            <w:r>
              <w:rPr>
                <w:lang w:val="en-US" w:eastAsia="zh-CN"/>
              </w:rPr>
              <w:t xml:space="preserve"> Sensitivity analysis for the association between tertiles of cumulative TyG-CVAI and new-onset CVD risk</w:t>
            </w:r>
            <w:bookmarkEnd w:id="9"/>
          </w:p>
        </w:tc>
      </w:tr>
      <w:tr w14:paraId="085E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trPr>
        <w:tc>
          <w:tcPr>
            <w:tcW w:w="0" w:type="auto"/>
            <w:vMerge w:val="restart"/>
            <w:tcBorders>
              <w:top w:val="single" w:color="000000" w:sz="12" w:space="0"/>
              <w:left w:val="nil"/>
              <w:bottom w:val="single" w:color="000000" w:sz="8" w:space="0"/>
              <w:right w:val="nil"/>
            </w:tcBorders>
            <w:shd w:val="clear" w:color="auto" w:fill="auto"/>
            <w:noWrap/>
            <w:vAlign w:val="top"/>
          </w:tcPr>
          <w:p w14:paraId="715121D7">
            <w:pPr>
              <w:keepNext w:val="0"/>
              <w:keepLines w:val="0"/>
              <w:widowControl/>
              <w:suppressLineNumbers w:val="0"/>
              <w:jc w:val="left"/>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Variable</w:t>
            </w:r>
          </w:p>
        </w:tc>
        <w:tc>
          <w:tcPr>
            <w:tcW w:w="0" w:type="auto"/>
            <w:gridSpan w:val="2"/>
            <w:tcBorders>
              <w:top w:val="single" w:color="000000" w:sz="12" w:space="0"/>
              <w:left w:val="nil"/>
              <w:bottom w:val="single" w:color="000000" w:sz="8" w:space="0"/>
              <w:right w:val="nil"/>
            </w:tcBorders>
            <w:shd w:val="clear" w:color="auto" w:fill="auto"/>
            <w:noWrap/>
            <w:vAlign w:val="center"/>
          </w:tcPr>
          <w:p w14:paraId="6B31EFA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r>
              <w:rPr>
                <w:rFonts w:hint="eastAsia" w:ascii="Times New Roman" w:hAnsi="Times New Roman" w:eastAsia="宋体" w:cs="Times New Roman"/>
                <w:b/>
                <w:bCs/>
                <w:i w:val="0"/>
                <w:iCs w:val="0"/>
                <w:color w:val="000000"/>
                <w:kern w:val="0"/>
                <w:sz w:val="22"/>
                <w:szCs w:val="22"/>
                <w:u w:val="none"/>
                <w:lang w:val="en-US" w:eastAsia="zh-CN" w:bidi="ar"/>
              </w:rPr>
              <w:t xml:space="preserve"> </w:t>
            </w:r>
            <w:r>
              <w:rPr>
                <w:rFonts w:hint="default" w:ascii="Times New Roman" w:hAnsi="Times New Roman" w:eastAsia="宋体" w:cs="Times New Roman"/>
                <w:b/>
                <w:bCs/>
                <w:i w:val="0"/>
                <w:iCs w:val="0"/>
                <w:color w:val="000000"/>
                <w:kern w:val="0"/>
                <w:sz w:val="22"/>
                <w:szCs w:val="22"/>
                <w:u w:val="none"/>
                <w:lang w:val="en-US" w:eastAsia="zh-CN" w:bidi="ar"/>
              </w:rPr>
              <w:t>1</w:t>
            </w:r>
          </w:p>
        </w:tc>
        <w:tc>
          <w:tcPr>
            <w:tcW w:w="0" w:type="auto"/>
            <w:gridSpan w:val="2"/>
            <w:tcBorders>
              <w:top w:val="single" w:color="000000" w:sz="12" w:space="0"/>
              <w:left w:val="nil"/>
              <w:bottom w:val="single" w:color="000000" w:sz="8" w:space="0"/>
              <w:right w:val="nil"/>
            </w:tcBorders>
            <w:shd w:val="clear" w:color="auto" w:fill="auto"/>
            <w:noWrap/>
            <w:vAlign w:val="center"/>
          </w:tcPr>
          <w:p w14:paraId="6354B7D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r>
              <w:rPr>
                <w:rFonts w:hint="eastAsia" w:ascii="Times New Roman" w:hAnsi="Times New Roman" w:eastAsia="宋体" w:cs="Times New Roman"/>
                <w:b/>
                <w:bCs/>
                <w:i w:val="0"/>
                <w:iCs w:val="0"/>
                <w:color w:val="000000"/>
                <w:kern w:val="0"/>
                <w:sz w:val="22"/>
                <w:szCs w:val="22"/>
                <w:u w:val="none"/>
                <w:lang w:val="en-US" w:eastAsia="zh-CN" w:bidi="ar"/>
              </w:rPr>
              <w:t xml:space="preserve"> </w:t>
            </w:r>
            <w:r>
              <w:rPr>
                <w:rFonts w:hint="default" w:ascii="Times New Roman" w:hAnsi="Times New Roman" w:eastAsia="宋体" w:cs="Times New Roman"/>
                <w:b/>
                <w:bCs/>
                <w:i w:val="0"/>
                <w:iCs w:val="0"/>
                <w:color w:val="000000"/>
                <w:kern w:val="0"/>
                <w:sz w:val="22"/>
                <w:szCs w:val="22"/>
                <w:u w:val="none"/>
                <w:lang w:val="en-US" w:eastAsia="zh-CN" w:bidi="ar"/>
              </w:rPr>
              <w:t>2</w:t>
            </w:r>
          </w:p>
        </w:tc>
        <w:tc>
          <w:tcPr>
            <w:tcW w:w="0" w:type="auto"/>
            <w:gridSpan w:val="2"/>
            <w:tcBorders>
              <w:top w:val="single" w:color="000000" w:sz="12" w:space="0"/>
              <w:left w:val="nil"/>
              <w:bottom w:val="single" w:color="000000" w:sz="8" w:space="0"/>
              <w:right w:val="nil"/>
            </w:tcBorders>
            <w:shd w:val="clear" w:color="auto" w:fill="auto"/>
            <w:noWrap/>
            <w:vAlign w:val="center"/>
          </w:tcPr>
          <w:p w14:paraId="2098B75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r>
              <w:rPr>
                <w:rFonts w:hint="eastAsia" w:ascii="Times New Roman" w:hAnsi="Times New Roman" w:eastAsia="宋体" w:cs="Times New Roman"/>
                <w:b/>
                <w:bCs/>
                <w:i w:val="0"/>
                <w:iCs w:val="0"/>
                <w:color w:val="000000"/>
                <w:kern w:val="0"/>
                <w:sz w:val="22"/>
                <w:szCs w:val="22"/>
                <w:u w:val="none"/>
                <w:lang w:val="en-US" w:eastAsia="zh-CN" w:bidi="ar"/>
              </w:rPr>
              <w:t xml:space="preserve"> </w:t>
            </w:r>
            <w:r>
              <w:rPr>
                <w:rFonts w:hint="default" w:ascii="Times New Roman" w:hAnsi="Times New Roman" w:eastAsia="宋体" w:cs="Times New Roman"/>
                <w:b/>
                <w:bCs/>
                <w:i w:val="0"/>
                <w:iCs w:val="0"/>
                <w:color w:val="000000"/>
                <w:kern w:val="0"/>
                <w:sz w:val="22"/>
                <w:szCs w:val="22"/>
                <w:u w:val="none"/>
                <w:lang w:val="en-US" w:eastAsia="zh-CN" w:bidi="ar"/>
              </w:rPr>
              <w:t>3</w:t>
            </w:r>
          </w:p>
        </w:tc>
      </w:tr>
      <w:tr w14:paraId="570B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0" w:type="auto"/>
            <w:vMerge w:val="continue"/>
            <w:tcBorders>
              <w:top w:val="single" w:color="000000" w:sz="12" w:space="0"/>
              <w:left w:val="nil"/>
              <w:bottom w:val="single" w:color="000000" w:sz="8" w:space="0"/>
              <w:right w:val="nil"/>
            </w:tcBorders>
            <w:shd w:val="clear" w:color="auto" w:fill="auto"/>
            <w:noWrap/>
            <w:vAlign w:val="top"/>
          </w:tcPr>
          <w:p w14:paraId="756B7409">
            <w:pPr>
              <w:jc w:val="left"/>
              <w:rPr>
                <w:rFonts w:hint="default" w:ascii="Times New Roman" w:hAnsi="Times New Roman" w:eastAsia="宋体" w:cs="Times New Roman"/>
                <w:b/>
                <w:bCs/>
                <w:i w:val="0"/>
                <w:iCs w:val="0"/>
                <w:color w:val="000000"/>
                <w:sz w:val="24"/>
                <w:szCs w:val="24"/>
                <w:u w:val="none"/>
              </w:rPr>
            </w:pPr>
          </w:p>
        </w:tc>
        <w:tc>
          <w:tcPr>
            <w:tcW w:w="0" w:type="auto"/>
            <w:tcBorders>
              <w:top w:val="nil"/>
              <w:left w:val="nil"/>
              <w:bottom w:val="single" w:color="000000" w:sz="8" w:space="0"/>
              <w:right w:val="nil"/>
            </w:tcBorders>
            <w:shd w:val="clear" w:color="auto" w:fill="auto"/>
            <w:noWrap/>
            <w:vAlign w:val="center"/>
          </w:tcPr>
          <w:p w14:paraId="6C200DA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0" w:type="auto"/>
            <w:tcBorders>
              <w:top w:val="nil"/>
              <w:left w:val="nil"/>
              <w:bottom w:val="single" w:color="000000" w:sz="8" w:space="0"/>
              <w:right w:val="nil"/>
            </w:tcBorders>
            <w:shd w:val="clear" w:color="auto" w:fill="auto"/>
            <w:noWrap/>
            <w:vAlign w:val="center"/>
          </w:tcPr>
          <w:p w14:paraId="5B69BEA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0" w:type="auto"/>
            <w:tcBorders>
              <w:top w:val="nil"/>
              <w:left w:val="nil"/>
              <w:bottom w:val="single" w:color="000000" w:sz="8" w:space="0"/>
              <w:right w:val="nil"/>
            </w:tcBorders>
            <w:shd w:val="clear" w:color="auto" w:fill="auto"/>
            <w:noWrap/>
            <w:vAlign w:val="center"/>
          </w:tcPr>
          <w:p w14:paraId="1414C29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0" w:type="auto"/>
            <w:tcBorders>
              <w:top w:val="nil"/>
              <w:left w:val="nil"/>
              <w:bottom w:val="single" w:color="000000" w:sz="8" w:space="0"/>
              <w:right w:val="nil"/>
            </w:tcBorders>
            <w:shd w:val="clear" w:color="auto" w:fill="auto"/>
            <w:noWrap/>
            <w:vAlign w:val="center"/>
          </w:tcPr>
          <w:p w14:paraId="2F3E42F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0" w:type="auto"/>
            <w:tcBorders>
              <w:top w:val="nil"/>
              <w:left w:val="nil"/>
              <w:bottom w:val="single" w:color="000000" w:sz="8" w:space="0"/>
              <w:right w:val="nil"/>
            </w:tcBorders>
            <w:shd w:val="clear" w:color="auto" w:fill="auto"/>
            <w:noWrap/>
            <w:vAlign w:val="center"/>
          </w:tcPr>
          <w:p w14:paraId="5AE91EC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0" w:type="auto"/>
            <w:tcBorders>
              <w:top w:val="nil"/>
              <w:left w:val="nil"/>
              <w:bottom w:val="single" w:color="000000" w:sz="8" w:space="0"/>
              <w:right w:val="nil"/>
            </w:tcBorders>
            <w:shd w:val="clear" w:color="auto" w:fill="auto"/>
            <w:noWrap/>
            <w:vAlign w:val="center"/>
          </w:tcPr>
          <w:p w14:paraId="10440F3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r>
      <w:tr w14:paraId="67EE0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tcBorders>
              <w:top w:val="nil"/>
              <w:left w:val="nil"/>
              <w:bottom w:val="nil"/>
              <w:right w:val="nil"/>
            </w:tcBorders>
            <w:shd w:val="clear" w:color="auto" w:fill="auto"/>
            <w:noWrap/>
            <w:vAlign w:val="center"/>
          </w:tcPr>
          <w:p w14:paraId="3A7CFB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w:t>
            </w:r>
          </w:p>
        </w:tc>
        <w:tc>
          <w:tcPr>
            <w:tcW w:w="0" w:type="auto"/>
            <w:tcBorders>
              <w:top w:val="nil"/>
              <w:left w:val="nil"/>
              <w:bottom w:val="nil"/>
              <w:right w:val="nil"/>
            </w:tcBorders>
            <w:shd w:val="clear" w:color="auto" w:fill="auto"/>
            <w:noWrap/>
            <w:vAlign w:val="center"/>
          </w:tcPr>
          <w:p w14:paraId="25E31A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0" w:type="auto"/>
            <w:tcBorders>
              <w:top w:val="nil"/>
              <w:left w:val="nil"/>
              <w:bottom w:val="nil"/>
              <w:right w:val="nil"/>
            </w:tcBorders>
            <w:shd w:val="clear" w:color="auto" w:fill="auto"/>
            <w:noWrap/>
            <w:vAlign w:val="center"/>
          </w:tcPr>
          <w:p w14:paraId="5E406A49">
            <w:pPr>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7F1ED2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0" w:type="auto"/>
            <w:tcBorders>
              <w:top w:val="nil"/>
              <w:left w:val="nil"/>
              <w:bottom w:val="nil"/>
              <w:right w:val="nil"/>
            </w:tcBorders>
            <w:shd w:val="clear" w:color="auto" w:fill="auto"/>
            <w:noWrap/>
            <w:vAlign w:val="center"/>
          </w:tcPr>
          <w:p w14:paraId="294A0DFD">
            <w:pPr>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60642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0" w:type="auto"/>
            <w:tcBorders>
              <w:top w:val="nil"/>
              <w:left w:val="nil"/>
              <w:bottom w:val="nil"/>
              <w:right w:val="nil"/>
            </w:tcBorders>
            <w:shd w:val="clear" w:color="auto" w:fill="auto"/>
            <w:noWrap/>
            <w:vAlign w:val="center"/>
          </w:tcPr>
          <w:p w14:paraId="00B9AA21">
            <w:pPr>
              <w:jc w:val="center"/>
              <w:rPr>
                <w:rFonts w:hint="default" w:ascii="Times New Roman" w:hAnsi="Times New Roman" w:eastAsia="宋体" w:cs="Times New Roman"/>
                <w:i w:val="0"/>
                <w:iCs w:val="0"/>
                <w:color w:val="000000"/>
                <w:sz w:val="24"/>
                <w:szCs w:val="24"/>
                <w:u w:val="none"/>
              </w:rPr>
            </w:pPr>
          </w:p>
        </w:tc>
      </w:tr>
      <w:tr w14:paraId="6EF3B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0" w:type="auto"/>
            <w:tcBorders>
              <w:top w:val="nil"/>
              <w:left w:val="nil"/>
              <w:bottom w:val="nil"/>
              <w:right w:val="nil"/>
            </w:tcBorders>
            <w:shd w:val="clear" w:color="auto" w:fill="auto"/>
            <w:noWrap/>
            <w:vAlign w:val="center"/>
          </w:tcPr>
          <w:p w14:paraId="1AEBDF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Q2</w:t>
            </w:r>
          </w:p>
        </w:tc>
        <w:tc>
          <w:tcPr>
            <w:tcW w:w="0" w:type="auto"/>
            <w:tcBorders>
              <w:top w:val="nil"/>
              <w:left w:val="nil"/>
              <w:bottom w:val="nil"/>
              <w:right w:val="nil"/>
            </w:tcBorders>
            <w:shd w:val="clear" w:color="auto" w:fill="auto"/>
            <w:noWrap/>
            <w:vAlign w:val="center"/>
          </w:tcPr>
          <w:p w14:paraId="3076B11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 (1.20~1.72)</w:t>
            </w:r>
          </w:p>
        </w:tc>
        <w:tc>
          <w:tcPr>
            <w:tcW w:w="0" w:type="auto"/>
            <w:tcBorders>
              <w:top w:val="nil"/>
              <w:left w:val="nil"/>
              <w:bottom w:val="nil"/>
              <w:right w:val="nil"/>
            </w:tcBorders>
            <w:shd w:val="clear" w:color="auto" w:fill="auto"/>
            <w:noWrap/>
            <w:vAlign w:val="center"/>
          </w:tcPr>
          <w:p w14:paraId="20B22F4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0" w:type="auto"/>
            <w:tcBorders>
              <w:top w:val="nil"/>
              <w:left w:val="nil"/>
              <w:bottom w:val="nil"/>
              <w:right w:val="nil"/>
            </w:tcBorders>
            <w:shd w:val="clear" w:color="auto" w:fill="auto"/>
            <w:noWrap/>
            <w:vAlign w:val="center"/>
          </w:tcPr>
          <w:p w14:paraId="282AF51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 (1.17~1.67)</w:t>
            </w:r>
          </w:p>
        </w:tc>
        <w:tc>
          <w:tcPr>
            <w:tcW w:w="0" w:type="auto"/>
            <w:tcBorders>
              <w:top w:val="nil"/>
              <w:left w:val="nil"/>
              <w:bottom w:val="nil"/>
              <w:right w:val="nil"/>
            </w:tcBorders>
            <w:shd w:val="clear" w:color="auto" w:fill="auto"/>
            <w:noWrap/>
            <w:vAlign w:val="center"/>
          </w:tcPr>
          <w:p w14:paraId="5D76FC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2567" w:type="dxa"/>
            <w:tcBorders>
              <w:top w:val="nil"/>
              <w:left w:val="nil"/>
              <w:bottom w:val="nil"/>
              <w:right w:val="nil"/>
            </w:tcBorders>
            <w:shd w:val="clear" w:color="auto" w:fill="auto"/>
            <w:noWrap/>
            <w:vAlign w:val="bottom"/>
          </w:tcPr>
          <w:p w14:paraId="2DB9D8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1.41 (1.18~1.69)</w:t>
            </w:r>
          </w:p>
        </w:tc>
        <w:tc>
          <w:tcPr>
            <w:tcW w:w="1505" w:type="dxa"/>
            <w:tcBorders>
              <w:top w:val="nil"/>
              <w:left w:val="nil"/>
              <w:bottom w:val="nil"/>
              <w:right w:val="nil"/>
            </w:tcBorders>
            <w:shd w:val="clear" w:color="auto" w:fill="auto"/>
            <w:noWrap/>
            <w:vAlign w:val="bottom"/>
          </w:tcPr>
          <w:p w14:paraId="34A0DF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639FD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0" w:type="auto"/>
            <w:tcBorders>
              <w:top w:val="nil"/>
              <w:left w:val="nil"/>
              <w:bottom w:val="nil"/>
              <w:right w:val="nil"/>
            </w:tcBorders>
            <w:shd w:val="clear" w:color="auto" w:fill="auto"/>
            <w:noWrap/>
            <w:vAlign w:val="center"/>
          </w:tcPr>
          <w:p w14:paraId="30AFE4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Q3</w:t>
            </w:r>
          </w:p>
        </w:tc>
        <w:tc>
          <w:tcPr>
            <w:tcW w:w="0" w:type="auto"/>
            <w:tcBorders>
              <w:top w:val="nil"/>
              <w:left w:val="nil"/>
              <w:bottom w:val="nil"/>
              <w:right w:val="nil"/>
            </w:tcBorders>
            <w:shd w:val="clear" w:color="auto" w:fill="auto"/>
            <w:noWrap/>
            <w:vAlign w:val="center"/>
          </w:tcPr>
          <w:p w14:paraId="3751807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 (1.58~2.23)</w:t>
            </w:r>
          </w:p>
        </w:tc>
        <w:tc>
          <w:tcPr>
            <w:tcW w:w="0" w:type="auto"/>
            <w:tcBorders>
              <w:top w:val="nil"/>
              <w:left w:val="nil"/>
              <w:bottom w:val="nil"/>
              <w:right w:val="nil"/>
            </w:tcBorders>
            <w:shd w:val="clear" w:color="auto" w:fill="auto"/>
            <w:noWrap/>
            <w:vAlign w:val="center"/>
          </w:tcPr>
          <w:p w14:paraId="01CCD6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0" w:type="auto"/>
            <w:tcBorders>
              <w:top w:val="nil"/>
              <w:left w:val="nil"/>
              <w:bottom w:val="nil"/>
              <w:right w:val="nil"/>
            </w:tcBorders>
            <w:shd w:val="clear" w:color="auto" w:fill="auto"/>
            <w:noWrap/>
            <w:vAlign w:val="center"/>
          </w:tcPr>
          <w:p w14:paraId="038317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 (1.48~2.09)</w:t>
            </w:r>
          </w:p>
        </w:tc>
        <w:tc>
          <w:tcPr>
            <w:tcW w:w="0" w:type="auto"/>
            <w:tcBorders>
              <w:top w:val="nil"/>
              <w:left w:val="nil"/>
              <w:bottom w:val="nil"/>
              <w:right w:val="nil"/>
            </w:tcBorders>
            <w:shd w:val="clear" w:color="auto" w:fill="auto"/>
            <w:noWrap/>
            <w:vAlign w:val="center"/>
          </w:tcPr>
          <w:p w14:paraId="4D38900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2567" w:type="dxa"/>
            <w:tcBorders>
              <w:top w:val="nil"/>
              <w:left w:val="nil"/>
              <w:bottom w:val="nil"/>
              <w:right w:val="nil"/>
            </w:tcBorders>
            <w:shd w:val="clear" w:color="auto" w:fill="auto"/>
            <w:noWrap/>
            <w:vAlign w:val="bottom"/>
          </w:tcPr>
          <w:p w14:paraId="35E216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1.77 (1.48~2.11)</w:t>
            </w:r>
          </w:p>
        </w:tc>
        <w:tc>
          <w:tcPr>
            <w:tcW w:w="1505" w:type="dxa"/>
            <w:tcBorders>
              <w:top w:val="nil"/>
              <w:left w:val="nil"/>
              <w:bottom w:val="nil"/>
              <w:right w:val="nil"/>
            </w:tcBorders>
            <w:shd w:val="clear" w:color="auto" w:fill="auto"/>
            <w:noWrap/>
            <w:vAlign w:val="bottom"/>
          </w:tcPr>
          <w:p w14:paraId="098BC1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bidi="ar"/>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15F82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0" w:type="auto"/>
            <w:tcBorders>
              <w:top w:val="nil"/>
              <w:left w:val="nil"/>
              <w:bottom w:val="single" w:color="000000" w:sz="12" w:space="0"/>
              <w:right w:val="nil"/>
            </w:tcBorders>
            <w:shd w:val="clear" w:color="auto" w:fill="auto"/>
            <w:noWrap/>
            <w:vAlign w:val="center"/>
          </w:tcPr>
          <w:p w14:paraId="7C3B1C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 for trend</w:t>
            </w:r>
          </w:p>
        </w:tc>
        <w:tc>
          <w:tcPr>
            <w:tcW w:w="0" w:type="auto"/>
            <w:tcBorders>
              <w:top w:val="nil"/>
              <w:left w:val="nil"/>
              <w:bottom w:val="single" w:color="000000" w:sz="12" w:space="0"/>
              <w:right w:val="nil"/>
            </w:tcBorders>
            <w:shd w:val="clear" w:color="auto" w:fill="auto"/>
            <w:noWrap/>
            <w:vAlign w:val="center"/>
          </w:tcPr>
          <w:p w14:paraId="40A68089">
            <w:pPr>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single" w:color="000000" w:sz="12" w:space="0"/>
              <w:right w:val="nil"/>
            </w:tcBorders>
            <w:shd w:val="clear" w:color="auto" w:fill="auto"/>
            <w:noWrap/>
            <w:vAlign w:val="center"/>
          </w:tcPr>
          <w:p w14:paraId="48BCDC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0" w:type="auto"/>
            <w:tcBorders>
              <w:top w:val="nil"/>
              <w:left w:val="nil"/>
              <w:bottom w:val="single" w:color="000000" w:sz="12" w:space="0"/>
              <w:right w:val="nil"/>
            </w:tcBorders>
            <w:shd w:val="clear" w:color="auto" w:fill="auto"/>
            <w:noWrap/>
            <w:vAlign w:val="center"/>
          </w:tcPr>
          <w:p w14:paraId="3771E3A2">
            <w:pPr>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single" w:color="000000" w:sz="12" w:space="0"/>
              <w:right w:val="nil"/>
            </w:tcBorders>
            <w:shd w:val="clear" w:color="auto" w:fill="auto"/>
            <w:noWrap/>
            <w:vAlign w:val="center"/>
          </w:tcPr>
          <w:p w14:paraId="159E64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0" w:type="auto"/>
            <w:tcBorders>
              <w:top w:val="nil"/>
              <w:left w:val="nil"/>
              <w:bottom w:val="single" w:color="000000" w:sz="12" w:space="0"/>
              <w:right w:val="nil"/>
            </w:tcBorders>
            <w:shd w:val="clear" w:color="auto" w:fill="auto"/>
            <w:noWrap/>
            <w:vAlign w:val="center"/>
          </w:tcPr>
          <w:p w14:paraId="5B0E3CC3">
            <w:pPr>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single" w:color="000000" w:sz="12" w:space="0"/>
              <w:right w:val="nil"/>
            </w:tcBorders>
            <w:shd w:val="clear" w:color="auto" w:fill="auto"/>
            <w:noWrap/>
            <w:vAlign w:val="center"/>
          </w:tcPr>
          <w:p w14:paraId="6D3056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bl>
    <w:p w14:paraId="5296CA01">
      <w:pP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 w:val="24"/>
          <w:szCs w:val="24"/>
          <w:lang w:bidi="ar"/>
        </w:rPr>
        <w:t>Model 1: no covariates were adjusted</w:t>
      </w:r>
      <w:r>
        <w:rPr>
          <w:rFonts w:ascii="Times New Roman" w:hAnsi="Times New Roman" w:eastAsia="宋体" w:cs="Times New Roman"/>
          <w:color w:val="000000"/>
          <w:kern w:val="0"/>
          <w:sz w:val="24"/>
          <w:szCs w:val="24"/>
          <w:lang w:bidi="ar"/>
        </w:rPr>
        <w:br w:type="textWrapping"/>
      </w:r>
      <w:r>
        <w:rPr>
          <w:rFonts w:ascii="Times New Roman" w:hAnsi="Times New Roman" w:eastAsia="宋体" w:cs="Times New Roman"/>
          <w:color w:val="000000"/>
          <w:kern w:val="0"/>
          <w:sz w:val="24"/>
          <w:szCs w:val="24"/>
          <w:lang w:bidi="ar"/>
        </w:rPr>
        <w:t xml:space="preserve">Model 2: Adjusted for age and </w:t>
      </w:r>
      <w:r>
        <w:rPr>
          <w:rFonts w:hint="eastAsia" w:ascii="Times New Roman" w:hAnsi="Times New Roman" w:eastAsia="宋体" w:cs="Times New Roman"/>
          <w:color w:val="000000"/>
          <w:kern w:val="0"/>
          <w:sz w:val="24"/>
          <w:szCs w:val="24"/>
          <w:lang w:eastAsia="zh-CN" w:bidi="ar"/>
        </w:rPr>
        <w:t>sex</w:t>
      </w:r>
      <w:r>
        <w:rPr>
          <w:rFonts w:ascii="Times New Roman" w:hAnsi="Times New Roman" w:eastAsia="宋体" w:cs="Times New Roman"/>
          <w:color w:val="000000"/>
          <w:kern w:val="0"/>
          <w:sz w:val="24"/>
          <w:szCs w:val="24"/>
          <w:lang w:bidi="ar"/>
        </w:rPr>
        <w:br w:type="textWrapping"/>
      </w:r>
      <w:r>
        <w:rPr>
          <w:rFonts w:ascii="Times New Roman" w:hAnsi="Times New Roman" w:eastAsia="宋体" w:cs="Times New Roman"/>
          <w:color w:val="000000"/>
          <w:kern w:val="0"/>
          <w:sz w:val="24"/>
          <w:szCs w:val="24"/>
          <w:lang w:bidi="ar"/>
        </w:rPr>
        <w:t xml:space="preserve">Model 3: Adjusted for age, </w:t>
      </w:r>
      <w:r>
        <w:rPr>
          <w:rFonts w:hint="eastAsia" w:ascii="Times New Roman" w:hAnsi="Times New Roman" w:eastAsia="宋体" w:cs="Times New Roman"/>
          <w:color w:val="000000"/>
          <w:kern w:val="0"/>
          <w:sz w:val="24"/>
          <w:szCs w:val="24"/>
          <w:lang w:eastAsia="zh-CN" w:bidi="ar"/>
        </w:rPr>
        <w:t>sex</w:t>
      </w:r>
      <w:r>
        <w:rPr>
          <w:rFonts w:ascii="Times New Roman" w:hAnsi="Times New Roman" w:eastAsia="宋体" w:cs="Times New Roman"/>
          <w:color w:val="000000"/>
          <w:kern w:val="0"/>
          <w:sz w:val="24"/>
          <w:szCs w:val="24"/>
          <w:lang w:bidi="ar"/>
        </w:rPr>
        <w:t xml:space="preserve">, marital status, educational level, smoking status, </w:t>
      </w:r>
      <w:r>
        <w:rPr>
          <w:rFonts w:hint="eastAsia" w:ascii="Times New Roman" w:hAnsi="Times New Roman" w:eastAsia="宋体" w:cs="Times New Roman"/>
          <w:color w:val="000000"/>
          <w:kern w:val="0"/>
          <w:sz w:val="24"/>
          <w:szCs w:val="24"/>
          <w:lang w:eastAsia="zh-CN" w:bidi="ar"/>
        </w:rPr>
        <w:t>drinking status</w:t>
      </w:r>
      <w:r>
        <w:rPr>
          <w:rFonts w:ascii="Times New Roman" w:hAnsi="Times New Roman" w:eastAsia="宋体" w:cs="Times New Roman"/>
          <w:color w:val="000000"/>
          <w:kern w:val="0"/>
          <w:sz w:val="24"/>
          <w:szCs w:val="24"/>
          <w:lang w:bidi="ar"/>
        </w:rPr>
        <w:t>, cancer, liver disease and kidney disease</w:t>
      </w:r>
    </w:p>
    <w:p w14:paraId="618B81D3">
      <w:pPr>
        <w:rPr>
          <w:rFonts w:ascii="Times New Roman" w:hAnsi="Times New Roman" w:eastAsia="宋体" w:cs="Times New Roman"/>
          <w:color w:val="000000"/>
          <w:kern w:val="0"/>
          <w:sz w:val="24"/>
          <w:szCs w:val="24"/>
          <w:lang w:bidi="ar"/>
        </w:rPr>
      </w:pPr>
    </w:p>
    <w:p w14:paraId="5C58B0CF">
      <w:pPr>
        <w:rPr>
          <w:rFonts w:ascii="Times New Roman" w:hAnsi="Times New Roman" w:eastAsia="宋体" w:cs="Times New Roman"/>
          <w:color w:val="000000"/>
          <w:kern w:val="0"/>
          <w:szCs w:val="21"/>
          <w:lang w:bidi="ar"/>
        </w:rPr>
      </w:pPr>
    </w:p>
    <w:p w14:paraId="0F452B5D">
      <w:pPr>
        <w:rPr>
          <w:rFonts w:ascii="Times New Roman" w:hAnsi="Times New Roman" w:eastAsia="宋体" w:cs="Times New Roman"/>
          <w:color w:val="000000"/>
          <w:kern w:val="0"/>
          <w:szCs w:val="21"/>
          <w:lang w:bidi="ar"/>
        </w:rPr>
        <w:sectPr>
          <w:pgSz w:w="16838" w:h="11906" w:orient="landscape"/>
          <w:pgMar w:top="1800" w:right="1440" w:bottom="1800" w:left="1440" w:header="851" w:footer="992" w:gutter="0"/>
          <w:cols w:space="425" w:num="1"/>
          <w:docGrid w:type="lines" w:linePitch="312" w:charSpace="0"/>
        </w:sectPr>
      </w:pPr>
    </w:p>
    <w:tbl>
      <w:tblPr>
        <w:tblStyle w:val="6"/>
        <w:tblW w:w="1307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63"/>
        <w:gridCol w:w="1816"/>
        <w:gridCol w:w="1072"/>
        <w:gridCol w:w="1816"/>
        <w:gridCol w:w="1072"/>
        <w:gridCol w:w="1816"/>
        <w:gridCol w:w="1072"/>
      </w:tblGrid>
      <w:tr w14:paraId="5670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13074" w:type="dxa"/>
            <w:gridSpan w:val="7"/>
            <w:tcBorders>
              <w:top w:val="nil"/>
              <w:left w:val="nil"/>
              <w:bottom w:val="nil"/>
              <w:right w:val="nil"/>
            </w:tcBorders>
            <w:shd w:val="clear" w:color="auto" w:fill="auto"/>
            <w:vAlign w:val="center"/>
          </w:tcPr>
          <w:p w14:paraId="7B48B3F7">
            <w:pPr>
              <w:pStyle w:val="2"/>
              <w:keepNext w:val="0"/>
              <w:keepLines w:val="0"/>
              <w:widowControl/>
              <w:suppressLineNumbers w:val="0"/>
              <w:jc w:val="left"/>
              <w:textAlignment w:val="center"/>
              <w:rPr>
                <w:rFonts w:hint="default" w:ascii="Times New Roman" w:hAnsi="Times New Roman" w:eastAsia="宋体" w:cs="Times New Roman"/>
                <w:b/>
                <w:bCs/>
                <w:i w:val="0"/>
                <w:iCs w:val="0"/>
                <w:color w:val="000000"/>
                <w:szCs w:val="24"/>
                <w:u w:val="none"/>
              </w:rPr>
            </w:pPr>
            <w:bookmarkStart w:id="10" w:name="_Toc1375"/>
            <w:bookmarkStart w:id="11" w:name="_Toc4622"/>
            <w:r>
              <w:rPr>
                <w:rFonts w:hint="default" w:ascii="Times New Roman" w:hAnsi="Times New Roman" w:cs="Times New Roman"/>
                <w:b/>
                <w:bCs/>
              </w:rPr>
              <w:t>Table S6</w:t>
            </w:r>
            <w:bookmarkEnd w:id="10"/>
            <w:r>
              <w:rPr>
                <w:rFonts w:hint="default" w:ascii="Times New Roman" w:hAnsi="Times New Roman" w:cs="Times New Roman"/>
                <w:b/>
                <w:bCs/>
                <w:lang w:val="en-US" w:eastAsia="zh-CN"/>
              </w:rPr>
              <w:t xml:space="preserve">. </w:t>
            </w:r>
            <w:r>
              <w:rPr>
                <w:rFonts w:hint="default" w:ascii="Times New Roman" w:hAnsi="Times New Roman" w:cs="Times New Roman"/>
                <w:lang w:val="en-US" w:eastAsia="zh-CN"/>
              </w:rPr>
              <w:t>Association between standardized ΔTyG-CVAI from 2011 to 2015 and new-onset CVD risk</w:t>
            </w:r>
            <w:bookmarkEnd w:id="11"/>
          </w:p>
        </w:tc>
      </w:tr>
      <w:tr w14:paraId="5271C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0" w:type="auto"/>
            <w:vMerge w:val="restart"/>
            <w:tcBorders>
              <w:top w:val="single" w:color="000000" w:sz="12" w:space="0"/>
              <w:left w:val="nil"/>
              <w:bottom w:val="single" w:color="000000" w:sz="8" w:space="0"/>
              <w:right w:val="nil"/>
            </w:tcBorders>
            <w:shd w:val="clear" w:color="auto" w:fill="auto"/>
            <w:noWrap/>
            <w:vAlign w:val="top"/>
          </w:tcPr>
          <w:p w14:paraId="252CBECF">
            <w:pPr>
              <w:keepNext w:val="0"/>
              <w:keepLines w:val="0"/>
              <w:widowControl/>
              <w:suppressLineNumbers w:val="0"/>
              <w:jc w:val="left"/>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Variable</w:t>
            </w:r>
          </w:p>
        </w:tc>
        <w:tc>
          <w:tcPr>
            <w:tcW w:w="0" w:type="auto"/>
            <w:gridSpan w:val="2"/>
            <w:tcBorders>
              <w:top w:val="single" w:color="000000" w:sz="12" w:space="0"/>
              <w:left w:val="nil"/>
              <w:bottom w:val="single" w:color="000000" w:sz="8" w:space="0"/>
              <w:right w:val="nil"/>
            </w:tcBorders>
            <w:shd w:val="clear" w:color="auto" w:fill="auto"/>
            <w:noWrap/>
            <w:vAlign w:val="center"/>
          </w:tcPr>
          <w:p w14:paraId="075DAF4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1</w:t>
            </w:r>
          </w:p>
        </w:tc>
        <w:tc>
          <w:tcPr>
            <w:tcW w:w="0" w:type="auto"/>
            <w:gridSpan w:val="2"/>
            <w:tcBorders>
              <w:top w:val="single" w:color="000000" w:sz="12" w:space="0"/>
              <w:left w:val="nil"/>
              <w:bottom w:val="single" w:color="000000" w:sz="8" w:space="0"/>
              <w:right w:val="nil"/>
            </w:tcBorders>
            <w:shd w:val="clear" w:color="auto" w:fill="auto"/>
            <w:noWrap/>
            <w:vAlign w:val="center"/>
          </w:tcPr>
          <w:p w14:paraId="6438F9A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2</w:t>
            </w:r>
          </w:p>
        </w:tc>
        <w:tc>
          <w:tcPr>
            <w:tcW w:w="0" w:type="auto"/>
            <w:gridSpan w:val="2"/>
            <w:tcBorders>
              <w:top w:val="single" w:color="000000" w:sz="12" w:space="0"/>
              <w:left w:val="nil"/>
              <w:bottom w:val="single" w:color="000000" w:sz="8" w:space="0"/>
              <w:right w:val="nil"/>
            </w:tcBorders>
            <w:shd w:val="clear" w:color="auto" w:fill="auto"/>
            <w:noWrap/>
            <w:vAlign w:val="center"/>
          </w:tcPr>
          <w:p w14:paraId="4F3AEFF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3</w:t>
            </w:r>
          </w:p>
        </w:tc>
      </w:tr>
      <w:tr w14:paraId="0C4B5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vMerge w:val="continue"/>
            <w:tcBorders>
              <w:top w:val="single" w:color="000000" w:sz="12" w:space="0"/>
              <w:left w:val="nil"/>
              <w:bottom w:val="single" w:color="000000" w:sz="8" w:space="0"/>
              <w:right w:val="nil"/>
            </w:tcBorders>
            <w:shd w:val="clear" w:color="auto" w:fill="auto"/>
            <w:noWrap/>
            <w:vAlign w:val="top"/>
          </w:tcPr>
          <w:p w14:paraId="75C36220">
            <w:pPr>
              <w:jc w:val="left"/>
              <w:rPr>
                <w:rFonts w:hint="default" w:ascii="Times New Roman" w:hAnsi="Times New Roman" w:eastAsia="宋体" w:cs="Times New Roman"/>
                <w:b/>
                <w:bCs/>
                <w:i w:val="0"/>
                <w:iCs w:val="0"/>
                <w:color w:val="000000"/>
                <w:sz w:val="24"/>
                <w:szCs w:val="24"/>
                <w:u w:val="none"/>
              </w:rPr>
            </w:pPr>
          </w:p>
        </w:tc>
        <w:tc>
          <w:tcPr>
            <w:tcW w:w="0" w:type="auto"/>
            <w:tcBorders>
              <w:top w:val="nil"/>
              <w:left w:val="nil"/>
              <w:bottom w:val="single" w:color="000000" w:sz="8" w:space="0"/>
              <w:right w:val="nil"/>
            </w:tcBorders>
            <w:shd w:val="clear" w:color="auto" w:fill="auto"/>
            <w:noWrap/>
            <w:vAlign w:val="center"/>
          </w:tcPr>
          <w:p w14:paraId="76C57DE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0" w:type="auto"/>
            <w:tcBorders>
              <w:top w:val="nil"/>
              <w:left w:val="nil"/>
              <w:bottom w:val="single" w:color="000000" w:sz="8" w:space="0"/>
              <w:right w:val="nil"/>
            </w:tcBorders>
            <w:shd w:val="clear" w:color="auto" w:fill="auto"/>
            <w:noWrap/>
            <w:vAlign w:val="center"/>
          </w:tcPr>
          <w:p w14:paraId="6322611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0" w:type="auto"/>
            <w:tcBorders>
              <w:top w:val="nil"/>
              <w:left w:val="nil"/>
              <w:bottom w:val="single" w:color="000000" w:sz="8" w:space="0"/>
              <w:right w:val="nil"/>
            </w:tcBorders>
            <w:shd w:val="clear" w:color="auto" w:fill="auto"/>
            <w:noWrap/>
            <w:vAlign w:val="center"/>
          </w:tcPr>
          <w:p w14:paraId="76BCC29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0" w:type="auto"/>
            <w:tcBorders>
              <w:top w:val="nil"/>
              <w:left w:val="nil"/>
              <w:bottom w:val="single" w:color="000000" w:sz="8" w:space="0"/>
              <w:right w:val="nil"/>
            </w:tcBorders>
            <w:shd w:val="clear" w:color="auto" w:fill="auto"/>
            <w:noWrap/>
            <w:vAlign w:val="center"/>
          </w:tcPr>
          <w:p w14:paraId="4C197E0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0" w:type="auto"/>
            <w:tcBorders>
              <w:top w:val="nil"/>
              <w:left w:val="nil"/>
              <w:bottom w:val="single" w:color="000000" w:sz="8" w:space="0"/>
              <w:right w:val="nil"/>
            </w:tcBorders>
            <w:shd w:val="clear" w:color="auto" w:fill="auto"/>
            <w:noWrap/>
            <w:vAlign w:val="center"/>
          </w:tcPr>
          <w:p w14:paraId="710BDF5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 CI)</w:t>
            </w:r>
          </w:p>
        </w:tc>
        <w:tc>
          <w:tcPr>
            <w:tcW w:w="0" w:type="auto"/>
            <w:tcBorders>
              <w:top w:val="nil"/>
              <w:left w:val="nil"/>
              <w:bottom w:val="single" w:color="000000" w:sz="8" w:space="0"/>
              <w:right w:val="nil"/>
            </w:tcBorders>
            <w:shd w:val="clear" w:color="auto" w:fill="auto"/>
            <w:noWrap/>
            <w:vAlign w:val="center"/>
          </w:tcPr>
          <w:p w14:paraId="60C71B4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r>
      <w:tr w14:paraId="39D6E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0" w:type="auto"/>
            <w:tcBorders>
              <w:top w:val="nil"/>
              <w:left w:val="nil"/>
              <w:bottom w:val="nil"/>
              <w:right w:val="nil"/>
            </w:tcBorders>
            <w:shd w:val="clear" w:color="auto" w:fill="auto"/>
            <w:noWrap/>
            <w:vAlign w:val="center"/>
          </w:tcPr>
          <w:p w14:paraId="55BADB7C">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Without adjustment for baseline TyG-CVAI</w:t>
            </w:r>
          </w:p>
        </w:tc>
        <w:tc>
          <w:tcPr>
            <w:tcW w:w="0" w:type="auto"/>
            <w:tcBorders>
              <w:top w:val="nil"/>
              <w:left w:val="nil"/>
              <w:bottom w:val="nil"/>
              <w:right w:val="nil"/>
            </w:tcBorders>
            <w:shd w:val="clear" w:color="auto" w:fill="auto"/>
            <w:noWrap/>
            <w:vAlign w:val="center"/>
          </w:tcPr>
          <w:p w14:paraId="385C11E3">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DAA722C">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791D782D">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51B9F7F1">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5DF1E636">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45084912">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r>
      <w:tr w14:paraId="1EEF1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0" w:type="auto"/>
            <w:tcBorders>
              <w:top w:val="nil"/>
              <w:left w:val="nil"/>
              <w:bottom w:val="nil"/>
              <w:right w:val="nil"/>
            </w:tcBorders>
            <w:shd w:val="clear" w:color="auto" w:fill="auto"/>
            <w:noWrap/>
            <w:vAlign w:val="center"/>
          </w:tcPr>
          <w:p w14:paraId="45F624A3">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ΔTyG-CVAI (per 1-SD increase)</w:t>
            </w:r>
          </w:p>
        </w:tc>
        <w:tc>
          <w:tcPr>
            <w:tcW w:w="0" w:type="auto"/>
            <w:tcBorders>
              <w:top w:val="nil"/>
              <w:left w:val="nil"/>
              <w:bottom w:val="nil"/>
              <w:right w:val="nil"/>
            </w:tcBorders>
            <w:shd w:val="clear" w:color="auto" w:fill="auto"/>
            <w:noWrap/>
            <w:vAlign w:val="center"/>
          </w:tcPr>
          <w:p w14:paraId="55452A91">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 (0.92–1.06)</w:t>
            </w:r>
          </w:p>
        </w:tc>
        <w:tc>
          <w:tcPr>
            <w:tcW w:w="0" w:type="auto"/>
            <w:tcBorders>
              <w:top w:val="nil"/>
              <w:left w:val="nil"/>
              <w:bottom w:val="nil"/>
              <w:right w:val="nil"/>
            </w:tcBorders>
            <w:shd w:val="clear" w:color="auto" w:fill="auto"/>
            <w:noWrap/>
            <w:vAlign w:val="center"/>
          </w:tcPr>
          <w:p w14:paraId="4857DF1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0.666</w:t>
            </w:r>
          </w:p>
        </w:tc>
        <w:tc>
          <w:tcPr>
            <w:tcW w:w="0" w:type="auto"/>
            <w:tcBorders>
              <w:top w:val="nil"/>
              <w:left w:val="nil"/>
              <w:bottom w:val="nil"/>
              <w:right w:val="nil"/>
            </w:tcBorders>
            <w:shd w:val="clear" w:color="auto" w:fill="auto"/>
            <w:noWrap/>
            <w:vAlign w:val="center"/>
          </w:tcPr>
          <w:p w14:paraId="3C54A28C">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 (0.93–1.06)</w:t>
            </w:r>
          </w:p>
        </w:tc>
        <w:tc>
          <w:tcPr>
            <w:tcW w:w="0" w:type="auto"/>
            <w:tcBorders>
              <w:top w:val="nil"/>
              <w:left w:val="nil"/>
              <w:bottom w:val="nil"/>
              <w:right w:val="nil"/>
            </w:tcBorders>
            <w:shd w:val="clear" w:color="auto" w:fill="auto"/>
            <w:noWrap/>
            <w:vAlign w:val="center"/>
          </w:tcPr>
          <w:p w14:paraId="72E065CE">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0.747</w:t>
            </w:r>
          </w:p>
        </w:tc>
        <w:tc>
          <w:tcPr>
            <w:tcW w:w="0" w:type="auto"/>
            <w:tcBorders>
              <w:top w:val="nil"/>
              <w:left w:val="nil"/>
              <w:bottom w:val="nil"/>
              <w:right w:val="nil"/>
            </w:tcBorders>
            <w:shd w:val="clear" w:color="auto" w:fill="auto"/>
            <w:noWrap/>
            <w:vAlign w:val="center"/>
          </w:tcPr>
          <w:p w14:paraId="1200091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 (0.93–1.06)</w:t>
            </w:r>
          </w:p>
        </w:tc>
        <w:tc>
          <w:tcPr>
            <w:tcW w:w="0" w:type="auto"/>
            <w:tcBorders>
              <w:top w:val="nil"/>
              <w:left w:val="nil"/>
              <w:bottom w:val="nil"/>
              <w:right w:val="nil"/>
            </w:tcBorders>
            <w:shd w:val="clear" w:color="auto" w:fill="auto"/>
            <w:noWrap/>
            <w:vAlign w:val="center"/>
          </w:tcPr>
          <w:p w14:paraId="48C44542">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0.748</w:t>
            </w:r>
          </w:p>
        </w:tc>
      </w:tr>
      <w:tr w14:paraId="1786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0" w:type="auto"/>
            <w:tcBorders>
              <w:top w:val="nil"/>
              <w:left w:val="nil"/>
              <w:bottom w:val="nil"/>
              <w:right w:val="nil"/>
            </w:tcBorders>
            <w:shd w:val="clear" w:color="auto" w:fill="auto"/>
            <w:noWrap/>
            <w:vAlign w:val="center"/>
          </w:tcPr>
          <w:p w14:paraId="1A7D84EE">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Further adjusted for baseline TyG-CVAI</w:t>
            </w:r>
          </w:p>
        </w:tc>
        <w:tc>
          <w:tcPr>
            <w:tcW w:w="0" w:type="auto"/>
            <w:tcBorders>
              <w:top w:val="nil"/>
              <w:left w:val="nil"/>
              <w:bottom w:val="nil"/>
              <w:right w:val="nil"/>
            </w:tcBorders>
            <w:shd w:val="clear" w:color="auto" w:fill="auto"/>
            <w:noWrap/>
            <w:vAlign w:val="center"/>
          </w:tcPr>
          <w:p w14:paraId="117C4CD5">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02E888BD">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1B900EE">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81E0E67">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BDD7EED">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3BD54AC3">
            <w:pPr>
              <w:keepNext w:val="0"/>
              <w:keepLines w:val="0"/>
              <w:pageBreakBefore w:val="0"/>
              <w:kinsoku/>
              <w:wordWrap/>
              <w:overflowPunct/>
              <w:topLinePunct w:val="0"/>
              <w:autoSpaceDE/>
              <w:autoSpaceDN/>
              <w:bidi w:val="0"/>
              <w:adjustRightInd/>
              <w:snapToGrid/>
              <w:spacing w:line="300" w:lineRule="auto"/>
              <w:jc w:val="center"/>
              <w:rPr>
                <w:rFonts w:hint="default" w:ascii="Times New Roman" w:hAnsi="Times New Roman" w:eastAsia="宋体" w:cs="Times New Roman"/>
                <w:i w:val="0"/>
                <w:iCs w:val="0"/>
                <w:color w:val="000000"/>
                <w:sz w:val="24"/>
                <w:szCs w:val="24"/>
                <w:u w:val="none"/>
              </w:rPr>
            </w:pPr>
          </w:p>
        </w:tc>
      </w:tr>
      <w:tr w14:paraId="13C0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0" w:type="auto"/>
            <w:tcBorders>
              <w:top w:val="nil"/>
              <w:left w:val="nil"/>
              <w:bottom w:val="single" w:color="000000" w:sz="12" w:space="0"/>
              <w:right w:val="nil"/>
            </w:tcBorders>
            <w:shd w:val="clear" w:color="auto" w:fill="auto"/>
            <w:noWrap/>
            <w:vAlign w:val="center"/>
          </w:tcPr>
          <w:p w14:paraId="4AF4C446">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ΔTyG-CVAI (per 1-SD increase)</w:t>
            </w:r>
          </w:p>
        </w:tc>
        <w:tc>
          <w:tcPr>
            <w:tcW w:w="0" w:type="auto"/>
            <w:tcBorders>
              <w:top w:val="nil"/>
              <w:left w:val="nil"/>
              <w:bottom w:val="single" w:color="000000" w:sz="12" w:space="0"/>
              <w:right w:val="nil"/>
            </w:tcBorders>
            <w:shd w:val="clear" w:color="auto" w:fill="auto"/>
            <w:noWrap/>
            <w:vAlign w:val="center"/>
          </w:tcPr>
          <w:p w14:paraId="58026DA9">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 (1.02–1.09)</w:t>
            </w:r>
          </w:p>
        </w:tc>
        <w:tc>
          <w:tcPr>
            <w:tcW w:w="0" w:type="auto"/>
            <w:tcBorders>
              <w:top w:val="nil"/>
              <w:left w:val="nil"/>
              <w:bottom w:val="single" w:color="000000" w:sz="12" w:space="0"/>
              <w:right w:val="nil"/>
            </w:tcBorders>
            <w:shd w:val="clear" w:color="auto" w:fill="auto"/>
            <w:noWrap/>
            <w:vAlign w:val="center"/>
          </w:tcPr>
          <w:p w14:paraId="3FC29EE9">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0" w:type="auto"/>
            <w:tcBorders>
              <w:top w:val="nil"/>
              <w:left w:val="nil"/>
              <w:bottom w:val="single" w:color="000000" w:sz="12" w:space="0"/>
              <w:right w:val="nil"/>
            </w:tcBorders>
            <w:shd w:val="clear" w:color="auto" w:fill="auto"/>
            <w:noWrap/>
            <w:vAlign w:val="center"/>
          </w:tcPr>
          <w:p w14:paraId="4E48BF8D">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(1.01–1.09)</w:t>
            </w:r>
          </w:p>
        </w:tc>
        <w:tc>
          <w:tcPr>
            <w:tcW w:w="0" w:type="auto"/>
            <w:tcBorders>
              <w:top w:val="nil"/>
              <w:left w:val="nil"/>
              <w:bottom w:val="single" w:color="000000" w:sz="12" w:space="0"/>
              <w:right w:val="nil"/>
            </w:tcBorders>
            <w:shd w:val="clear" w:color="auto" w:fill="auto"/>
            <w:noWrap/>
            <w:vAlign w:val="center"/>
          </w:tcPr>
          <w:p w14:paraId="161B84CB">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0.009</w:t>
            </w:r>
          </w:p>
        </w:tc>
        <w:tc>
          <w:tcPr>
            <w:tcW w:w="0" w:type="auto"/>
            <w:tcBorders>
              <w:top w:val="nil"/>
              <w:left w:val="nil"/>
              <w:bottom w:val="single" w:color="000000" w:sz="12" w:space="0"/>
              <w:right w:val="nil"/>
            </w:tcBorders>
            <w:shd w:val="clear" w:color="auto" w:fill="auto"/>
            <w:noWrap/>
            <w:vAlign w:val="center"/>
          </w:tcPr>
          <w:p w14:paraId="4983765A">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(1.01–1.09)</w:t>
            </w:r>
          </w:p>
        </w:tc>
        <w:tc>
          <w:tcPr>
            <w:tcW w:w="0" w:type="auto"/>
            <w:tcBorders>
              <w:top w:val="nil"/>
              <w:left w:val="nil"/>
              <w:bottom w:val="single" w:color="000000" w:sz="12" w:space="0"/>
              <w:right w:val="nil"/>
            </w:tcBorders>
            <w:shd w:val="clear" w:color="auto" w:fill="auto"/>
            <w:noWrap/>
            <w:vAlign w:val="center"/>
          </w:tcPr>
          <w:p w14:paraId="655EC047">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w:t>
            </w:r>
          </w:p>
        </w:tc>
      </w:tr>
      <w:tr w14:paraId="12A30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4" w:hRule="atLeast"/>
        </w:trPr>
        <w:tc>
          <w:tcPr>
            <w:tcW w:w="13074" w:type="dxa"/>
            <w:gridSpan w:val="7"/>
            <w:tcBorders>
              <w:top w:val="nil"/>
              <w:left w:val="nil"/>
              <w:bottom w:val="nil"/>
              <w:right w:val="nil"/>
            </w:tcBorders>
            <w:shd w:val="clear" w:color="auto" w:fill="auto"/>
            <w:vAlign w:val="center"/>
          </w:tcPr>
          <w:p w14:paraId="3D4102DC">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ΔTyG-CVAI was calculated as TyG-CVAI2015 − TyG-CVAI2011 and standardized before Cox regression; HRs are interpreted per 1-SD increase. Model 1 was unadjusted. Model 2 was adjusted for age and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Model 3 was adjusted for age,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marital status, educational level, residence, smoking status, </w:t>
            </w:r>
            <w:r>
              <w:rPr>
                <w:rFonts w:hint="eastAsia" w:ascii="Times New Roman" w:hAnsi="Times New Roman" w:eastAsia="宋体" w:cs="Times New Roman"/>
                <w:i w:val="0"/>
                <w:iCs w:val="0"/>
                <w:color w:val="000000"/>
                <w:kern w:val="0"/>
                <w:sz w:val="24"/>
                <w:szCs w:val="24"/>
                <w:u w:val="none"/>
                <w:lang w:val="en-US" w:eastAsia="zh-CN" w:bidi="ar"/>
              </w:rPr>
              <w:t>drinking status</w:t>
            </w:r>
            <w:r>
              <w:rPr>
                <w:rFonts w:hint="default" w:ascii="Times New Roman" w:hAnsi="Times New Roman" w:eastAsia="宋体" w:cs="Times New Roman"/>
                <w:i w:val="0"/>
                <w:iCs w:val="0"/>
                <w:color w:val="000000"/>
                <w:kern w:val="0"/>
                <w:sz w:val="24"/>
                <w:szCs w:val="24"/>
                <w:u w:val="none"/>
                <w:lang w:val="en-US" w:eastAsia="zh-CN" w:bidi="ar"/>
              </w:rPr>
              <w:t>, cancer, liver disease and kidney disease. Baseline-adjusted models were additionally adjusted for baseline TyG-CVAI in 2011. HR, hazard ratio; CI, confidence interval; CVD, cardiovascular disease; TyG-CVAI, triglyceride glucose–Chinese visceral adiposity index.</w:t>
            </w:r>
          </w:p>
        </w:tc>
      </w:tr>
    </w:tbl>
    <w:p w14:paraId="173A6787">
      <w:pPr>
        <w:rPr>
          <w:rFonts w:ascii="Times New Roman" w:hAnsi="Times New Roman" w:eastAsia="宋体" w:cs="Times New Roman"/>
          <w:color w:val="000000"/>
          <w:kern w:val="0"/>
          <w:szCs w:val="21"/>
          <w:lang w:bidi="ar"/>
        </w:rPr>
      </w:pPr>
    </w:p>
    <w:p w14:paraId="290DFEA0">
      <w:pPr>
        <w:rPr>
          <w:rFonts w:ascii="Times New Roman" w:hAnsi="Times New Roman" w:eastAsia="宋体" w:cs="Times New Roman"/>
          <w:color w:val="000000"/>
          <w:kern w:val="0"/>
          <w:szCs w:val="21"/>
          <w:lang w:bidi="ar"/>
        </w:rPr>
      </w:pPr>
    </w:p>
    <w:p w14:paraId="01BE8229">
      <w:pPr>
        <w:rPr>
          <w:rFonts w:ascii="Times New Roman" w:hAnsi="Times New Roman" w:eastAsia="宋体" w:cs="Times New Roman"/>
          <w:color w:val="000000"/>
          <w:kern w:val="0"/>
          <w:szCs w:val="21"/>
          <w:lang w:bidi="ar"/>
        </w:rPr>
      </w:pPr>
    </w:p>
    <w:p w14:paraId="05CEF13F">
      <w:pPr>
        <w:rPr>
          <w:rFonts w:ascii="Times New Roman" w:hAnsi="Times New Roman" w:eastAsia="宋体" w:cs="Times New Roman"/>
          <w:color w:val="000000"/>
          <w:kern w:val="0"/>
          <w:szCs w:val="21"/>
          <w:lang w:bidi="ar"/>
        </w:rPr>
      </w:pPr>
    </w:p>
    <w:p w14:paraId="7698A62E">
      <w:pPr>
        <w:rPr>
          <w:rFonts w:ascii="Times New Roman" w:hAnsi="Times New Roman" w:eastAsia="宋体" w:cs="Times New Roman"/>
          <w:color w:val="000000"/>
          <w:kern w:val="0"/>
          <w:szCs w:val="21"/>
          <w:lang w:bidi="ar"/>
        </w:rPr>
      </w:pPr>
    </w:p>
    <w:p w14:paraId="4D9A76B8">
      <w:pPr>
        <w:rPr>
          <w:rFonts w:ascii="Times New Roman" w:hAnsi="Times New Roman" w:eastAsia="宋体" w:cs="Times New Roman"/>
          <w:color w:val="000000"/>
          <w:kern w:val="0"/>
          <w:szCs w:val="21"/>
          <w:lang w:bidi="ar"/>
        </w:rPr>
      </w:pPr>
    </w:p>
    <w:p w14:paraId="1D48E929">
      <w:pPr>
        <w:rPr>
          <w:rFonts w:ascii="Times New Roman" w:hAnsi="Times New Roman" w:eastAsia="宋体" w:cs="Times New Roman"/>
          <w:color w:val="000000"/>
          <w:kern w:val="0"/>
          <w:szCs w:val="21"/>
          <w:lang w:bidi="ar"/>
        </w:rPr>
      </w:pPr>
    </w:p>
    <w:p w14:paraId="40AF9B3F">
      <w:pPr>
        <w:rPr>
          <w:rFonts w:hint="eastAsia"/>
        </w:rPr>
      </w:pPr>
    </w:p>
    <w:tbl>
      <w:tblPr>
        <w:tblStyle w:val="6"/>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37"/>
        <w:gridCol w:w="5414"/>
        <w:gridCol w:w="5423"/>
      </w:tblGrid>
      <w:tr w14:paraId="695BE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14174" w:type="dxa"/>
            <w:gridSpan w:val="3"/>
            <w:tcBorders>
              <w:top w:val="nil"/>
              <w:left w:val="nil"/>
              <w:bottom w:val="nil"/>
              <w:right w:val="nil"/>
            </w:tcBorders>
            <w:shd w:val="clear" w:color="auto" w:fill="auto"/>
            <w:vAlign w:val="center"/>
          </w:tcPr>
          <w:p w14:paraId="52F8AF50">
            <w:pPr>
              <w:pStyle w:val="2"/>
              <w:keepNext w:val="0"/>
              <w:keepLines w:val="0"/>
              <w:widowControl/>
              <w:suppressLineNumbers w:val="0"/>
              <w:snapToGrid w:val="0"/>
              <w:jc w:val="left"/>
              <w:textAlignment w:val="center"/>
              <w:rPr>
                <w:rFonts w:hint="default" w:ascii="Times New Roman" w:hAnsi="Times New Roman" w:eastAsia="宋体" w:cs="Times New Roman"/>
                <w:b/>
                <w:bCs/>
                <w:i w:val="0"/>
                <w:iCs w:val="0"/>
                <w:color w:val="000000"/>
                <w:sz w:val="24"/>
                <w:szCs w:val="24"/>
                <w:u w:val="none"/>
              </w:rPr>
            </w:pPr>
            <w:bookmarkStart w:id="12" w:name="_Toc3807"/>
            <w:bookmarkStart w:id="13" w:name="_Toc13508"/>
            <w:r>
              <w:rPr>
                <w:rFonts w:hint="default" w:ascii="Times New Roman" w:hAnsi="Times New Roman" w:cs="Times New Roman"/>
                <w:b/>
                <w:bCs/>
                <w:sz w:val="24"/>
                <w:szCs w:val="24"/>
              </w:rPr>
              <w:t>Table S7</w:t>
            </w:r>
            <w:bookmarkEnd w:id="12"/>
            <w:r>
              <w:rPr>
                <w:rFonts w:hint="default" w:ascii="Times New Roman" w:hAnsi="Times New Roman" w:cs="Times New Roman" w:eastAsiaTheme="minorEastAsia"/>
                <w:b/>
                <w:bCs/>
                <w:i w:val="0"/>
                <w:iCs w:val="0"/>
                <w:color w:val="000000"/>
                <w:kern w:val="2"/>
                <w:sz w:val="24"/>
                <w:szCs w:val="24"/>
                <w:u w:val="none"/>
                <w:lang w:val="en-US" w:eastAsia="zh-CN" w:bidi="ar"/>
              </w:rPr>
              <w:t xml:space="preserve">. </w:t>
            </w:r>
            <w:r>
              <w:rPr>
                <w:rFonts w:hint="default" w:ascii="Times New Roman" w:hAnsi="Times New Roman" w:cs="Times New Roman" w:eastAsiaTheme="minorEastAsia"/>
                <w:i w:val="0"/>
                <w:iCs w:val="0"/>
                <w:color w:val="000000"/>
                <w:kern w:val="2"/>
                <w:sz w:val="24"/>
                <w:szCs w:val="24"/>
                <w:u w:val="none"/>
                <w:lang w:val="en-US" w:eastAsia="zh-CN" w:bidi="ar"/>
              </w:rPr>
              <w:t>Sex-specific tertile cut-off values for baseline TyG-CVAI in 2011</w:t>
            </w:r>
            <w:bookmarkEnd w:id="13"/>
          </w:p>
        </w:tc>
      </w:tr>
      <w:tr w14:paraId="3703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37" w:type="dxa"/>
            <w:tcBorders>
              <w:top w:val="single" w:color="000000" w:sz="12" w:space="0"/>
              <w:left w:val="nil"/>
              <w:bottom w:val="single" w:color="000000" w:sz="8" w:space="0"/>
              <w:right w:val="nil"/>
            </w:tcBorders>
            <w:shd w:val="clear" w:color="auto" w:fill="auto"/>
            <w:noWrap/>
            <w:vAlign w:val="center"/>
          </w:tcPr>
          <w:p w14:paraId="0DD03074">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Sex</w:t>
            </w:r>
          </w:p>
        </w:tc>
        <w:tc>
          <w:tcPr>
            <w:tcW w:w="5414" w:type="dxa"/>
            <w:tcBorders>
              <w:top w:val="single" w:color="000000" w:sz="12" w:space="0"/>
              <w:left w:val="nil"/>
              <w:bottom w:val="single" w:color="000000" w:sz="8" w:space="0"/>
              <w:right w:val="nil"/>
            </w:tcBorders>
            <w:shd w:val="clear" w:color="auto" w:fill="auto"/>
            <w:noWrap/>
            <w:vAlign w:val="center"/>
          </w:tcPr>
          <w:p w14:paraId="76F48B60">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T1/T2 cut-off</w:t>
            </w:r>
          </w:p>
        </w:tc>
        <w:tc>
          <w:tcPr>
            <w:tcW w:w="5423" w:type="dxa"/>
            <w:tcBorders>
              <w:top w:val="single" w:color="000000" w:sz="12" w:space="0"/>
              <w:left w:val="nil"/>
              <w:bottom w:val="single" w:color="000000" w:sz="8" w:space="0"/>
              <w:right w:val="nil"/>
            </w:tcBorders>
            <w:shd w:val="clear" w:color="auto" w:fill="auto"/>
            <w:noWrap/>
            <w:vAlign w:val="center"/>
          </w:tcPr>
          <w:p w14:paraId="254DEFB1">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T2/T3 cut-off</w:t>
            </w:r>
          </w:p>
        </w:tc>
      </w:tr>
      <w:tr w14:paraId="36E2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jc w:val="center"/>
        </w:trPr>
        <w:tc>
          <w:tcPr>
            <w:tcW w:w="3337" w:type="dxa"/>
            <w:tcBorders>
              <w:top w:val="nil"/>
              <w:left w:val="nil"/>
              <w:bottom w:val="nil"/>
              <w:right w:val="nil"/>
            </w:tcBorders>
            <w:shd w:val="clear" w:color="auto" w:fill="auto"/>
            <w:noWrap/>
            <w:vAlign w:val="center"/>
          </w:tcPr>
          <w:p w14:paraId="64AD2F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Male</w:t>
            </w:r>
          </w:p>
        </w:tc>
        <w:tc>
          <w:tcPr>
            <w:tcW w:w="5414" w:type="dxa"/>
            <w:tcBorders>
              <w:top w:val="nil"/>
              <w:left w:val="nil"/>
              <w:bottom w:val="nil"/>
              <w:right w:val="nil"/>
            </w:tcBorders>
            <w:shd w:val="clear" w:color="auto" w:fill="auto"/>
            <w:noWrap/>
            <w:vAlign w:val="center"/>
          </w:tcPr>
          <w:p w14:paraId="1945DC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566.8</w:t>
            </w:r>
          </w:p>
        </w:tc>
        <w:tc>
          <w:tcPr>
            <w:tcW w:w="5423" w:type="dxa"/>
            <w:tcBorders>
              <w:top w:val="nil"/>
              <w:left w:val="nil"/>
              <w:bottom w:val="nil"/>
              <w:right w:val="nil"/>
            </w:tcBorders>
            <w:shd w:val="clear" w:color="auto" w:fill="auto"/>
            <w:noWrap/>
            <w:vAlign w:val="center"/>
          </w:tcPr>
          <w:p w14:paraId="352C5D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929.364</w:t>
            </w:r>
          </w:p>
        </w:tc>
      </w:tr>
      <w:tr w14:paraId="67DB6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jc w:val="center"/>
        </w:trPr>
        <w:tc>
          <w:tcPr>
            <w:tcW w:w="3337" w:type="dxa"/>
            <w:tcBorders>
              <w:top w:val="nil"/>
              <w:left w:val="nil"/>
              <w:bottom w:val="single" w:color="000000" w:sz="12" w:space="0"/>
              <w:right w:val="nil"/>
            </w:tcBorders>
            <w:shd w:val="clear" w:color="auto" w:fill="auto"/>
            <w:noWrap/>
            <w:vAlign w:val="center"/>
          </w:tcPr>
          <w:p w14:paraId="411378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Female</w:t>
            </w:r>
          </w:p>
        </w:tc>
        <w:tc>
          <w:tcPr>
            <w:tcW w:w="5414" w:type="dxa"/>
            <w:tcBorders>
              <w:top w:val="nil"/>
              <w:left w:val="nil"/>
              <w:bottom w:val="single" w:color="000000" w:sz="12" w:space="0"/>
              <w:right w:val="nil"/>
            </w:tcBorders>
            <w:shd w:val="clear" w:color="auto" w:fill="auto"/>
            <w:noWrap/>
            <w:vAlign w:val="center"/>
          </w:tcPr>
          <w:p w14:paraId="5CEAAC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670.335</w:t>
            </w:r>
          </w:p>
        </w:tc>
        <w:tc>
          <w:tcPr>
            <w:tcW w:w="5423" w:type="dxa"/>
            <w:tcBorders>
              <w:top w:val="nil"/>
              <w:left w:val="nil"/>
              <w:bottom w:val="single" w:color="000000" w:sz="12" w:space="0"/>
              <w:right w:val="nil"/>
            </w:tcBorders>
            <w:shd w:val="clear" w:color="auto" w:fill="auto"/>
            <w:noWrap/>
            <w:vAlign w:val="center"/>
          </w:tcPr>
          <w:p w14:paraId="485479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964.838</w:t>
            </w:r>
          </w:p>
        </w:tc>
      </w:tr>
      <w:tr w14:paraId="2ACBB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 w:hRule="atLeast"/>
          <w:jc w:val="center"/>
        </w:trPr>
        <w:tc>
          <w:tcPr>
            <w:tcW w:w="14174" w:type="dxa"/>
            <w:gridSpan w:val="3"/>
            <w:tcBorders>
              <w:top w:val="nil"/>
              <w:left w:val="nil"/>
              <w:bottom w:val="nil"/>
              <w:right w:val="nil"/>
            </w:tcBorders>
            <w:shd w:val="clear" w:color="auto" w:fill="auto"/>
            <w:vAlign w:val="center"/>
          </w:tcPr>
          <w:p w14:paraId="3679F093">
            <w:pPr>
              <w:keepNext w:val="0"/>
              <w:keepLines w:val="0"/>
              <w:pageBreakBefore w:val="0"/>
              <w:widowControl/>
              <w:suppressLineNumbers w:val="0"/>
              <w:kinsoku/>
              <w:wordWrap/>
              <w:overflowPunct/>
              <w:topLinePunct w:val="0"/>
              <w:autoSpaceDE/>
              <w:autoSpaceDN/>
              <w:bidi w:val="0"/>
              <w:adjustRightInd/>
              <w:snapToGrid w:val="0"/>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Sex-specific tertile cut-off values were derived from the 2011 baseline TyG-CVAI distribution and applied to both 2011 and 2015 TyG-CVAI values to construct tertile-based transition patterns. TyG-CVAI, triglyceride glucose–Chinese visceral adiposity index.</w:t>
            </w:r>
          </w:p>
        </w:tc>
      </w:tr>
    </w:tbl>
    <w:p w14:paraId="2F9AD03E">
      <w:pPr>
        <w:rPr>
          <w:rFonts w:ascii="Times New Roman" w:hAnsi="Times New Roman" w:eastAsia="宋体" w:cs="Times New Roman"/>
          <w:color w:val="000000"/>
          <w:kern w:val="0"/>
          <w:szCs w:val="21"/>
          <w:lang w:bidi="ar"/>
        </w:rPr>
      </w:pPr>
    </w:p>
    <w:p w14:paraId="225CCC41">
      <w:pPr>
        <w:rPr>
          <w:rFonts w:ascii="Times New Roman" w:hAnsi="Times New Roman" w:eastAsia="宋体" w:cs="Times New Roman"/>
          <w:color w:val="000000"/>
          <w:kern w:val="0"/>
          <w:szCs w:val="21"/>
          <w:lang w:bidi="ar"/>
        </w:rPr>
        <w:sectPr>
          <w:pgSz w:w="16838" w:h="11906" w:orient="landscape"/>
          <w:pgMar w:top="1800" w:right="1440" w:bottom="1800" w:left="1440" w:header="851" w:footer="992" w:gutter="0"/>
          <w:cols w:space="425" w:num="1"/>
          <w:docGrid w:type="lines" w:linePitch="312" w:charSpace="0"/>
        </w:sectPr>
      </w:pPr>
    </w:p>
    <w:tbl>
      <w:tblPr>
        <w:tblStyle w:val="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2"/>
        <w:gridCol w:w="1655"/>
        <w:gridCol w:w="1585"/>
        <w:gridCol w:w="1928"/>
        <w:gridCol w:w="1168"/>
        <w:gridCol w:w="1928"/>
        <w:gridCol w:w="1168"/>
        <w:gridCol w:w="1928"/>
        <w:gridCol w:w="1182"/>
      </w:tblGrid>
      <w:tr w14:paraId="40AC2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5000" w:type="pct"/>
            <w:gridSpan w:val="9"/>
            <w:tcBorders>
              <w:top w:val="nil"/>
              <w:left w:val="nil"/>
              <w:bottom w:val="nil"/>
              <w:right w:val="nil"/>
            </w:tcBorders>
            <w:shd w:val="clear" w:color="auto" w:fill="auto"/>
            <w:noWrap/>
            <w:vAlign w:val="center"/>
          </w:tcPr>
          <w:p w14:paraId="6803299E">
            <w:pPr>
              <w:pStyle w:val="2"/>
              <w:keepNext w:val="0"/>
              <w:keepLines w:val="0"/>
              <w:widowControl/>
              <w:suppressLineNumbers w:val="0"/>
              <w:snapToGrid w:val="0"/>
              <w:jc w:val="left"/>
              <w:textAlignment w:val="center"/>
              <w:rPr>
                <w:rFonts w:hint="default" w:ascii="Times New Roman" w:hAnsi="Times New Roman" w:eastAsia="宋体" w:cs="Times New Roman"/>
                <w:b/>
                <w:bCs/>
                <w:i w:val="0"/>
                <w:iCs w:val="0"/>
                <w:color w:val="000000"/>
                <w:sz w:val="21"/>
                <w:szCs w:val="24"/>
                <w:u w:val="none"/>
              </w:rPr>
            </w:pPr>
            <w:bookmarkStart w:id="14" w:name="_Toc16680"/>
            <w:bookmarkStart w:id="15" w:name="_Toc6558"/>
            <w:r>
              <w:rPr>
                <w:b/>
                <w:bCs/>
              </w:rPr>
              <w:t>Table S8</w:t>
            </w:r>
            <w:bookmarkEnd w:id="14"/>
            <w:r>
              <w:rPr>
                <w:rFonts w:hint="default" w:asciiTheme="minorAscii" w:hAnsiTheme="minorAscii" w:eastAsiaTheme="minorEastAsia" w:cstheme="minorBidi"/>
                <w:b/>
                <w:bCs/>
                <w:i w:val="0"/>
                <w:iCs w:val="0"/>
                <w:color w:val="000000"/>
                <w:kern w:val="2"/>
                <w:sz w:val="21"/>
                <w:szCs w:val="24"/>
                <w:u w:val="none"/>
                <w:lang w:val="en-US" w:eastAsia="zh-CN" w:bidi="ar"/>
              </w:rPr>
              <w:t>.</w:t>
            </w:r>
            <w:r>
              <w:rPr>
                <w:rFonts w:hint="default"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Sensitivity analysis using simplified five-category tertile-based TyG-CVAI transition patterns and new-onset CVD risk</w:t>
            </w:r>
            <w:bookmarkEnd w:id="15"/>
          </w:p>
        </w:tc>
      </w:tr>
      <w:tr w14:paraId="4720D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vMerge w:val="restart"/>
            <w:tcBorders>
              <w:top w:val="single" w:color="000000" w:sz="12" w:space="0"/>
              <w:left w:val="nil"/>
              <w:bottom w:val="single" w:color="000000" w:sz="8" w:space="0"/>
              <w:right w:val="nil"/>
            </w:tcBorders>
            <w:shd w:val="clear" w:color="auto" w:fill="auto"/>
            <w:noWrap/>
            <w:vAlign w:val="center"/>
          </w:tcPr>
          <w:p w14:paraId="64F01366">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Variable</w:t>
            </w:r>
          </w:p>
        </w:tc>
        <w:tc>
          <w:tcPr>
            <w:tcW w:w="584" w:type="pct"/>
            <w:vMerge w:val="restart"/>
            <w:tcBorders>
              <w:top w:val="single" w:color="000000" w:sz="12" w:space="0"/>
              <w:left w:val="nil"/>
              <w:bottom w:val="single" w:color="000000" w:sz="8" w:space="0"/>
              <w:right w:val="nil"/>
            </w:tcBorders>
            <w:shd w:val="clear" w:color="auto" w:fill="auto"/>
            <w:noWrap/>
            <w:vAlign w:val="center"/>
          </w:tcPr>
          <w:p w14:paraId="46EB9220">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Total number</w:t>
            </w:r>
          </w:p>
        </w:tc>
        <w:tc>
          <w:tcPr>
            <w:tcW w:w="559" w:type="pct"/>
            <w:vMerge w:val="restart"/>
            <w:tcBorders>
              <w:top w:val="single" w:color="000000" w:sz="12" w:space="0"/>
              <w:left w:val="nil"/>
              <w:bottom w:val="single" w:color="000000" w:sz="8" w:space="0"/>
              <w:right w:val="nil"/>
            </w:tcBorders>
            <w:shd w:val="clear" w:color="auto" w:fill="auto"/>
            <w:noWrap/>
            <w:vAlign w:val="center"/>
          </w:tcPr>
          <w:p w14:paraId="538F26E2">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Events, n(%)</w:t>
            </w:r>
          </w:p>
        </w:tc>
        <w:tc>
          <w:tcPr>
            <w:tcW w:w="1092" w:type="pct"/>
            <w:gridSpan w:val="2"/>
            <w:tcBorders>
              <w:top w:val="single" w:color="000000" w:sz="12" w:space="0"/>
              <w:left w:val="nil"/>
              <w:bottom w:val="single" w:color="000000" w:sz="8" w:space="0"/>
              <w:right w:val="nil"/>
            </w:tcBorders>
            <w:shd w:val="clear" w:color="auto" w:fill="auto"/>
            <w:noWrap/>
            <w:vAlign w:val="center"/>
          </w:tcPr>
          <w:p w14:paraId="53C4E6BC">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1</w:t>
            </w:r>
          </w:p>
        </w:tc>
        <w:tc>
          <w:tcPr>
            <w:tcW w:w="1092" w:type="pct"/>
            <w:gridSpan w:val="2"/>
            <w:tcBorders>
              <w:top w:val="single" w:color="000000" w:sz="12" w:space="0"/>
              <w:left w:val="nil"/>
              <w:bottom w:val="single" w:color="000000" w:sz="8" w:space="0"/>
              <w:right w:val="nil"/>
            </w:tcBorders>
            <w:shd w:val="clear" w:color="auto" w:fill="auto"/>
            <w:noWrap/>
            <w:vAlign w:val="center"/>
          </w:tcPr>
          <w:p w14:paraId="08873E46">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2</w:t>
            </w:r>
          </w:p>
        </w:tc>
        <w:tc>
          <w:tcPr>
            <w:tcW w:w="1094" w:type="pct"/>
            <w:gridSpan w:val="2"/>
            <w:tcBorders>
              <w:top w:val="single" w:color="000000" w:sz="12" w:space="0"/>
              <w:left w:val="nil"/>
              <w:bottom w:val="single" w:color="000000" w:sz="8" w:space="0"/>
              <w:right w:val="nil"/>
            </w:tcBorders>
            <w:shd w:val="clear" w:color="auto" w:fill="auto"/>
            <w:noWrap/>
            <w:vAlign w:val="center"/>
          </w:tcPr>
          <w:p w14:paraId="2932116D">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3</w:t>
            </w:r>
          </w:p>
        </w:tc>
      </w:tr>
      <w:tr w14:paraId="52B7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vMerge w:val="continue"/>
            <w:tcBorders>
              <w:top w:val="single" w:color="000000" w:sz="12" w:space="0"/>
              <w:left w:val="nil"/>
              <w:bottom w:val="single" w:color="000000" w:sz="8" w:space="0"/>
              <w:right w:val="nil"/>
            </w:tcBorders>
            <w:shd w:val="clear" w:color="auto" w:fill="auto"/>
            <w:noWrap/>
            <w:vAlign w:val="center"/>
          </w:tcPr>
          <w:p w14:paraId="3AA009CF">
            <w:pPr>
              <w:snapToGrid w:val="0"/>
              <w:spacing w:line="360" w:lineRule="auto"/>
              <w:jc w:val="center"/>
              <w:rPr>
                <w:rFonts w:hint="default" w:ascii="Times New Roman" w:hAnsi="Times New Roman" w:eastAsia="宋体" w:cs="Times New Roman"/>
                <w:b/>
                <w:bCs/>
                <w:i w:val="0"/>
                <w:iCs w:val="0"/>
                <w:color w:val="000000"/>
                <w:sz w:val="24"/>
                <w:szCs w:val="24"/>
                <w:u w:val="none"/>
              </w:rPr>
            </w:pPr>
          </w:p>
        </w:tc>
        <w:tc>
          <w:tcPr>
            <w:tcW w:w="584" w:type="pct"/>
            <w:vMerge w:val="continue"/>
            <w:tcBorders>
              <w:top w:val="single" w:color="000000" w:sz="12" w:space="0"/>
              <w:left w:val="nil"/>
              <w:bottom w:val="single" w:color="000000" w:sz="8" w:space="0"/>
              <w:right w:val="nil"/>
            </w:tcBorders>
            <w:shd w:val="clear" w:color="auto" w:fill="auto"/>
            <w:noWrap/>
            <w:vAlign w:val="center"/>
          </w:tcPr>
          <w:p w14:paraId="2E13E1A3">
            <w:pPr>
              <w:snapToGrid w:val="0"/>
              <w:spacing w:line="360" w:lineRule="auto"/>
              <w:jc w:val="center"/>
              <w:rPr>
                <w:rFonts w:hint="default" w:ascii="Times New Roman" w:hAnsi="Times New Roman" w:eastAsia="宋体" w:cs="Times New Roman"/>
                <w:b/>
                <w:bCs/>
                <w:i w:val="0"/>
                <w:iCs w:val="0"/>
                <w:color w:val="000000"/>
                <w:sz w:val="24"/>
                <w:szCs w:val="24"/>
                <w:u w:val="none"/>
              </w:rPr>
            </w:pPr>
          </w:p>
        </w:tc>
        <w:tc>
          <w:tcPr>
            <w:tcW w:w="559" w:type="pct"/>
            <w:vMerge w:val="continue"/>
            <w:tcBorders>
              <w:top w:val="single" w:color="000000" w:sz="12" w:space="0"/>
              <w:left w:val="nil"/>
              <w:bottom w:val="single" w:color="000000" w:sz="8" w:space="0"/>
              <w:right w:val="nil"/>
            </w:tcBorders>
            <w:shd w:val="clear" w:color="auto" w:fill="auto"/>
            <w:noWrap/>
            <w:vAlign w:val="center"/>
          </w:tcPr>
          <w:p w14:paraId="167E8A03">
            <w:pPr>
              <w:snapToGrid w:val="0"/>
              <w:spacing w:line="360" w:lineRule="auto"/>
              <w:jc w:val="center"/>
              <w:rPr>
                <w:rFonts w:hint="default" w:ascii="Times New Roman" w:hAnsi="Times New Roman" w:eastAsia="宋体" w:cs="Times New Roman"/>
                <w:b/>
                <w:bCs/>
                <w:i w:val="0"/>
                <w:iCs w:val="0"/>
                <w:color w:val="000000"/>
                <w:sz w:val="24"/>
                <w:szCs w:val="24"/>
                <w:u w:val="none"/>
              </w:rPr>
            </w:pPr>
          </w:p>
        </w:tc>
        <w:tc>
          <w:tcPr>
            <w:tcW w:w="680" w:type="pct"/>
            <w:tcBorders>
              <w:top w:val="nil"/>
              <w:left w:val="nil"/>
              <w:bottom w:val="single" w:color="000000" w:sz="8" w:space="0"/>
              <w:right w:val="nil"/>
            </w:tcBorders>
            <w:shd w:val="clear" w:color="auto" w:fill="auto"/>
            <w:noWrap/>
            <w:vAlign w:val="center"/>
          </w:tcPr>
          <w:p w14:paraId="54AAE41E">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412" w:type="pct"/>
            <w:tcBorders>
              <w:top w:val="nil"/>
              <w:left w:val="nil"/>
              <w:bottom w:val="single" w:color="000000" w:sz="8" w:space="0"/>
              <w:right w:val="nil"/>
            </w:tcBorders>
            <w:shd w:val="clear" w:color="auto" w:fill="auto"/>
            <w:noWrap/>
            <w:vAlign w:val="center"/>
          </w:tcPr>
          <w:p w14:paraId="29ABFA34">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Style w:val="16"/>
                <w:rFonts w:eastAsia="宋体"/>
                <w:sz w:val="24"/>
                <w:szCs w:val="24"/>
                <w:lang w:val="en-US" w:eastAsia="zh-CN" w:bidi="ar"/>
              </w:rPr>
              <w:t>P  value</w:t>
            </w:r>
          </w:p>
        </w:tc>
        <w:tc>
          <w:tcPr>
            <w:tcW w:w="680" w:type="pct"/>
            <w:tcBorders>
              <w:top w:val="nil"/>
              <w:left w:val="nil"/>
              <w:bottom w:val="single" w:color="000000" w:sz="8" w:space="0"/>
              <w:right w:val="nil"/>
            </w:tcBorders>
            <w:shd w:val="clear" w:color="auto" w:fill="auto"/>
            <w:noWrap/>
            <w:vAlign w:val="center"/>
          </w:tcPr>
          <w:p w14:paraId="294DADB7">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412" w:type="pct"/>
            <w:tcBorders>
              <w:top w:val="nil"/>
              <w:left w:val="nil"/>
              <w:bottom w:val="single" w:color="000000" w:sz="8" w:space="0"/>
              <w:right w:val="nil"/>
            </w:tcBorders>
            <w:shd w:val="clear" w:color="auto" w:fill="auto"/>
            <w:noWrap/>
            <w:vAlign w:val="center"/>
          </w:tcPr>
          <w:p w14:paraId="6678044B">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Style w:val="16"/>
                <w:rFonts w:eastAsia="宋体"/>
                <w:sz w:val="24"/>
                <w:szCs w:val="24"/>
                <w:lang w:val="en-US" w:eastAsia="zh-CN" w:bidi="ar"/>
              </w:rPr>
              <w:t>P  value</w:t>
            </w:r>
          </w:p>
        </w:tc>
        <w:tc>
          <w:tcPr>
            <w:tcW w:w="680" w:type="pct"/>
            <w:tcBorders>
              <w:top w:val="nil"/>
              <w:left w:val="nil"/>
              <w:bottom w:val="single" w:color="000000" w:sz="8" w:space="0"/>
              <w:right w:val="nil"/>
            </w:tcBorders>
            <w:shd w:val="clear" w:color="auto" w:fill="auto"/>
            <w:noWrap/>
            <w:vAlign w:val="center"/>
          </w:tcPr>
          <w:p w14:paraId="556B62EE">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414" w:type="pct"/>
            <w:tcBorders>
              <w:top w:val="nil"/>
              <w:left w:val="nil"/>
              <w:bottom w:val="single" w:color="000000" w:sz="8" w:space="0"/>
              <w:right w:val="nil"/>
            </w:tcBorders>
            <w:shd w:val="clear" w:color="auto" w:fill="auto"/>
            <w:noWrap/>
            <w:vAlign w:val="center"/>
          </w:tcPr>
          <w:p w14:paraId="63AA65F5">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Style w:val="16"/>
                <w:rFonts w:eastAsia="宋体"/>
                <w:sz w:val="24"/>
                <w:szCs w:val="24"/>
                <w:lang w:val="en-US" w:eastAsia="zh-CN" w:bidi="ar"/>
              </w:rPr>
              <w:t>P  value</w:t>
            </w:r>
          </w:p>
        </w:tc>
      </w:tr>
      <w:tr w14:paraId="47937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tcBorders>
              <w:top w:val="nil"/>
              <w:left w:val="nil"/>
              <w:bottom w:val="nil"/>
              <w:right w:val="nil"/>
            </w:tcBorders>
            <w:shd w:val="clear" w:color="auto" w:fill="auto"/>
            <w:noWrap/>
            <w:vAlign w:val="center"/>
          </w:tcPr>
          <w:p w14:paraId="4498D5D0">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Stable low</w:t>
            </w:r>
          </w:p>
        </w:tc>
        <w:tc>
          <w:tcPr>
            <w:tcW w:w="584" w:type="pct"/>
            <w:tcBorders>
              <w:top w:val="nil"/>
              <w:left w:val="nil"/>
              <w:bottom w:val="nil"/>
              <w:right w:val="nil"/>
            </w:tcBorders>
            <w:shd w:val="clear" w:color="auto" w:fill="auto"/>
            <w:noWrap/>
            <w:vAlign w:val="center"/>
          </w:tcPr>
          <w:p w14:paraId="46402CA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w:t>
            </w:r>
          </w:p>
        </w:tc>
        <w:tc>
          <w:tcPr>
            <w:tcW w:w="559" w:type="pct"/>
            <w:tcBorders>
              <w:top w:val="nil"/>
              <w:left w:val="nil"/>
              <w:bottom w:val="nil"/>
              <w:right w:val="nil"/>
            </w:tcBorders>
            <w:shd w:val="clear" w:color="auto" w:fill="auto"/>
            <w:noWrap/>
            <w:vAlign w:val="center"/>
          </w:tcPr>
          <w:p w14:paraId="0F5E861B">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111(12.9%)</w:t>
            </w:r>
          </w:p>
        </w:tc>
        <w:tc>
          <w:tcPr>
            <w:tcW w:w="680" w:type="pct"/>
            <w:tcBorders>
              <w:top w:val="nil"/>
              <w:left w:val="nil"/>
              <w:bottom w:val="nil"/>
              <w:right w:val="nil"/>
            </w:tcBorders>
            <w:shd w:val="clear" w:color="auto" w:fill="auto"/>
            <w:noWrap/>
            <w:vAlign w:val="center"/>
          </w:tcPr>
          <w:p w14:paraId="5947C8E0">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412" w:type="pct"/>
            <w:tcBorders>
              <w:top w:val="nil"/>
              <w:left w:val="nil"/>
              <w:bottom w:val="nil"/>
              <w:right w:val="nil"/>
            </w:tcBorders>
            <w:shd w:val="clear" w:color="auto" w:fill="auto"/>
            <w:noWrap/>
            <w:vAlign w:val="center"/>
          </w:tcPr>
          <w:p w14:paraId="01264653">
            <w:pPr>
              <w:snapToGrid w:val="0"/>
              <w:spacing w:line="360" w:lineRule="auto"/>
              <w:jc w:val="center"/>
              <w:rPr>
                <w:rFonts w:hint="default" w:ascii="Times New Roman" w:hAnsi="Times New Roman" w:eastAsia="宋体" w:cs="Times New Roman"/>
                <w:i w:val="0"/>
                <w:iCs w:val="0"/>
                <w:color w:val="000000"/>
                <w:sz w:val="24"/>
                <w:szCs w:val="24"/>
                <w:u w:val="none"/>
              </w:rPr>
            </w:pPr>
          </w:p>
        </w:tc>
        <w:tc>
          <w:tcPr>
            <w:tcW w:w="680" w:type="pct"/>
            <w:tcBorders>
              <w:top w:val="nil"/>
              <w:left w:val="nil"/>
              <w:bottom w:val="nil"/>
              <w:right w:val="nil"/>
            </w:tcBorders>
            <w:shd w:val="clear" w:color="auto" w:fill="auto"/>
            <w:noWrap/>
            <w:vAlign w:val="center"/>
          </w:tcPr>
          <w:p w14:paraId="3435415C">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412" w:type="pct"/>
            <w:tcBorders>
              <w:top w:val="nil"/>
              <w:left w:val="nil"/>
              <w:bottom w:val="nil"/>
              <w:right w:val="nil"/>
            </w:tcBorders>
            <w:shd w:val="clear" w:color="auto" w:fill="auto"/>
            <w:noWrap/>
            <w:vAlign w:val="center"/>
          </w:tcPr>
          <w:p w14:paraId="29BBA2AF">
            <w:pPr>
              <w:snapToGrid w:val="0"/>
              <w:spacing w:line="360" w:lineRule="auto"/>
              <w:jc w:val="center"/>
              <w:rPr>
                <w:rFonts w:hint="default" w:ascii="Times New Roman" w:hAnsi="Times New Roman" w:eastAsia="宋体" w:cs="Times New Roman"/>
                <w:i w:val="0"/>
                <w:iCs w:val="0"/>
                <w:color w:val="000000"/>
                <w:sz w:val="24"/>
                <w:szCs w:val="24"/>
                <w:u w:val="none"/>
              </w:rPr>
            </w:pPr>
          </w:p>
        </w:tc>
        <w:tc>
          <w:tcPr>
            <w:tcW w:w="680" w:type="pct"/>
            <w:tcBorders>
              <w:top w:val="nil"/>
              <w:left w:val="nil"/>
              <w:bottom w:val="nil"/>
              <w:right w:val="nil"/>
            </w:tcBorders>
            <w:shd w:val="clear" w:color="auto" w:fill="auto"/>
            <w:noWrap/>
            <w:vAlign w:val="center"/>
          </w:tcPr>
          <w:p w14:paraId="13F98C2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414" w:type="pct"/>
            <w:tcBorders>
              <w:top w:val="nil"/>
              <w:left w:val="nil"/>
              <w:bottom w:val="nil"/>
              <w:right w:val="nil"/>
            </w:tcBorders>
            <w:shd w:val="clear" w:color="auto" w:fill="auto"/>
            <w:noWrap/>
            <w:vAlign w:val="center"/>
          </w:tcPr>
          <w:p w14:paraId="38C0C07A">
            <w:pPr>
              <w:snapToGrid w:val="0"/>
              <w:spacing w:line="360" w:lineRule="auto"/>
              <w:jc w:val="center"/>
              <w:rPr>
                <w:rFonts w:hint="default" w:ascii="Times New Roman" w:hAnsi="Times New Roman" w:eastAsia="宋体" w:cs="Times New Roman"/>
                <w:i w:val="0"/>
                <w:iCs w:val="0"/>
                <w:color w:val="000000"/>
                <w:sz w:val="24"/>
                <w:szCs w:val="24"/>
                <w:u w:val="none"/>
              </w:rPr>
            </w:pPr>
          </w:p>
        </w:tc>
      </w:tr>
      <w:tr w14:paraId="1AE6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tcBorders>
              <w:top w:val="nil"/>
              <w:left w:val="nil"/>
              <w:bottom w:val="nil"/>
              <w:right w:val="nil"/>
            </w:tcBorders>
            <w:shd w:val="clear" w:color="auto" w:fill="auto"/>
            <w:noWrap/>
            <w:vAlign w:val="center"/>
          </w:tcPr>
          <w:p w14:paraId="0148DFBB">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Increasing</w:t>
            </w:r>
          </w:p>
        </w:tc>
        <w:tc>
          <w:tcPr>
            <w:tcW w:w="584" w:type="pct"/>
            <w:tcBorders>
              <w:top w:val="nil"/>
              <w:left w:val="nil"/>
              <w:bottom w:val="nil"/>
              <w:right w:val="nil"/>
            </w:tcBorders>
            <w:shd w:val="clear" w:color="auto" w:fill="auto"/>
            <w:noWrap/>
            <w:vAlign w:val="center"/>
          </w:tcPr>
          <w:p w14:paraId="3790071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1034</w:t>
            </w:r>
          </w:p>
        </w:tc>
        <w:tc>
          <w:tcPr>
            <w:tcW w:w="559" w:type="pct"/>
            <w:tcBorders>
              <w:top w:val="nil"/>
              <w:left w:val="nil"/>
              <w:bottom w:val="nil"/>
              <w:right w:val="nil"/>
            </w:tcBorders>
            <w:shd w:val="clear" w:color="auto" w:fill="auto"/>
            <w:noWrap/>
            <w:vAlign w:val="center"/>
          </w:tcPr>
          <w:p w14:paraId="73DC59F8">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198(19.1%)</w:t>
            </w:r>
          </w:p>
        </w:tc>
        <w:tc>
          <w:tcPr>
            <w:tcW w:w="680" w:type="pct"/>
            <w:tcBorders>
              <w:top w:val="nil"/>
              <w:left w:val="nil"/>
              <w:bottom w:val="nil"/>
              <w:right w:val="nil"/>
            </w:tcBorders>
            <w:shd w:val="clear" w:color="auto" w:fill="auto"/>
            <w:noWrap/>
            <w:vAlign w:val="center"/>
          </w:tcPr>
          <w:p w14:paraId="4F90ED2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 (1.22–1.94)</w:t>
            </w:r>
          </w:p>
        </w:tc>
        <w:tc>
          <w:tcPr>
            <w:tcW w:w="412" w:type="pct"/>
            <w:tcBorders>
              <w:top w:val="nil"/>
              <w:left w:val="nil"/>
              <w:bottom w:val="nil"/>
              <w:right w:val="nil"/>
            </w:tcBorders>
            <w:shd w:val="clear" w:color="auto" w:fill="auto"/>
            <w:noWrap/>
            <w:vAlign w:val="center"/>
          </w:tcPr>
          <w:p w14:paraId="6FBE3DB0">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680" w:type="pct"/>
            <w:tcBorders>
              <w:top w:val="nil"/>
              <w:left w:val="nil"/>
              <w:bottom w:val="nil"/>
              <w:right w:val="nil"/>
            </w:tcBorders>
            <w:shd w:val="clear" w:color="auto" w:fill="auto"/>
            <w:noWrap/>
            <w:vAlign w:val="center"/>
          </w:tcPr>
          <w:p w14:paraId="6A81292C">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 (1.18–1.88)</w:t>
            </w:r>
          </w:p>
        </w:tc>
        <w:tc>
          <w:tcPr>
            <w:tcW w:w="412" w:type="pct"/>
            <w:tcBorders>
              <w:top w:val="nil"/>
              <w:left w:val="nil"/>
              <w:bottom w:val="nil"/>
              <w:right w:val="nil"/>
            </w:tcBorders>
            <w:shd w:val="clear" w:color="auto" w:fill="auto"/>
            <w:noWrap/>
            <w:vAlign w:val="center"/>
          </w:tcPr>
          <w:p w14:paraId="027DCA8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680" w:type="pct"/>
            <w:tcBorders>
              <w:top w:val="nil"/>
              <w:left w:val="nil"/>
              <w:bottom w:val="nil"/>
              <w:right w:val="nil"/>
            </w:tcBorders>
            <w:shd w:val="clear" w:color="auto" w:fill="auto"/>
            <w:noWrap/>
            <w:vAlign w:val="center"/>
          </w:tcPr>
          <w:p w14:paraId="4B213F3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 (1.18–1.89)</w:t>
            </w:r>
          </w:p>
        </w:tc>
        <w:tc>
          <w:tcPr>
            <w:tcW w:w="414" w:type="pct"/>
            <w:tcBorders>
              <w:top w:val="nil"/>
              <w:left w:val="nil"/>
              <w:bottom w:val="nil"/>
              <w:right w:val="nil"/>
            </w:tcBorders>
            <w:shd w:val="clear" w:color="auto" w:fill="auto"/>
            <w:noWrap/>
            <w:vAlign w:val="center"/>
          </w:tcPr>
          <w:p w14:paraId="76C614A0">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7F791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tcBorders>
              <w:top w:val="nil"/>
              <w:left w:val="nil"/>
              <w:bottom w:val="nil"/>
              <w:right w:val="nil"/>
            </w:tcBorders>
            <w:shd w:val="clear" w:color="auto" w:fill="auto"/>
            <w:noWrap/>
            <w:vAlign w:val="center"/>
          </w:tcPr>
          <w:p w14:paraId="543314A1">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Decreasing</w:t>
            </w:r>
          </w:p>
        </w:tc>
        <w:tc>
          <w:tcPr>
            <w:tcW w:w="584" w:type="pct"/>
            <w:tcBorders>
              <w:top w:val="nil"/>
              <w:left w:val="nil"/>
              <w:bottom w:val="nil"/>
              <w:right w:val="nil"/>
            </w:tcBorders>
            <w:shd w:val="clear" w:color="auto" w:fill="auto"/>
            <w:noWrap/>
            <w:vAlign w:val="center"/>
          </w:tcPr>
          <w:p w14:paraId="01BD588F">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436</w:t>
            </w:r>
          </w:p>
        </w:tc>
        <w:tc>
          <w:tcPr>
            <w:tcW w:w="559" w:type="pct"/>
            <w:tcBorders>
              <w:top w:val="nil"/>
              <w:left w:val="nil"/>
              <w:bottom w:val="nil"/>
              <w:right w:val="nil"/>
            </w:tcBorders>
            <w:shd w:val="clear" w:color="auto" w:fill="auto"/>
            <w:noWrap/>
            <w:vAlign w:val="center"/>
          </w:tcPr>
          <w:p w14:paraId="5BC24DC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72(16.5%)</w:t>
            </w:r>
          </w:p>
        </w:tc>
        <w:tc>
          <w:tcPr>
            <w:tcW w:w="680" w:type="pct"/>
            <w:tcBorders>
              <w:top w:val="nil"/>
              <w:left w:val="nil"/>
              <w:bottom w:val="nil"/>
              <w:right w:val="nil"/>
            </w:tcBorders>
            <w:shd w:val="clear" w:color="auto" w:fill="auto"/>
            <w:noWrap/>
            <w:vAlign w:val="center"/>
          </w:tcPr>
          <w:p w14:paraId="11C63EA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 (0.98–1.77)</w:t>
            </w:r>
          </w:p>
        </w:tc>
        <w:tc>
          <w:tcPr>
            <w:tcW w:w="412" w:type="pct"/>
            <w:tcBorders>
              <w:top w:val="nil"/>
              <w:left w:val="nil"/>
              <w:bottom w:val="nil"/>
              <w:right w:val="nil"/>
            </w:tcBorders>
            <w:shd w:val="clear" w:color="auto" w:fill="auto"/>
            <w:noWrap/>
            <w:vAlign w:val="center"/>
          </w:tcPr>
          <w:p w14:paraId="1FF1889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0.073</w:t>
            </w:r>
          </w:p>
        </w:tc>
        <w:tc>
          <w:tcPr>
            <w:tcW w:w="680" w:type="pct"/>
            <w:tcBorders>
              <w:top w:val="nil"/>
              <w:left w:val="nil"/>
              <w:bottom w:val="nil"/>
              <w:right w:val="nil"/>
            </w:tcBorders>
            <w:shd w:val="clear" w:color="auto" w:fill="auto"/>
            <w:noWrap/>
            <w:vAlign w:val="center"/>
          </w:tcPr>
          <w:p w14:paraId="660439B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 (0.94–1.71)</w:t>
            </w:r>
          </w:p>
        </w:tc>
        <w:tc>
          <w:tcPr>
            <w:tcW w:w="412" w:type="pct"/>
            <w:tcBorders>
              <w:top w:val="nil"/>
              <w:left w:val="nil"/>
              <w:bottom w:val="nil"/>
              <w:right w:val="nil"/>
            </w:tcBorders>
            <w:shd w:val="clear" w:color="auto" w:fill="auto"/>
            <w:noWrap/>
            <w:vAlign w:val="center"/>
          </w:tcPr>
          <w:p w14:paraId="7D187205">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0.119</w:t>
            </w:r>
          </w:p>
        </w:tc>
        <w:tc>
          <w:tcPr>
            <w:tcW w:w="680" w:type="pct"/>
            <w:tcBorders>
              <w:top w:val="nil"/>
              <w:left w:val="nil"/>
              <w:bottom w:val="nil"/>
              <w:right w:val="nil"/>
            </w:tcBorders>
            <w:shd w:val="clear" w:color="auto" w:fill="auto"/>
            <w:noWrap/>
            <w:vAlign w:val="center"/>
          </w:tcPr>
          <w:p w14:paraId="530DF58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 (0.95–1.72)</w:t>
            </w:r>
          </w:p>
        </w:tc>
        <w:tc>
          <w:tcPr>
            <w:tcW w:w="414" w:type="pct"/>
            <w:tcBorders>
              <w:top w:val="nil"/>
              <w:left w:val="nil"/>
              <w:bottom w:val="nil"/>
              <w:right w:val="nil"/>
            </w:tcBorders>
            <w:shd w:val="clear" w:color="auto" w:fill="auto"/>
            <w:noWrap/>
            <w:vAlign w:val="center"/>
          </w:tcPr>
          <w:p w14:paraId="7E6F15A6">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0.111</w:t>
            </w:r>
          </w:p>
        </w:tc>
      </w:tr>
      <w:tr w14:paraId="3162D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tcBorders>
              <w:top w:val="nil"/>
              <w:left w:val="nil"/>
              <w:bottom w:val="nil"/>
              <w:right w:val="nil"/>
            </w:tcBorders>
            <w:shd w:val="clear" w:color="auto" w:fill="auto"/>
            <w:noWrap/>
            <w:vAlign w:val="center"/>
          </w:tcPr>
          <w:p w14:paraId="3F098D8D">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Stable middle</w:t>
            </w:r>
          </w:p>
        </w:tc>
        <w:tc>
          <w:tcPr>
            <w:tcW w:w="584" w:type="pct"/>
            <w:tcBorders>
              <w:top w:val="nil"/>
              <w:left w:val="nil"/>
              <w:bottom w:val="nil"/>
              <w:right w:val="nil"/>
            </w:tcBorders>
            <w:shd w:val="clear" w:color="auto" w:fill="auto"/>
            <w:noWrap/>
            <w:vAlign w:val="center"/>
          </w:tcPr>
          <w:p w14:paraId="14CE239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729</w:t>
            </w:r>
          </w:p>
        </w:tc>
        <w:tc>
          <w:tcPr>
            <w:tcW w:w="559" w:type="pct"/>
            <w:tcBorders>
              <w:top w:val="nil"/>
              <w:left w:val="nil"/>
              <w:bottom w:val="nil"/>
              <w:right w:val="nil"/>
            </w:tcBorders>
            <w:shd w:val="clear" w:color="auto" w:fill="auto"/>
            <w:noWrap/>
            <w:vAlign w:val="center"/>
          </w:tcPr>
          <w:p w14:paraId="7444497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141(19.3%)</w:t>
            </w:r>
          </w:p>
        </w:tc>
        <w:tc>
          <w:tcPr>
            <w:tcW w:w="680" w:type="pct"/>
            <w:tcBorders>
              <w:top w:val="nil"/>
              <w:left w:val="nil"/>
              <w:bottom w:val="nil"/>
              <w:right w:val="nil"/>
            </w:tcBorders>
            <w:shd w:val="clear" w:color="auto" w:fill="auto"/>
            <w:noWrap/>
            <w:vAlign w:val="center"/>
          </w:tcPr>
          <w:p w14:paraId="338F43EB">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 (1.22–2.00)</w:t>
            </w:r>
          </w:p>
        </w:tc>
        <w:tc>
          <w:tcPr>
            <w:tcW w:w="412" w:type="pct"/>
            <w:tcBorders>
              <w:top w:val="nil"/>
              <w:left w:val="nil"/>
              <w:bottom w:val="nil"/>
              <w:right w:val="nil"/>
            </w:tcBorders>
            <w:shd w:val="clear" w:color="auto" w:fill="auto"/>
            <w:noWrap/>
            <w:vAlign w:val="center"/>
          </w:tcPr>
          <w:p w14:paraId="5801519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680" w:type="pct"/>
            <w:tcBorders>
              <w:top w:val="nil"/>
              <w:left w:val="nil"/>
              <w:bottom w:val="nil"/>
              <w:right w:val="nil"/>
            </w:tcBorders>
            <w:shd w:val="clear" w:color="auto" w:fill="auto"/>
            <w:noWrap/>
            <w:vAlign w:val="center"/>
          </w:tcPr>
          <w:p w14:paraId="001DCE7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 (1.16–1.91)</w:t>
            </w:r>
          </w:p>
        </w:tc>
        <w:tc>
          <w:tcPr>
            <w:tcW w:w="412" w:type="pct"/>
            <w:tcBorders>
              <w:top w:val="nil"/>
              <w:left w:val="nil"/>
              <w:bottom w:val="nil"/>
              <w:right w:val="nil"/>
            </w:tcBorders>
            <w:shd w:val="clear" w:color="auto" w:fill="auto"/>
            <w:noWrap/>
            <w:vAlign w:val="center"/>
          </w:tcPr>
          <w:p w14:paraId="16B8E61B">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0.002</w:t>
            </w:r>
          </w:p>
        </w:tc>
        <w:tc>
          <w:tcPr>
            <w:tcW w:w="680" w:type="pct"/>
            <w:tcBorders>
              <w:top w:val="nil"/>
              <w:left w:val="nil"/>
              <w:bottom w:val="nil"/>
              <w:right w:val="nil"/>
            </w:tcBorders>
            <w:shd w:val="clear" w:color="auto" w:fill="auto"/>
            <w:noWrap/>
            <w:vAlign w:val="center"/>
          </w:tcPr>
          <w:p w14:paraId="6C777C1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 (1.17–1.92)</w:t>
            </w:r>
          </w:p>
        </w:tc>
        <w:tc>
          <w:tcPr>
            <w:tcW w:w="414" w:type="pct"/>
            <w:tcBorders>
              <w:top w:val="nil"/>
              <w:left w:val="nil"/>
              <w:bottom w:val="nil"/>
              <w:right w:val="nil"/>
            </w:tcBorders>
            <w:shd w:val="clear" w:color="auto" w:fill="auto"/>
            <w:noWrap/>
            <w:vAlign w:val="center"/>
          </w:tcPr>
          <w:p w14:paraId="516F453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0.002</w:t>
            </w:r>
          </w:p>
        </w:tc>
      </w:tr>
      <w:tr w14:paraId="3521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76" w:type="pct"/>
            <w:tcBorders>
              <w:top w:val="nil"/>
              <w:left w:val="nil"/>
              <w:bottom w:val="single" w:color="000000" w:sz="12" w:space="0"/>
              <w:right w:val="nil"/>
            </w:tcBorders>
            <w:shd w:val="clear" w:color="auto" w:fill="auto"/>
            <w:noWrap/>
            <w:vAlign w:val="center"/>
          </w:tcPr>
          <w:p w14:paraId="707412A0">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Stable high</w:t>
            </w:r>
          </w:p>
        </w:tc>
        <w:tc>
          <w:tcPr>
            <w:tcW w:w="584" w:type="pct"/>
            <w:tcBorders>
              <w:top w:val="nil"/>
              <w:left w:val="nil"/>
              <w:bottom w:val="single" w:color="000000" w:sz="12" w:space="0"/>
              <w:right w:val="nil"/>
            </w:tcBorders>
            <w:shd w:val="clear" w:color="auto" w:fill="auto"/>
            <w:noWrap/>
            <w:vAlign w:val="center"/>
          </w:tcPr>
          <w:p w14:paraId="61C5549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w:t>
            </w:r>
          </w:p>
        </w:tc>
        <w:tc>
          <w:tcPr>
            <w:tcW w:w="559" w:type="pct"/>
            <w:tcBorders>
              <w:top w:val="nil"/>
              <w:left w:val="nil"/>
              <w:bottom w:val="single" w:color="000000" w:sz="12" w:space="0"/>
              <w:right w:val="nil"/>
            </w:tcBorders>
            <w:shd w:val="clear" w:color="auto" w:fill="auto"/>
            <w:noWrap/>
            <w:vAlign w:val="center"/>
          </w:tcPr>
          <w:p w14:paraId="3E32128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 (25.2%)</w:t>
            </w:r>
          </w:p>
        </w:tc>
        <w:tc>
          <w:tcPr>
            <w:tcW w:w="680" w:type="pct"/>
            <w:tcBorders>
              <w:top w:val="nil"/>
              <w:left w:val="nil"/>
              <w:bottom w:val="single" w:color="000000" w:sz="12" w:space="0"/>
              <w:right w:val="nil"/>
            </w:tcBorders>
            <w:shd w:val="clear" w:color="auto" w:fill="auto"/>
            <w:noWrap/>
            <w:vAlign w:val="center"/>
          </w:tcPr>
          <w:p w14:paraId="42CE75D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 (1.69–2.61)</w:t>
            </w:r>
          </w:p>
        </w:tc>
        <w:tc>
          <w:tcPr>
            <w:tcW w:w="412" w:type="pct"/>
            <w:tcBorders>
              <w:top w:val="nil"/>
              <w:left w:val="nil"/>
              <w:bottom w:val="single" w:color="000000" w:sz="12" w:space="0"/>
              <w:right w:val="nil"/>
            </w:tcBorders>
            <w:shd w:val="clear" w:color="auto" w:fill="auto"/>
            <w:noWrap/>
            <w:vAlign w:val="center"/>
          </w:tcPr>
          <w:p w14:paraId="065F09B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680" w:type="pct"/>
            <w:tcBorders>
              <w:top w:val="nil"/>
              <w:left w:val="nil"/>
              <w:bottom w:val="single" w:color="000000" w:sz="12" w:space="0"/>
              <w:right w:val="nil"/>
            </w:tcBorders>
            <w:shd w:val="clear" w:color="auto" w:fill="auto"/>
            <w:noWrap/>
            <w:vAlign w:val="center"/>
          </w:tcPr>
          <w:p w14:paraId="68711DDF">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 (1.56–2.41)</w:t>
            </w:r>
          </w:p>
        </w:tc>
        <w:tc>
          <w:tcPr>
            <w:tcW w:w="412" w:type="pct"/>
            <w:tcBorders>
              <w:top w:val="nil"/>
              <w:left w:val="nil"/>
              <w:bottom w:val="single" w:color="000000" w:sz="12" w:space="0"/>
              <w:right w:val="nil"/>
            </w:tcBorders>
            <w:shd w:val="clear" w:color="auto" w:fill="auto"/>
            <w:noWrap/>
            <w:vAlign w:val="center"/>
          </w:tcPr>
          <w:p w14:paraId="326F29CE">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680" w:type="pct"/>
            <w:tcBorders>
              <w:top w:val="nil"/>
              <w:left w:val="nil"/>
              <w:bottom w:val="single" w:color="000000" w:sz="12" w:space="0"/>
              <w:right w:val="nil"/>
            </w:tcBorders>
            <w:shd w:val="clear" w:color="auto" w:fill="auto"/>
            <w:noWrap/>
            <w:vAlign w:val="center"/>
          </w:tcPr>
          <w:p w14:paraId="7B3D5A1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 (1.56–2.43)</w:t>
            </w:r>
          </w:p>
        </w:tc>
        <w:tc>
          <w:tcPr>
            <w:tcW w:w="414" w:type="pct"/>
            <w:tcBorders>
              <w:top w:val="nil"/>
              <w:left w:val="nil"/>
              <w:bottom w:val="single" w:color="000000" w:sz="12" w:space="0"/>
              <w:right w:val="nil"/>
            </w:tcBorders>
            <w:shd w:val="clear" w:color="auto" w:fill="auto"/>
            <w:noWrap/>
            <w:vAlign w:val="center"/>
          </w:tcPr>
          <w:p w14:paraId="298EA588">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32D5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vAlign w:val="center"/>
          </w:tcPr>
          <w:p w14:paraId="733CE73A">
            <w:pPr>
              <w:keepNext w:val="0"/>
              <w:keepLines w:val="0"/>
              <w:widowControl/>
              <w:suppressLineNumbers w:val="0"/>
              <w:snapToGrid w:val="0"/>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Sex-specific tertile cut-off values were derived from the 2011 baseline TyG-CVAI distribution and applied to both 2011 and 2015 TyG-CVAI values. Stable low was used as the reference group. Analyses were conducted among participants with complete data on all covariates included in Model 3. Model 1 was unadjusted. Model 2 was adjusted for age and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Model 3 was adjusted for age,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marital status, educational level, residence, smoking status, </w:t>
            </w:r>
            <w:r>
              <w:rPr>
                <w:rFonts w:hint="eastAsia" w:ascii="Times New Roman" w:hAnsi="Times New Roman" w:eastAsia="宋体" w:cs="Times New Roman"/>
                <w:i w:val="0"/>
                <w:iCs w:val="0"/>
                <w:color w:val="000000"/>
                <w:kern w:val="0"/>
                <w:sz w:val="24"/>
                <w:szCs w:val="24"/>
                <w:u w:val="none"/>
                <w:lang w:val="en-US" w:eastAsia="zh-CN" w:bidi="ar"/>
              </w:rPr>
              <w:t>drinking status</w:t>
            </w:r>
            <w:r>
              <w:rPr>
                <w:rFonts w:hint="default" w:ascii="Times New Roman" w:hAnsi="Times New Roman" w:eastAsia="宋体" w:cs="Times New Roman"/>
                <w:i w:val="0"/>
                <w:iCs w:val="0"/>
                <w:color w:val="000000"/>
                <w:kern w:val="0"/>
                <w:sz w:val="24"/>
                <w:szCs w:val="24"/>
                <w:u w:val="none"/>
                <w:lang w:val="en-US" w:eastAsia="zh-CN" w:bidi="ar"/>
              </w:rPr>
              <w:t>, cancer, liver disease and kidney disease. HR, hazard ratio; CI, confidence interval; CVD, cardiovascular disease; TyG-CVAI, triglyceride glucose–Chinese visceral adiposity index.</w:t>
            </w:r>
          </w:p>
        </w:tc>
      </w:tr>
    </w:tbl>
    <w:p w14:paraId="525D4D71">
      <w:pPr>
        <w:rPr>
          <w:rFonts w:ascii="Times New Roman" w:hAnsi="Times New Roman" w:eastAsia="宋体" w:cs="Times New Roman"/>
          <w:color w:val="000000"/>
          <w:kern w:val="0"/>
          <w:szCs w:val="21"/>
          <w:lang w:bidi="ar"/>
        </w:rPr>
        <w:sectPr>
          <w:pgSz w:w="16838" w:h="11906" w:orient="landscape"/>
          <w:pgMar w:top="1800" w:right="1440" w:bottom="1800" w:left="1440" w:header="851" w:footer="992" w:gutter="0"/>
          <w:cols w:space="425" w:num="1"/>
          <w:docGrid w:type="lines" w:linePitch="312" w:charSpace="0"/>
        </w:sectPr>
      </w:pPr>
    </w:p>
    <w:tbl>
      <w:tblPr>
        <w:tblStyle w:val="6"/>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9"/>
        <w:gridCol w:w="1633"/>
        <w:gridCol w:w="1562"/>
        <w:gridCol w:w="1896"/>
        <w:gridCol w:w="1159"/>
        <w:gridCol w:w="1896"/>
        <w:gridCol w:w="1159"/>
        <w:gridCol w:w="1897"/>
        <w:gridCol w:w="1183"/>
      </w:tblGrid>
      <w:tr w14:paraId="01258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jc w:val="center"/>
        </w:trPr>
        <w:tc>
          <w:tcPr>
            <w:tcW w:w="14174" w:type="dxa"/>
            <w:gridSpan w:val="9"/>
            <w:tcBorders>
              <w:top w:val="nil"/>
              <w:left w:val="nil"/>
              <w:bottom w:val="nil"/>
              <w:right w:val="nil"/>
            </w:tcBorders>
            <w:shd w:val="clear" w:color="auto" w:fill="auto"/>
            <w:noWrap/>
            <w:vAlign w:val="center"/>
          </w:tcPr>
          <w:p w14:paraId="0D0C885B">
            <w:pPr>
              <w:pStyle w:val="2"/>
              <w:keepNext w:val="0"/>
              <w:keepLines w:val="0"/>
              <w:widowControl/>
              <w:suppressLineNumbers w:val="0"/>
              <w:snapToGrid w:val="0"/>
              <w:jc w:val="left"/>
              <w:textAlignment w:val="center"/>
              <w:rPr>
                <w:rFonts w:hint="default" w:ascii="Times New Roman" w:hAnsi="Times New Roman" w:eastAsia="宋体" w:cs="Times New Roman"/>
                <w:b/>
                <w:bCs/>
                <w:i w:val="0"/>
                <w:iCs w:val="0"/>
                <w:color w:val="000000"/>
                <w:sz w:val="21"/>
                <w:szCs w:val="24"/>
                <w:u w:val="none"/>
              </w:rPr>
            </w:pPr>
            <w:bookmarkStart w:id="16" w:name="_Toc14691"/>
            <w:bookmarkStart w:id="17" w:name="_Toc18322"/>
            <w:r>
              <w:rPr>
                <w:b/>
                <w:bCs/>
              </w:rPr>
              <w:t>Table S9</w:t>
            </w:r>
            <w:bookmarkEnd w:id="16"/>
            <w:r>
              <w:rPr>
                <w:rFonts w:hint="default" w:asciiTheme="minorAscii" w:hAnsiTheme="minorAscii" w:eastAsiaTheme="minorEastAsia" w:cstheme="minorBidi"/>
                <w:b/>
                <w:bCs/>
                <w:i w:val="0"/>
                <w:iCs w:val="0"/>
                <w:color w:val="000000"/>
                <w:kern w:val="2"/>
                <w:sz w:val="21"/>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Sensitivity analysis using full nine-category tertile-based TyG-CVAI transition patterns and new-onset CVD risk</w:t>
            </w:r>
            <w:bookmarkEnd w:id="17"/>
          </w:p>
        </w:tc>
      </w:tr>
      <w:tr w14:paraId="3EE0E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vMerge w:val="restart"/>
            <w:tcBorders>
              <w:top w:val="single" w:color="000000" w:sz="12" w:space="0"/>
              <w:left w:val="nil"/>
              <w:bottom w:val="single" w:color="000000" w:sz="8" w:space="0"/>
              <w:right w:val="nil"/>
            </w:tcBorders>
            <w:shd w:val="clear" w:color="auto" w:fill="auto"/>
            <w:noWrap/>
            <w:vAlign w:val="center"/>
          </w:tcPr>
          <w:p w14:paraId="3F04D39F">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Variable</w:t>
            </w:r>
          </w:p>
        </w:tc>
        <w:tc>
          <w:tcPr>
            <w:tcW w:w="1633" w:type="dxa"/>
            <w:vMerge w:val="restart"/>
            <w:tcBorders>
              <w:top w:val="single" w:color="000000" w:sz="12" w:space="0"/>
              <w:left w:val="nil"/>
              <w:bottom w:val="single" w:color="000000" w:sz="8" w:space="0"/>
              <w:right w:val="nil"/>
            </w:tcBorders>
            <w:shd w:val="clear" w:color="auto" w:fill="auto"/>
            <w:noWrap/>
            <w:vAlign w:val="center"/>
          </w:tcPr>
          <w:p w14:paraId="407EA2EA">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Total number</w:t>
            </w:r>
          </w:p>
        </w:tc>
        <w:tc>
          <w:tcPr>
            <w:tcW w:w="1562" w:type="dxa"/>
            <w:vMerge w:val="restart"/>
            <w:tcBorders>
              <w:top w:val="single" w:color="000000" w:sz="12" w:space="0"/>
              <w:left w:val="nil"/>
              <w:bottom w:val="single" w:color="000000" w:sz="8" w:space="0"/>
              <w:right w:val="nil"/>
            </w:tcBorders>
            <w:shd w:val="clear" w:color="auto" w:fill="auto"/>
            <w:noWrap/>
            <w:vAlign w:val="center"/>
          </w:tcPr>
          <w:p w14:paraId="10D18D90">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Events, n(%)</w:t>
            </w:r>
          </w:p>
        </w:tc>
        <w:tc>
          <w:tcPr>
            <w:tcW w:w="3055" w:type="dxa"/>
            <w:gridSpan w:val="2"/>
            <w:tcBorders>
              <w:top w:val="single" w:color="000000" w:sz="12" w:space="0"/>
              <w:left w:val="nil"/>
              <w:bottom w:val="single" w:color="000000" w:sz="8" w:space="0"/>
              <w:right w:val="nil"/>
            </w:tcBorders>
            <w:shd w:val="clear" w:color="auto" w:fill="auto"/>
            <w:noWrap/>
            <w:vAlign w:val="center"/>
          </w:tcPr>
          <w:p w14:paraId="27A52DE9">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1</w:t>
            </w:r>
          </w:p>
        </w:tc>
        <w:tc>
          <w:tcPr>
            <w:tcW w:w="3055" w:type="dxa"/>
            <w:gridSpan w:val="2"/>
            <w:tcBorders>
              <w:top w:val="single" w:color="000000" w:sz="12" w:space="0"/>
              <w:left w:val="nil"/>
              <w:bottom w:val="single" w:color="000000" w:sz="8" w:space="0"/>
              <w:right w:val="nil"/>
            </w:tcBorders>
            <w:shd w:val="clear" w:color="auto" w:fill="auto"/>
            <w:noWrap/>
            <w:vAlign w:val="center"/>
          </w:tcPr>
          <w:p w14:paraId="05E0EC25">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2</w:t>
            </w:r>
          </w:p>
        </w:tc>
        <w:tc>
          <w:tcPr>
            <w:tcW w:w="3080" w:type="dxa"/>
            <w:gridSpan w:val="2"/>
            <w:tcBorders>
              <w:top w:val="single" w:color="000000" w:sz="12" w:space="0"/>
              <w:left w:val="nil"/>
              <w:bottom w:val="single" w:color="000000" w:sz="8" w:space="0"/>
              <w:right w:val="nil"/>
            </w:tcBorders>
            <w:shd w:val="clear" w:color="auto" w:fill="auto"/>
            <w:noWrap/>
            <w:vAlign w:val="center"/>
          </w:tcPr>
          <w:p w14:paraId="3AA5EB08">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3</w:t>
            </w:r>
          </w:p>
        </w:tc>
      </w:tr>
      <w:tr w14:paraId="674CC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vMerge w:val="continue"/>
            <w:tcBorders>
              <w:top w:val="single" w:color="000000" w:sz="12" w:space="0"/>
              <w:left w:val="nil"/>
              <w:bottom w:val="single" w:color="000000" w:sz="8" w:space="0"/>
              <w:right w:val="nil"/>
            </w:tcBorders>
            <w:shd w:val="clear" w:color="auto" w:fill="auto"/>
            <w:noWrap/>
            <w:vAlign w:val="center"/>
          </w:tcPr>
          <w:p w14:paraId="56C6FB93">
            <w:pPr>
              <w:snapToGrid w:val="0"/>
              <w:spacing w:line="360" w:lineRule="auto"/>
              <w:jc w:val="center"/>
              <w:rPr>
                <w:rFonts w:hint="default" w:ascii="Times New Roman" w:hAnsi="Times New Roman" w:eastAsia="宋体" w:cs="Times New Roman"/>
                <w:b/>
                <w:bCs/>
                <w:i w:val="0"/>
                <w:iCs w:val="0"/>
                <w:color w:val="000000"/>
                <w:sz w:val="24"/>
                <w:szCs w:val="24"/>
                <w:u w:val="none"/>
              </w:rPr>
            </w:pPr>
          </w:p>
        </w:tc>
        <w:tc>
          <w:tcPr>
            <w:tcW w:w="1633" w:type="dxa"/>
            <w:vMerge w:val="continue"/>
            <w:tcBorders>
              <w:top w:val="single" w:color="000000" w:sz="12" w:space="0"/>
              <w:left w:val="nil"/>
              <w:bottom w:val="single" w:color="000000" w:sz="8" w:space="0"/>
              <w:right w:val="nil"/>
            </w:tcBorders>
            <w:shd w:val="clear" w:color="auto" w:fill="auto"/>
            <w:noWrap/>
            <w:vAlign w:val="center"/>
          </w:tcPr>
          <w:p w14:paraId="1F510098">
            <w:pPr>
              <w:snapToGrid w:val="0"/>
              <w:spacing w:line="360" w:lineRule="auto"/>
              <w:jc w:val="center"/>
              <w:rPr>
                <w:rFonts w:hint="default" w:ascii="Times New Roman" w:hAnsi="Times New Roman" w:eastAsia="宋体" w:cs="Times New Roman"/>
                <w:b/>
                <w:bCs/>
                <w:i w:val="0"/>
                <w:iCs w:val="0"/>
                <w:color w:val="000000"/>
                <w:sz w:val="24"/>
                <w:szCs w:val="24"/>
                <w:u w:val="none"/>
              </w:rPr>
            </w:pPr>
          </w:p>
        </w:tc>
        <w:tc>
          <w:tcPr>
            <w:tcW w:w="1562" w:type="dxa"/>
            <w:vMerge w:val="continue"/>
            <w:tcBorders>
              <w:top w:val="single" w:color="000000" w:sz="12" w:space="0"/>
              <w:left w:val="nil"/>
              <w:bottom w:val="single" w:color="000000" w:sz="8" w:space="0"/>
              <w:right w:val="nil"/>
            </w:tcBorders>
            <w:shd w:val="clear" w:color="auto" w:fill="auto"/>
            <w:noWrap/>
            <w:vAlign w:val="center"/>
          </w:tcPr>
          <w:p w14:paraId="2636F08C">
            <w:pPr>
              <w:snapToGrid w:val="0"/>
              <w:spacing w:line="360" w:lineRule="auto"/>
              <w:jc w:val="center"/>
              <w:rPr>
                <w:rFonts w:hint="default" w:ascii="Times New Roman" w:hAnsi="Times New Roman" w:eastAsia="宋体" w:cs="Times New Roman"/>
                <w:b/>
                <w:bCs/>
                <w:i w:val="0"/>
                <w:iCs w:val="0"/>
                <w:color w:val="000000"/>
                <w:sz w:val="24"/>
                <w:szCs w:val="24"/>
                <w:u w:val="none"/>
              </w:rPr>
            </w:pPr>
          </w:p>
        </w:tc>
        <w:tc>
          <w:tcPr>
            <w:tcW w:w="1896" w:type="dxa"/>
            <w:tcBorders>
              <w:top w:val="nil"/>
              <w:left w:val="nil"/>
              <w:bottom w:val="single" w:color="000000" w:sz="8" w:space="0"/>
              <w:right w:val="nil"/>
            </w:tcBorders>
            <w:shd w:val="clear" w:color="auto" w:fill="auto"/>
            <w:noWrap/>
            <w:vAlign w:val="center"/>
          </w:tcPr>
          <w:p w14:paraId="743575BF">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1159" w:type="dxa"/>
            <w:tcBorders>
              <w:top w:val="nil"/>
              <w:left w:val="nil"/>
              <w:bottom w:val="single" w:color="000000" w:sz="8" w:space="0"/>
              <w:right w:val="nil"/>
            </w:tcBorders>
            <w:shd w:val="clear" w:color="auto" w:fill="auto"/>
            <w:noWrap/>
            <w:vAlign w:val="center"/>
          </w:tcPr>
          <w:p w14:paraId="3FE31432">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c>
          <w:tcPr>
            <w:tcW w:w="1896" w:type="dxa"/>
            <w:tcBorders>
              <w:top w:val="nil"/>
              <w:left w:val="nil"/>
              <w:bottom w:val="single" w:color="000000" w:sz="8" w:space="0"/>
              <w:right w:val="nil"/>
            </w:tcBorders>
            <w:shd w:val="clear" w:color="auto" w:fill="auto"/>
            <w:noWrap/>
            <w:vAlign w:val="center"/>
          </w:tcPr>
          <w:p w14:paraId="6BFA17D7">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1159" w:type="dxa"/>
            <w:tcBorders>
              <w:top w:val="nil"/>
              <w:left w:val="nil"/>
              <w:bottom w:val="single" w:color="000000" w:sz="8" w:space="0"/>
              <w:right w:val="nil"/>
            </w:tcBorders>
            <w:shd w:val="clear" w:color="auto" w:fill="auto"/>
            <w:noWrap/>
            <w:vAlign w:val="center"/>
          </w:tcPr>
          <w:p w14:paraId="179F6659">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c>
          <w:tcPr>
            <w:tcW w:w="1897" w:type="dxa"/>
            <w:tcBorders>
              <w:top w:val="nil"/>
              <w:left w:val="nil"/>
              <w:bottom w:val="single" w:color="000000" w:sz="8" w:space="0"/>
              <w:right w:val="nil"/>
            </w:tcBorders>
            <w:shd w:val="clear" w:color="auto" w:fill="auto"/>
            <w:noWrap/>
            <w:vAlign w:val="center"/>
          </w:tcPr>
          <w:p w14:paraId="261E386B">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HR (95% CI)</w:t>
            </w:r>
          </w:p>
        </w:tc>
        <w:tc>
          <w:tcPr>
            <w:tcW w:w="1183" w:type="dxa"/>
            <w:tcBorders>
              <w:top w:val="nil"/>
              <w:left w:val="nil"/>
              <w:bottom w:val="single" w:color="000000" w:sz="8" w:space="0"/>
              <w:right w:val="nil"/>
            </w:tcBorders>
            <w:shd w:val="clear" w:color="auto" w:fill="auto"/>
            <w:noWrap/>
            <w:vAlign w:val="center"/>
          </w:tcPr>
          <w:p w14:paraId="2EB74B25">
            <w:pPr>
              <w:keepNext w:val="0"/>
              <w:keepLines w:val="0"/>
              <w:widowControl/>
              <w:suppressLineNumbers w:val="0"/>
              <w:snapToGrid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r>
      <w:tr w14:paraId="0BB7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617867F3">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Low–Low</w:t>
            </w:r>
          </w:p>
        </w:tc>
        <w:tc>
          <w:tcPr>
            <w:tcW w:w="1633" w:type="dxa"/>
            <w:tcBorders>
              <w:top w:val="nil"/>
              <w:left w:val="nil"/>
              <w:bottom w:val="nil"/>
              <w:right w:val="nil"/>
            </w:tcBorders>
            <w:shd w:val="clear" w:color="auto" w:fill="auto"/>
            <w:noWrap/>
            <w:vAlign w:val="center"/>
          </w:tcPr>
          <w:p w14:paraId="3CFDF138">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w:t>
            </w:r>
          </w:p>
        </w:tc>
        <w:tc>
          <w:tcPr>
            <w:tcW w:w="1562" w:type="dxa"/>
            <w:tcBorders>
              <w:top w:val="nil"/>
              <w:left w:val="nil"/>
              <w:bottom w:val="nil"/>
              <w:right w:val="nil"/>
            </w:tcBorders>
            <w:shd w:val="clear" w:color="auto" w:fill="auto"/>
            <w:noWrap/>
            <w:vAlign w:val="center"/>
          </w:tcPr>
          <w:p w14:paraId="44D21A2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(12.9%)</w:t>
            </w:r>
          </w:p>
        </w:tc>
        <w:tc>
          <w:tcPr>
            <w:tcW w:w="1896" w:type="dxa"/>
            <w:tcBorders>
              <w:top w:val="nil"/>
              <w:left w:val="nil"/>
              <w:bottom w:val="nil"/>
              <w:right w:val="nil"/>
            </w:tcBorders>
            <w:shd w:val="clear" w:color="auto" w:fill="auto"/>
            <w:noWrap/>
            <w:vAlign w:val="center"/>
          </w:tcPr>
          <w:p w14:paraId="28BB955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59" w:type="dxa"/>
            <w:tcBorders>
              <w:top w:val="nil"/>
              <w:left w:val="nil"/>
              <w:bottom w:val="nil"/>
              <w:right w:val="nil"/>
            </w:tcBorders>
            <w:shd w:val="clear" w:color="auto" w:fill="auto"/>
            <w:noWrap/>
            <w:vAlign w:val="center"/>
          </w:tcPr>
          <w:p w14:paraId="42888659">
            <w:pPr>
              <w:snapToGrid w:val="0"/>
              <w:spacing w:line="360" w:lineRule="auto"/>
              <w:jc w:val="center"/>
              <w:rPr>
                <w:rFonts w:hint="default" w:ascii="Times New Roman" w:hAnsi="Times New Roman" w:eastAsia="宋体" w:cs="Times New Roman"/>
                <w:i w:val="0"/>
                <w:iCs w:val="0"/>
                <w:color w:val="000000"/>
                <w:sz w:val="24"/>
                <w:szCs w:val="24"/>
                <w:u w:val="none"/>
              </w:rPr>
            </w:pPr>
          </w:p>
        </w:tc>
        <w:tc>
          <w:tcPr>
            <w:tcW w:w="1896" w:type="dxa"/>
            <w:tcBorders>
              <w:top w:val="nil"/>
              <w:left w:val="nil"/>
              <w:bottom w:val="nil"/>
              <w:right w:val="nil"/>
            </w:tcBorders>
            <w:shd w:val="clear" w:color="auto" w:fill="auto"/>
            <w:noWrap/>
            <w:vAlign w:val="center"/>
          </w:tcPr>
          <w:p w14:paraId="76F7FEDB">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59" w:type="dxa"/>
            <w:tcBorders>
              <w:top w:val="nil"/>
              <w:left w:val="nil"/>
              <w:bottom w:val="nil"/>
              <w:right w:val="nil"/>
            </w:tcBorders>
            <w:shd w:val="clear" w:color="auto" w:fill="auto"/>
            <w:noWrap/>
            <w:vAlign w:val="center"/>
          </w:tcPr>
          <w:p w14:paraId="7C35433B">
            <w:pPr>
              <w:snapToGrid w:val="0"/>
              <w:spacing w:line="360" w:lineRule="auto"/>
              <w:jc w:val="center"/>
              <w:rPr>
                <w:rFonts w:hint="default" w:ascii="Times New Roman" w:hAnsi="Times New Roman" w:eastAsia="宋体" w:cs="Times New Roman"/>
                <w:i w:val="0"/>
                <w:iCs w:val="0"/>
                <w:color w:val="000000"/>
                <w:sz w:val="24"/>
                <w:szCs w:val="24"/>
                <w:u w:val="none"/>
              </w:rPr>
            </w:pPr>
          </w:p>
        </w:tc>
        <w:tc>
          <w:tcPr>
            <w:tcW w:w="1897" w:type="dxa"/>
            <w:tcBorders>
              <w:top w:val="nil"/>
              <w:left w:val="nil"/>
              <w:bottom w:val="nil"/>
              <w:right w:val="nil"/>
            </w:tcBorders>
            <w:shd w:val="clear" w:color="auto" w:fill="auto"/>
            <w:noWrap/>
            <w:vAlign w:val="center"/>
          </w:tcPr>
          <w:p w14:paraId="2953361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1183" w:type="dxa"/>
            <w:tcBorders>
              <w:top w:val="nil"/>
              <w:left w:val="nil"/>
              <w:bottom w:val="nil"/>
              <w:right w:val="nil"/>
            </w:tcBorders>
            <w:shd w:val="clear" w:color="auto" w:fill="auto"/>
            <w:noWrap/>
            <w:vAlign w:val="center"/>
          </w:tcPr>
          <w:p w14:paraId="026DD498">
            <w:pPr>
              <w:snapToGrid w:val="0"/>
              <w:spacing w:line="360" w:lineRule="auto"/>
              <w:jc w:val="center"/>
              <w:rPr>
                <w:rFonts w:hint="default" w:ascii="Times New Roman" w:hAnsi="Times New Roman" w:eastAsia="宋体" w:cs="Times New Roman"/>
                <w:i w:val="0"/>
                <w:iCs w:val="0"/>
                <w:color w:val="000000"/>
                <w:sz w:val="24"/>
                <w:szCs w:val="24"/>
                <w:u w:val="none"/>
              </w:rPr>
            </w:pPr>
          </w:p>
        </w:tc>
      </w:tr>
      <w:tr w14:paraId="00CD3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3B7C340E">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w:t>
            </w:r>
          </w:p>
        </w:tc>
        <w:tc>
          <w:tcPr>
            <w:tcW w:w="1633" w:type="dxa"/>
            <w:tcBorders>
              <w:top w:val="nil"/>
              <w:left w:val="nil"/>
              <w:bottom w:val="nil"/>
              <w:right w:val="nil"/>
            </w:tcBorders>
            <w:shd w:val="clear" w:color="auto" w:fill="auto"/>
            <w:noWrap/>
            <w:vAlign w:val="center"/>
          </w:tcPr>
          <w:p w14:paraId="4FA2123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w:t>
            </w:r>
          </w:p>
        </w:tc>
        <w:tc>
          <w:tcPr>
            <w:tcW w:w="1562" w:type="dxa"/>
            <w:tcBorders>
              <w:top w:val="nil"/>
              <w:left w:val="nil"/>
              <w:bottom w:val="nil"/>
              <w:right w:val="nil"/>
            </w:tcBorders>
            <w:shd w:val="clear" w:color="auto" w:fill="auto"/>
            <w:noWrap/>
            <w:vAlign w:val="center"/>
          </w:tcPr>
          <w:p w14:paraId="4FF4AD9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 (16.9%)</w:t>
            </w:r>
          </w:p>
        </w:tc>
        <w:tc>
          <w:tcPr>
            <w:tcW w:w="1896" w:type="dxa"/>
            <w:tcBorders>
              <w:top w:val="nil"/>
              <w:left w:val="nil"/>
              <w:bottom w:val="nil"/>
              <w:right w:val="nil"/>
            </w:tcBorders>
            <w:shd w:val="clear" w:color="auto" w:fill="auto"/>
            <w:noWrap/>
            <w:vAlign w:val="center"/>
          </w:tcPr>
          <w:p w14:paraId="58C01EA6">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 (1.00–1.78)</w:t>
            </w:r>
          </w:p>
        </w:tc>
        <w:tc>
          <w:tcPr>
            <w:tcW w:w="1159" w:type="dxa"/>
            <w:tcBorders>
              <w:top w:val="nil"/>
              <w:left w:val="nil"/>
              <w:bottom w:val="nil"/>
              <w:right w:val="nil"/>
            </w:tcBorders>
            <w:shd w:val="clear" w:color="auto" w:fill="auto"/>
            <w:noWrap/>
            <w:vAlign w:val="center"/>
          </w:tcPr>
          <w:p w14:paraId="331AC6A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0.052</w:t>
            </w:r>
          </w:p>
        </w:tc>
        <w:tc>
          <w:tcPr>
            <w:tcW w:w="1896" w:type="dxa"/>
            <w:tcBorders>
              <w:top w:val="nil"/>
              <w:left w:val="nil"/>
              <w:bottom w:val="nil"/>
              <w:right w:val="nil"/>
            </w:tcBorders>
            <w:shd w:val="clear" w:color="auto" w:fill="auto"/>
            <w:noWrap/>
            <w:vAlign w:val="center"/>
          </w:tcPr>
          <w:p w14:paraId="209CADC0">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 (0.99–1.76)</w:t>
            </w:r>
          </w:p>
        </w:tc>
        <w:tc>
          <w:tcPr>
            <w:tcW w:w="1159" w:type="dxa"/>
            <w:tcBorders>
              <w:top w:val="nil"/>
              <w:left w:val="nil"/>
              <w:bottom w:val="nil"/>
              <w:right w:val="nil"/>
            </w:tcBorders>
            <w:shd w:val="clear" w:color="auto" w:fill="auto"/>
            <w:noWrap/>
            <w:vAlign w:val="center"/>
          </w:tcPr>
          <w:p w14:paraId="329168CE">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0.062</w:t>
            </w:r>
          </w:p>
        </w:tc>
        <w:tc>
          <w:tcPr>
            <w:tcW w:w="1897" w:type="dxa"/>
            <w:tcBorders>
              <w:top w:val="nil"/>
              <w:left w:val="nil"/>
              <w:bottom w:val="nil"/>
              <w:right w:val="nil"/>
            </w:tcBorders>
            <w:shd w:val="clear" w:color="auto" w:fill="auto"/>
            <w:noWrap/>
            <w:vAlign w:val="center"/>
          </w:tcPr>
          <w:p w14:paraId="65254F8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 (0.99–1.77)</w:t>
            </w:r>
          </w:p>
        </w:tc>
        <w:tc>
          <w:tcPr>
            <w:tcW w:w="1183" w:type="dxa"/>
            <w:tcBorders>
              <w:top w:val="nil"/>
              <w:left w:val="nil"/>
              <w:bottom w:val="nil"/>
              <w:right w:val="nil"/>
            </w:tcBorders>
            <w:shd w:val="clear" w:color="auto" w:fill="auto"/>
            <w:noWrap/>
            <w:vAlign w:val="center"/>
          </w:tcPr>
          <w:p w14:paraId="35FFA07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0.061</w:t>
            </w:r>
          </w:p>
        </w:tc>
      </w:tr>
      <w:tr w14:paraId="22E30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561A74C5">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Low–High</w:t>
            </w:r>
          </w:p>
        </w:tc>
        <w:tc>
          <w:tcPr>
            <w:tcW w:w="1633" w:type="dxa"/>
            <w:tcBorders>
              <w:top w:val="nil"/>
              <w:left w:val="nil"/>
              <w:bottom w:val="nil"/>
              <w:right w:val="nil"/>
            </w:tcBorders>
            <w:shd w:val="clear" w:color="auto" w:fill="auto"/>
            <w:noWrap/>
            <w:vAlign w:val="center"/>
          </w:tcPr>
          <w:p w14:paraId="60A4E7F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w:t>
            </w:r>
          </w:p>
        </w:tc>
        <w:tc>
          <w:tcPr>
            <w:tcW w:w="1562" w:type="dxa"/>
            <w:tcBorders>
              <w:top w:val="nil"/>
              <w:left w:val="nil"/>
              <w:bottom w:val="nil"/>
              <w:right w:val="nil"/>
            </w:tcBorders>
            <w:shd w:val="clear" w:color="auto" w:fill="auto"/>
            <w:noWrap/>
            <w:vAlign w:val="center"/>
          </w:tcPr>
          <w:p w14:paraId="33FFA1A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(13.0%)</w:t>
            </w:r>
          </w:p>
        </w:tc>
        <w:tc>
          <w:tcPr>
            <w:tcW w:w="1896" w:type="dxa"/>
            <w:tcBorders>
              <w:top w:val="nil"/>
              <w:left w:val="nil"/>
              <w:bottom w:val="nil"/>
              <w:right w:val="nil"/>
            </w:tcBorders>
            <w:shd w:val="clear" w:color="auto" w:fill="auto"/>
            <w:noWrap/>
            <w:vAlign w:val="center"/>
          </w:tcPr>
          <w:p w14:paraId="5C0B050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(0.57–1.74)</w:t>
            </w:r>
          </w:p>
        </w:tc>
        <w:tc>
          <w:tcPr>
            <w:tcW w:w="1159" w:type="dxa"/>
            <w:tcBorders>
              <w:top w:val="nil"/>
              <w:left w:val="nil"/>
              <w:bottom w:val="nil"/>
              <w:right w:val="nil"/>
            </w:tcBorders>
            <w:shd w:val="clear" w:color="auto" w:fill="auto"/>
            <w:noWrap/>
            <w:vAlign w:val="center"/>
          </w:tcPr>
          <w:p w14:paraId="7D584A8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0.987</w:t>
            </w:r>
          </w:p>
        </w:tc>
        <w:tc>
          <w:tcPr>
            <w:tcW w:w="1896" w:type="dxa"/>
            <w:tcBorders>
              <w:top w:val="nil"/>
              <w:left w:val="nil"/>
              <w:bottom w:val="nil"/>
              <w:right w:val="nil"/>
            </w:tcBorders>
            <w:shd w:val="clear" w:color="auto" w:fill="auto"/>
            <w:noWrap/>
            <w:vAlign w:val="center"/>
          </w:tcPr>
          <w:p w14:paraId="0340F1D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(0.57–1.74)</w:t>
            </w:r>
          </w:p>
        </w:tc>
        <w:tc>
          <w:tcPr>
            <w:tcW w:w="1159" w:type="dxa"/>
            <w:tcBorders>
              <w:top w:val="nil"/>
              <w:left w:val="nil"/>
              <w:bottom w:val="nil"/>
              <w:right w:val="nil"/>
            </w:tcBorders>
            <w:shd w:val="clear" w:color="auto" w:fill="auto"/>
            <w:noWrap/>
            <w:vAlign w:val="center"/>
          </w:tcPr>
          <w:p w14:paraId="58E873E6">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0.985</w:t>
            </w:r>
          </w:p>
        </w:tc>
        <w:tc>
          <w:tcPr>
            <w:tcW w:w="1897" w:type="dxa"/>
            <w:tcBorders>
              <w:top w:val="nil"/>
              <w:left w:val="nil"/>
              <w:bottom w:val="nil"/>
              <w:right w:val="nil"/>
            </w:tcBorders>
            <w:shd w:val="clear" w:color="auto" w:fill="auto"/>
            <w:noWrap/>
            <w:vAlign w:val="center"/>
          </w:tcPr>
          <w:p w14:paraId="074909F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(0.57–1.74)</w:t>
            </w:r>
          </w:p>
        </w:tc>
        <w:tc>
          <w:tcPr>
            <w:tcW w:w="1183" w:type="dxa"/>
            <w:tcBorders>
              <w:top w:val="nil"/>
              <w:left w:val="nil"/>
              <w:bottom w:val="nil"/>
              <w:right w:val="nil"/>
            </w:tcBorders>
            <w:shd w:val="clear" w:color="auto" w:fill="auto"/>
            <w:noWrap/>
            <w:vAlign w:val="center"/>
          </w:tcPr>
          <w:p w14:paraId="28D17FD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0.996</w:t>
            </w:r>
          </w:p>
        </w:tc>
      </w:tr>
      <w:tr w14:paraId="1D422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121CFA07">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Middle–Low</w:t>
            </w:r>
          </w:p>
        </w:tc>
        <w:tc>
          <w:tcPr>
            <w:tcW w:w="1633" w:type="dxa"/>
            <w:tcBorders>
              <w:top w:val="nil"/>
              <w:left w:val="nil"/>
              <w:bottom w:val="nil"/>
              <w:right w:val="nil"/>
            </w:tcBorders>
            <w:shd w:val="clear" w:color="auto" w:fill="auto"/>
            <w:noWrap/>
            <w:vAlign w:val="center"/>
          </w:tcPr>
          <w:p w14:paraId="7A6392F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w:t>
            </w:r>
          </w:p>
        </w:tc>
        <w:tc>
          <w:tcPr>
            <w:tcW w:w="1562" w:type="dxa"/>
            <w:tcBorders>
              <w:top w:val="nil"/>
              <w:left w:val="nil"/>
              <w:bottom w:val="nil"/>
              <w:right w:val="nil"/>
            </w:tcBorders>
            <w:shd w:val="clear" w:color="auto" w:fill="auto"/>
            <w:noWrap/>
            <w:vAlign w:val="center"/>
          </w:tcPr>
          <w:p w14:paraId="49541A5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 (14.4%)</w:t>
            </w:r>
          </w:p>
        </w:tc>
        <w:tc>
          <w:tcPr>
            <w:tcW w:w="1896" w:type="dxa"/>
            <w:tcBorders>
              <w:top w:val="nil"/>
              <w:left w:val="nil"/>
              <w:bottom w:val="nil"/>
              <w:right w:val="nil"/>
            </w:tcBorders>
            <w:shd w:val="clear" w:color="auto" w:fill="auto"/>
            <w:noWrap/>
            <w:vAlign w:val="center"/>
          </w:tcPr>
          <w:p w14:paraId="00F60E7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 (0.78–1.67)</w:t>
            </w:r>
          </w:p>
        </w:tc>
        <w:tc>
          <w:tcPr>
            <w:tcW w:w="1159" w:type="dxa"/>
            <w:tcBorders>
              <w:top w:val="nil"/>
              <w:left w:val="nil"/>
              <w:bottom w:val="nil"/>
              <w:right w:val="nil"/>
            </w:tcBorders>
            <w:shd w:val="clear" w:color="auto" w:fill="auto"/>
            <w:noWrap/>
            <w:vAlign w:val="center"/>
          </w:tcPr>
          <w:p w14:paraId="6CDA6AE0">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0.504</w:t>
            </w:r>
          </w:p>
        </w:tc>
        <w:tc>
          <w:tcPr>
            <w:tcW w:w="1896" w:type="dxa"/>
            <w:tcBorders>
              <w:top w:val="nil"/>
              <w:left w:val="nil"/>
              <w:bottom w:val="nil"/>
              <w:right w:val="nil"/>
            </w:tcBorders>
            <w:shd w:val="clear" w:color="auto" w:fill="auto"/>
            <w:noWrap/>
            <w:vAlign w:val="center"/>
          </w:tcPr>
          <w:p w14:paraId="57E950BD">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(0.76–1.63)</w:t>
            </w:r>
          </w:p>
        </w:tc>
        <w:tc>
          <w:tcPr>
            <w:tcW w:w="1159" w:type="dxa"/>
            <w:tcBorders>
              <w:top w:val="nil"/>
              <w:left w:val="nil"/>
              <w:bottom w:val="nil"/>
              <w:right w:val="nil"/>
            </w:tcBorders>
            <w:shd w:val="clear" w:color="auto" w:fill="auto"/>
            <w:noWrap/>
            <w:vAlign w:val="center"/>
          </w:tcPr>
          <w:p w14:paraId="0669ACA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0.592</w:t>
            </w:r>
          </w:p>
        </w:tc>
        <w:tc>
          <w:tcPr>
            <w:tcW w:w="1897" w:type="dxa"/>
            <w:tcBorders>
              <w:top w:val="nil"/>
              <w:left w:val="nil"/>
              <w:bottom w:val="nil"/>
              <w:right w:val="nil"/>
            </w:tcBorders>
            <w:shd w:val="clear" w:color="auto" w:fill="auto"/>
            <w:noWrap/>
            <w:vAlign w:val="center"/>
          </w:tcPr>
          <w:p w14:paraId="6C2C4A7C">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 (0.76–1.65)</w:t>
            </w:r>
          </w:p>
        </w:tc>
        <w:tc>
          <w:tcPr>
            <w:tcW w:w="1183" w:type="dxa"/>
            <w:tcBorders>
              <w:top w:val="nil"/>
              <w:left w:val="nil"/>
              <w:bottom w:val="nil"/>
              <w:right w:val="nil"/>
            </w:tcBorders>
            <w:shd w:val="clear" w:color="auto" w:fill="auto"/>
            <w:noWrap/>
            <w:vAlign w:val="center"/>
          </w:tcPr>
          <w:p w14:paraId="69A377D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0.565</w:t>
            </w:r>
          </w:p>
        </w:tc>
      </w:tr>
      <w:tr w14:paraId="7A05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65C56D2B">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Middle–Middle</w:t>
            </w:r>
          </w:p>
        </w:tc>
        <w:tc>
          <w:tcPr>
            <w:tcW w:w="1633" w:type="dxa"/>
            <w:tcBorders>
              <w:top w:val="nil"/>
              <w:left w:val="nil"/>
              <w:bottom w:val="nil"/>
              <w:right w:val="nil"/>
            </w:tcBorders>
            <w:shd w:val="clear" w:color="auto" w:fill="auto"/>
            <w:noWrap/>
            <w:vAlign w:val="center"/>
          </w:tcPr>
          <w:p w14:paraId="0190340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729</w:t>
            </w:r>
          </w:p>
        </w:tc>
        <w:tc>
          <w:tcPr>
            <w:tcW w:w="1562" w:type="dxa"/>
            <w:tcBorders>
              <w:top w:val="nil"/>
              <w:left w:val="nil"/>
              <w:bottom w:val="nil"/>
              <w:right w:val="nil"/>
            </w:tcBorders>
            <w:shd w:val="clear" w:color="auto" w:fill="auto"/>
            <w:noWrap/>
            <w:vAlign w:val="center"/>
          </w:tcPr>
          <w:p w14:paraId="0F21469F">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 (19.3%)</w:t>
            </w:r>
          </w:p>
        </w:tc>
        <w:tc>
          <w:tcPr>
            <w:tcW w:w="1896" w:type="dxa"/>
            <w:tcBorders>
              <w:top w:val="nil"/>
              <w:left w:val="nil"/>
              <w:bottom w:val="nil"/>
              <w:right w:val="nil"/>
            </w:tcBorders>
            <w:shd w:val="clear" w:color="auto" w:fill="auto"/>
            <w:noWrap/>
            <w:vAlign w:val="center"/>
          </w:tcPr>
          <w:p w14:paraId="5866C4D6">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 (1.22–2.00)</w:t>
            </w:r>
          </w:p>
        </w:tc>
        <w:tc>
          <w:tcPr>
            <w:tcW w:w="1159" w:type="dxa"/>
            <w:tcBorders>
              <w:top w:val="nil"/>
              <w:left w:val="nil"/>
              <w:bottom w:val="nil"/>
              <w:right w:val="nil"/>
            </w:tcBorders>
            <w:shd w:val="clear" w:color="auto" w:fill="auto"/>
            <w:noWrap/>
            <w:vAlign w:val="center"/>
          </w:tcPr>
          <w:p w14:paraId="5A9DAC8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896" w:type="dxa"/>
            <w:tcBorders>
              <w:top w:val="nil"/>
              <w:left w:val="nil"/>
              <w:bottom w:val="nil"/>
              <w:right w:val="nil"/>
            </w:tcBorders>
            <w:shd w:val="clear" w:color="auto" w:fill="auto"/>
            <w:noWrap/>
            <w:vAlign w:val="center"/>
          </w:tcPr>
          <w:p w14:paraId="447B35EE">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 (1.16–1.91)</w:t>
            </w:r>
          </w:p>
        </w:tc>
        <w:tc>
          <w:tcPr>
            <w:tcW w:w="1159" w:type="dxa"/>
            <w:tcBorders>
              <w:top w:val="nil"/>
              <w:left w:val="nil"/>
              <w:bottom w:val="nil"/>
              <w:right w:val="nil"/>
            </w:tcBorders>
            <w:shd w:val="clear" w:color="auto" w:fill="auto"/>
            <w:noWrap/>
            <w:vAlign w:val="center"/>
          </w:tcPr>
          <w:p w14:paraId="3492CF15">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0.002</w:t>
            </w:r>
          </w:p>
        </w:tc>
        <w:tc>
          <w:tcPr>
            <w:tcW w:w="1897" w:type="dxa"/>
            <w:tcBorders>
              <w:top w:val="nil"/>
              <w:left w:val="nil"/>
              <w:bottom w:val="nil"/>
              <w:right w:val="nil"/>
            </w:tcBorders>
            <w:shd w:val="clear" w:color="auto" w:fill="auto"/>
            <w:noWrap/>
            <w:vAlign w:val="center"/>
          </w:tcPr>
          <w:p w14:paraId="614988DB">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 (1.17–1.93)</w:t>
            </w:r>
          </w:p>
        </w:tc>
        <w:tc>
          <w:tcPr>
            <w:tcW w:w="1183" w:type="dxa"/>
            <w:tcBorders>
              <w:top w:val="nil"/>
              <w:left w:val="nil"/>
              <w:bottom w:val="nil"/>
              <w:right w:val="nil"/>
            </w:tcBorders>
            <w:shd w:val="clear" w:color="auto" w:fill="auto"/>
            <w:noWrap/>
            <w:vAlign w:val="center"/>
          </w:tcPr>
          <w:p w14:paraId="76B5635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0.001</w:t>
            </w:r>
          </w:p>
        </w:tc>
      </w:tr>
      <w:tr w14:paraId="0B3B2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00CC13FF">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Middle–High</w:t>
            </w:r>
          </w:p>
        </w:tc>
        <w:tc>
          <w:tcPr>
            <w:tcW w:w="1633" w:type="dxa"/>
            <w:tcBorders>
              <w:top w:val="nil"/>
              <w:left w:val="nil"/>
              <w:bottom w:val="nil"/>
              <w:right w:val="nil"/>
            </w:tcBorders>
            <w:shd w:val="clear" w:color="auto" w:fill="auto"/>
            <w:noWrap/>
            <w:vAlign w:val="center"/>
          </w:tcPr>
          <w:p w14:paraId="15BB11C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465</w:t>
            </w:r>
          </w:p>
        </w:tc>
        <w:tc>
          <w:tcPr>
            <w:tcW w:w="1562" w:type="dxa"/>
            <w:tcBorders>
              <w:top w:val="nil"/>
              <w:left w:val="nil"/>
              <w:bottom w:val="nil"/>
              <w:right w:val="nil"/>
            </w:tcBorders>
            <w:shd w:val="clear" w:color="auto" w:fill="auto"/>
            <w:noWrap/>
            <w:vAlign w:val="center"/>
          </w:tcPr>
          <w:p w14:paraId="0D98B21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 (22.8%)</w:t>
            </w:r>
          </w:p>
        </w:tc>
        <w:tc>
          <w:tcPr>
            <w:tcW w:w="1896" w:type="dxa"/>
            <w:tcBorders>
              <w:top w:val="nil"/>
              <w:left w:val="nil"/>
              <w:bottom w:val="nil"/>
              <w:right w:val="nil"/>
            </w:tcBorders>
            <w:shd w:val="clear" w:color="auto" w:fill="auto"/>
            <w:noWrap/>
            <w:vAlign w:val="center"/>
          </w:tcPr>
          <w:p w14:paraId="2A86B53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 (1.45–2.46)</w:t>
            </w:r>
          </w:p>
        </w:tc>
        <w:tc>
          <w:tcPr>
            <w:tcW w:w="1159" w:type="dxa"/>
            <w:tcBorders>
              <w:top w:val="nil"/>
              <w:left w:val="nil"/>
              <w:bottom w:val="nil"/>
              <w:right w:val="nil"/>
            </w:tcBorders>
            <w:shd w:val="clear" w:color="auto" w:fill="auto"/>
            <w:noWrap/>
            <w:vAlign w:val="center"/>
          </w:tcPr>
          <w:p w14:paraId="1FFB59B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896" w:type="dxa"/>
            <w:tcBorders>
              <w:top w:val="nil"/>
              <w:left w:val="nil"/>
              <w:bottom w:val="nil"/>
              <w:right w:val="nil"/>
            </w:tcBorders>
            <w:shd w:val="clear" w:color="auto" w:fill="auto"/>
            <w:noWrap/>
            <w:vAlign w:val="center"/>
          </w:tcPr>
          <w:p w14:paraId="03C5B13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 (1.36–2.32)</w:t>
            </w:r>
          </w:p>
        </w:tc>
        <w:tc>
          <w:tcPr>
            <w:tcW w:w="1159" w:type="dxa"/>
            <w:tcBorders>
              <w:top w:val="nil"/>
              <w:left w:val="nil"/>
              <w:bottom w:val="nil"/>
              <w:right w:val="nil"/>
            </w:tcBorders>
            <w:shd w:val="clear" w:color="auto" w:fill="auto"/>
            <w:noWrap/>
            <w:vAlign w:val="center"/>
          </w:tcPr>
          <w:p w14:paraId="4388D50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897" w:type="dxa"/>
            <w:tcBorders>
              <w:top w:val="nil"/>
              <w:left w:val="nil"/>
              <w:bottom w:val="nil"/>
              <w:right w:val="nil"/>
            </w:tcBorders>
            <w:shd w:val="clear" w:color="auto" w:fill="auto"/>
            <w:noWrap/>
            <w:vAlign w:val="center"/>
          </w:tcPr>
          <w:p w14:paraId="6B7EA09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 (1.37–2.34)</w:t>
            </w:r>
          </w:p>
        </w:tc>
        <w:tc>
          <w:tcPr>
            <w:tcW w:w="1183" w:type="dxa"/>
            <w:tcBorders>
              <w:top w:val="nil"/>
              <w:left w:val="nil"/>
              <w:bottom w:val="nil"/>
              <w:right w:val="nil"/>
            </w:tcBorders>
            <w:shd w:val="clear" w:color="auto" w:fill="auto"/>
            <w:noWrap/>
            <w:vAlign w:val="center"/>
          </w:tcPr>
          <w:p w14:paraId="4E1FE95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B07D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03A62742">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High–Low</w:t>
            </w:r>
          </w:p>
        </w:tc>
        <w:tc>
          <w:tcPr>
            <w:tcW w:w="1633" w:type="dxa"/>
            <w:tcBorders>
              <w:top w:val="nil"/>
              <w:left w:val="nil"/>
              <w:bottom w:val="nil"/>
              <w:right w:val="nil"/>
            </w:tcBorders>
            <w:shd w:val="clear" w:color="auto" w:fill="auto"/>
            <w:noWrap/>
            <w:vAlign w:val="center"/>
          </w:tcPr>
          <w:p w14:paraId="1A9A5C3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1562" w:type="dxa"/>
            <w:tcBorders>
              <w:top w:val="nil"/>
              <w:left w:val="nil"/>
              <w:bottom w:val="nil"/>
              <w:right w:val="nil"/>
            </w:tcBorders>
            <w:shd w:val="clear" w:color="auto" w:fill="auto"/>
            <w:noWrap/>
            <w:vAlign w:val="center"/>
          </w:tcPr>
          <w:p w14:paraId="3F0791EB">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 (25.6%)</w:t>
            </w:r>
          </w:p>
        </w:tc>
        <w:tc>
          <w:tcPr>
            <w:tcW w:w="1896" w:type="dxa"/>
            <w:tcBorders>
              <w:top w:val="nil"/>
              <w:left w:val="nil"/>
              <w:bottom w:val="nil"/>
              <w:right w:val="nil"/>
            </w:tcBorders>
            <w:shd w:val="clear" w:color="auto" w:fill="auto"/>
            <w:noWrap/>
            <w:vAlign w:val="center"/>
          </w:tcPr>
          <w:p w14:paraId="713E66BF">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 (1.08–3.92)</w:t>
            </w:r>
          </w:p>
        </w:tc>
        <w:tc>
          <w:tcPr>
            <w:tcW w:w="1159" w:type="dxa"/>
            <w:tcBorders>
              <w:top w:val="nil"/>
              <w:left w:val="nil"/>
              <w:bottom w:val="nil"/>
              <w:right w:val="nil"/>
            </w:tcBorders>
            <w:shd w:val="clear" w:color="auto" w:fill="auto"/>
            <w:noWrap/>
            <w:vAlign w:val="center"/>
          </w:tcPr>
          <w:p w14:paraId="774E594C">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0.029</w:t>
            </w:r>
          </w:p>
        </w:tc>
        <w:tc>
          <w:tcPr>
            <w:tcW w:w="1896" w:type="dxa"/>
            <w:tcBorders>
              <w:top w:val="nil"/>
              <w:left w:val="nil"/>
              <w:bottom w:val="nil"/>
              <w:right w:val="nil"/>
            </w:tcBorders>
            <w:shd w:val="clear" w:color="auto" w:fill="auto"/>
            <w:noWrap/>
            <w:vAlign w:val="center"/>
          </w:tcPr>
          <w:p w14:paraId="4C3212F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 (1.07–3.89)</w:t>
            </w:r>
          </w:p>
        </w:tc>
        <w:tc>
          <w:tcPr>
            <w:tcW w:w="1159" w:type="dxa"/>
            <w:tcBorders>
              <w:top w:val="nil"/>
              <w:left w:val="nil"/>
              <w:bottom w:val="nil"/>
              <w:right w:val="nil"/>
            </w:tcBorders>
            <w:shd w:val="clear" w:color="auto" w:fill="auto"/>
            <w:noWrap/>
            <w:vAlign w:val="center"/>
          </w:tcPr>
          <w:p w14:paraId="32B3F3CF">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0.031</w:t>
            </w:r>
          </w:p>
        </w:tc>
        <w:tc>
          <w:tcPr>
            <w:tcW w:w="1897" w:type="dxa"/>
            <w:tcBorders>
              <w:top w:val="nil"/>
              <w:left w:val="nil"/>
              <w:bottom w:val="nil"/>
              <w:right w:val="nil"/>
            </w:tcBorders>
            <w:shd w:val="clear" w:color="auto" w:fill="auto"/>
            <w:noWrap/>
            <w:vAlign w:val="center"/>
          </w:tcPr>
          <w:p w14:paraId="69708E5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 (1.06–3.88)</w:t>
            </w:r>
          </w:p>
        </w:tc>
        <w:tc>
          <w:tcPr>
            <w:tcW w:w="1183" w:type="dxa"/>
            <w:tcBorders>
              <w:top w:val="nil"/>
              <w:left w:val="nil"/>
              <w:bottom w:val="nil"/>
              <w:right w:val="nil"/>
            </w:tcBorders>
            <w:shd w:val="clear" w:color="auto" w:fill="auto"/>
            <w:noWrap/>
            <w:vAlign w:val="center"/>
          </w:tcPr>
          <w:p w14:paraId="54B16B4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0.033</w:t>
            </w:r>
          </w:p>
        </w:tc>
      </w:tr>
      <w:tr w14:paraId="242BE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nil"/>
              <w:right w:val="nil"/>
            </w:tcBorders>
            <w:shd w:val="clear" w:color="auto" w:fill="auto"/>
            <w:noWrap/>
            <w:vAlign w:val="center"/>
          </w:tcPr>
          <w:p w14:paraId="06EABB2A">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w:t>
            </w:r>
          </w:p>
        </w:tc>
        <w:tc>
          <w:tcPr>
            <w:tcW w:w="1633" w:type="dxa"/>
            <w:tcBorders>
              <w:top w:val="nil"/>
              <w:left w:val="nil"/>
              <w:bottom w:val="nil"/>
              <w:right w:val="nil"/>
            </w:tcBorders>
            <w:shd w:val="clear" w:color="auto" w:fill="auto"/>
            <w:noWrap/>
            <w:vAlign w:val="center"/>
          </w:tcPr>
          <w:p w14:paraId="359CBB0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w:t>
            </w:r>
          </w:p>
        </w:tc>
        <w:tc>
          <w:tcPr>
            <w:tcW w:w="1562" w:type="dxa"/>
            <w:tcBorders>
              <w:top w:val="nil"/>
              <w:left w:val="nil"/>
              <w:bottom w:val="nil"/>
              <w:right w:val="nil"/>
            </w:tcBorders>
            <w:shd w:val="clear" w:color="auto" w:fill="auto"/>
            <w:noWrap/>
            <w:vAlign w:val="center"/>
          </w:tcPr>
          <w:p w14:paraId="0DA8E6D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 (17.4%)</w:t>
            </w:r>
          </w:p>
        </w:tc>
        <w:tc>
          <w:tcPr>
            <w:tcW w:w="1896" w:type="dxa"/>
            <w:tcBorders>
              <w:top w:val="nil"/>
              <w:left w:val="nil"/>
              <w:bottom w:val="nil"/>
              <w:right w:val="nil"/>
            </w:tcBorders>
            <w:shd w:val="clear" w:color="auto" w:fill="auto"/>
            <w:noWrap/>
            <w:vAlign w:val="center"/>
          </w:tcPr>
          <w:p w14:paraId="7C4AE433">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 (0.92–2.10)</w:t>
            </w:r>
          </w:p>
        </w:tc>
        <w:tc>
          <w:tcPr>
            <w:tcW w:w="1159" w:type="dxa"/>
            <w:tcBorders>
              <w:top w:val="nil"/>
              <w:left w:val="nil"/>
              <w:bottom w:val="nil"/>
              <w:right w:val="nil"/>
            </w:tcBorders>
            <w:shd w:val="clear" w:color="auto" w:fill="auto"/>
            <w:noWrap/>
            <w:vAlign w:val="center"/>
          </w:tcPr>
          <w:p w14:paraId="65D1417A">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0.122</w:t>
            </w:r>
          </w:p>
        </w:tc>
        <w:tc>
          <w:tcPr>
            <w:tcW w:w="1896" w:type="dxa"/>
            <w:tcBorders>
              <w:top w:val="nil"/>
              <w:left w:val="nil"/>
              <w:bottom w:val="nil"/>
              <w:right w:val="nil"/>
            </w:tcBorders>
            <w:shd w:val="clear" w:color="auto" w:fill="auto"/>
            <w:noWrap/>
            <w:vAlign w:val="center"/>
          </w:tcPr>
          <w:p w14:paraId="6C8D868C">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 (0.87–2.00)</w:t>
            </w:r>
          </w:p>
        </w:tc>
        <w:tc>
          <w:tcPr>
            <w:tcW w:w="1159" w:type="dxa"/>
            <w:tcBorders>
              <w:top w:val="nil"/>
              <w:left w:val="nil"/>
              <w:bottom w:val="nil"/>
              <w:right w:val="nil"/>
            </w:tcBorders>
            <w:shd w:val="clear" w:color="auto" w:fill="auto"/>
            <w:noWrap/>
            <w:vAlign w:val="center"/>
          </w:tcPr>
          <w:p w14:paraId="0DFB5D1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w:t>
            </w:r>
          </w:p>
        </w:tc>
        <w:tc>
          <w:tcPr>
            <w:tcW w:w="1897" w:type="dxa"/>
            <w:tcBorders>
              <w:top w:val="nil"/>
              <w:left w:val="nil"/>
              <w:bottom w:val="nil"/>
              <w:right w:val="nil"/>
            </w:tcBorders>
            <w:shd w:val="clear" w:color="auto" w:fill="auto"/>
            <w:noWrap/>
            <w:vAlign w:val="center"/>
          </w:tcPr>
          <w:p w14:paraId="0BEC950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 (0.88–2.01)</w:t>
            </w:r>
          </w:p>
        </w:tc>
        <w:tc>
          <w:tcPr>
            <w:tcW w:w="1183" w:type="dxa"/>
            <w:tcBorders>
              <w:top w:val="nil"/>
              <w:left w:val="nil"/>
              <w:bottom w:val="nil"/>
              <w:right w:val="nil"/>
            </w:tcBorders>
            <w:shd w:val="clear" w:color="auto" w:fill="auto"/>
            <w:noWrap/>
            <w:vAlign w:val="center"/>
          </w:tcPr>
          <w:p w14:paraId="29E08AE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0.181</w:t>
            </w:r>
          </w:p>
        </w:tc>
      </w:tr>
      <w:tr w14:paraId="67955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89" w:type="dxa"/>
            <w:tcBorders>
              <w:top w:val="nil"/>
              <w:left w:val="nil"/>
              <w:bottom w:val="single" w:color="000000" w:sz="12" w:space="0"/>
              <w:right w:val="nil"/>
            </w:tcBorders>
            <w:shd w:val="clear" w:color="auto" w:fill="auto"/>
            <w:noWrap/>
            <w:vAlign w:val="center"/>
          </w:tcPr>
          <w:p w14:paraId="04B1063A">
            <w:pPr>
              <w:keepNext w:val="0"/>
              <w:keepLines w:val="0"/>
              <w:widowControl/>
              <w:suppressLineNumbers w:val="0"/>
              <w:snapToGrid w:val="0"/>
              <w:spacing w:line="36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High–High</w:t>
            </w:r>
          </w:p>
        </w:tc>
        <w:tc>
          <w:tcPr>
            <w:tcW w:w="1633" w:type="dxa"/>
            <w:tcBorders>
              <w:top w:val="nil"/>
              <w:left w:val="nil"/>
              <w:bottom w:val="single" w:color="000000" w:sz="12" w:space="0"/>
              <w:right w:val="nil"/>
            </w:tcBorders>
            <w:shd w:val="clear" w:color="auto" w:fill="auto"/>
            <w:noWrap/>
            <w:vAlign w:val="center"/>
          </w:tcPr>
          <w:p w14:paraId="10FF557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w:t>
            </w:r>
          </w:p>
        </w:tc>
        <w:tc>
          <w:tcPr>
            <w:tcW w:w="1562" w:type="dxa"/>
            <w:tcBorders>
              <w:top w:val="nil"/>
              <w:left w:val="nil"/>
              <w:bottom w:val="single" w:color="000000" w:sz="12" w:space="0"/>
              <w:right w:val="nil"/>
            </w:tcBorders>
            <w:shd w:val="clear" w:color="auto" w:fill="auto"/>
            <w:noWrap/>
            <w:vAlign w:val="center"/>
          </w:tcPr>
          <w:p w14:paraId="47F79BF7">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 (25.2%)</w:t>
            </w:r>
          </w:p>
        </w:tc>
        <w:tc>
          <w:tcPr>
            <w:tcW w:w="1896" w:type="dxa"/>
            <w:tcBorders>
              <w:top w:val="nil"/>
              <w:left w:val="nil"/>
              <w:bottom w:val="single" w:color="000000" w:sz="12" w:space="0"/>
              <w:right w:val="nil"/>
            </w:tcBorders>
            <w:shd w:val="clear" w:color="auto" w:fill="auto"/>
            <w:noWrap/>
            <w:vAlign w:val="center"/>
          </w:tcPr>
          <w:p w14:paraId="35A114C4">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 (1.69–2.61)</w:t>
            </w:r>
          </w:p>
        </w:tc>
        <w:tc>
          <w:tcPr>
            <w:tcW w:w="1159" w:type="dxa"/>
            <w:tcBorders>
              <w:top w:val="nil"/>
              <w:left w:val="nil"/>
              <w:bottom w:val="single" w:color="000000" w:sz="12" w:space="0"/>
              <w:right w:val="nil"/>
            </w:tcBorders>
            <w:shd w:val="clear" w:color="auto" w:fill="auto"/>
            <w:noWrap/>
            <w:vAlign w:val="center"/>
          </w:tcPr>
          <w:p w14:paraId="6E736E61">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896" w:type="dxa"/>
            <w:tcBorders>
              <w:top w:val="nil"/>
              <w:left w:val="nil"/>
              <w:bottom w:val="single" w:color="000000" w:sz="12" w:space="0"/>
              <w:right w:val="nil"/>
            </w:tcBorders>
            <w:shd w:val="clear" w:color="auto" w:fill="auto"/>
            <w:noWrap/>
            <w:vAlign w:val="center"/>
          </w:tcPr>
          <w:p w14:paraId="5254423E">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 (1.56–2.42)</w:t>
            </w:r>
          </w:p>
        </w:tc>
        <w:tc>
          <w:tcPr>
            <w:tcW w:w="1159" w:type="dxa"/>
            <w:tcBorders>
              <w:top w:val="nil"/>
              <w:left w:val="nil"/>
              <w:bottom w:val="single" w:color="000000" w:sz="12" w:space="0"/>
              <w:right w:val="nil"/>
            </w:tcBorders>
            <w:shd w:val="clear" w:color="auto" w:fill="auto"/>
            <w:noWrap/>
            <w:vAlign w:val="center"/>
          </w:tcPr>
          <w:p w14:paraId="2E4E3362">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1897" w:type="dxa"/>
            <w:tcBorders>
              <w:top w:val="nil"/>
              <w:left w:val="nil"/>
              <w:bottom w:val="single" w:color="000000" w:sz="12" w:space="0"/>
              <w:right w:val="nil"/>
            </w:tcBorders>
            <w:shd w:val="clear" w:color="auto" w:fill="auto"/>
            <w:noWrap/>
            <w:vAlign w:val="center"/>
          </w:tcPr>
          <w:p w14:paraId="02CC5979">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 (1.57–2.44)</w:t>
            </w:r>
          </w:p>
        </w:tc>
        <w:tc>
          <w:tcPr>
            <w:tcW w:w="1183" w:type="dxa"/>
            <w:tcBorders>
              <w:top w:val="nil"/>
              <w:left w:val="nil"/>
              <w:bottom w:val="single" w:color="000000" w:sz="12" w:space="0"/>
              <w:right w:val="nil"/>
            </w:tcBorders>
            <w:shd w:val="clear" w:color="auto" w:fill="auto"/>
            <w:noWrap/>
            <w:vAlign w:val="center"/>
          </w:tcPr>
          <w:p w14:paraId="16FBADA8">
            <w:pPr>
              <w:keepNext w:val="0"/>
              <w:keepLines w:val="0"/>
              <w:widowControl/>
              <w:suppressLineNumbers w:val="0"/>
              <w:snapToGrid w:val="0"/>
              <w:spacing w:line="36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1A8A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trPr>
        <w:tc>
          <w:tcPr>
            <w:tcW w:w="14174" w:type="dxa"/>
            <w:gridSpan w:val="9"/>
            <w:tcBorders>
              <w:top w:val="nil"/>
              <w:left w:val="nil"/>
              <w:bottom w:val="nil"/>
              <w:right w:val="nil"/>
            </w:tcBorders>
            <w:shd w:val="clear" w:color="auto" w:fill="auto"/>
            <w:vAlign w:val="center"/>
          </w:tcPr>
          <w:p w14:paraId="1CCA660D">
            <w:pPr>
              <w:keepNext w:val="0"/>
              <w:keepLines w:val="0"/>
              <w:widowControl/>
              <w:suppressLineNumbers w:val="0"/>
              <w:snapToGrid w:val="0"/>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Sex-specific tertile cut-off values were derived from the 2011 baseline TyG-CVAI distribution and applied to both 2011 and 2015 TyG-CVAI values. Low–low was used as the reference group. Analyses were conducted among participants with complete data on all covariates included in Model 3. Model 1 was unadjusted. Model 2 was adjusted for age and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Model 3 was adjusted for age,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marital status, educational level, residence, smoking status, </w:t>
            </w:r>
            <w:r>
              <w:rPr>
                <w:rFonts w:hint="eastAsia" w:ascii="Times New Roman" w:hAnsi="Times New Roman" w:eastAsia="宋体" w:cs="Times New Roman"/>
                <w:i w:val="0"/>
                <w:iCs w:val="0"/>
                <w:color w:val="000000"/>
                <w:kern w:val="0"/>
                <w:sz w:val="24"/>
                <w:szCs w:val="24"/>
                <w:u w:val="none"/>
                <w:lang w:val="en-US" w:eastAsia="zh-CN" w:bidi="ar"/>
              </w:rPr>
              <w:t>drinking status</w:t>
            </w:r>
            <w:r>
              <w:rPr>
                <w:rFonts w:hint="default" w:ascii="Times New Roman" w:hAnsi="Times New Roman" w:eastAsia="宋体" w:cs="Times New Roman"/>
                <w:i w:val="0"/>
                <w:iCs w:val="0"/>
                <w:color w:val="000000"/>
                <w:kern w:val="0"/>
                <w:sz w:val="24"/>
                <w:szCs w:val="24"/>
                <w:u w:val="none"/>
                <w:lang w:val="en-US" w:eastAsia="zh-CN" w:bidi="ar"/>
              </w:rPr>
              <w:t>, cancer, liver disease and kidney disease. HR, hazard ratio; CI, confidence interval; CVD, cardiovascular disease; TyG-CVAI, triglyceride glucose–Chinese visceral adiposity index.</w:t>
            </w:r>
          </w:p>
        </w:tc>
      </w:tr>
    </w:tbl>
    <w:p w14:paraId="124C4C70">
      <w:pPr>
        <w:rPr>
          <w:rFonts w:hint="eastAsia"/>
        </w:rPr>
      </w:pPr>
    </w:p>
    <w:p w14:paraId="562E7F90">
      <w:pPr>
        <w:rPr>
          <w:rFonts w:hint="eastAsia"/>
        </w:rPr>
      </w:pPr>
    </w:p>
    <w:p w14:paraId="4D257017">
      <w:pPr>
        <w:rPr>
          <w:rFonts w:hint="eastAsia"/>
        </w:rPr>
      </w:pPr>
    </w:p>
    <w:tbl>
      <w:tblPr>
        <w:tblStyle w:val="6"/>
        <w:tblW w:w="510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4"/>
        <w:gridCol w:w="1053"/>
        <w:gridCol w:w="1024"/>
        <w:gridCol w:w="1493"/>
        <w:gridCol w:w="1493"/>
        <w:gridCol w:w="972"/>
        <w:gridCol w:w="1423"/>
        <w:gridCol w:w="892"/>
        <w:gridCol w:w="1426"/>
        <w:gridCol w:w="892"/>
        <w:gridCol w:w="1426"/>
        <w:gridCol w:w="908"/>
      </w:tblGrid>
      <w:tr w14:paraId="0DDC6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5000" w:type="pct"/>
            <w:gridSpan w:val="12"/>
            <w:tcBorders>
              <w:top w:val="nil"/>
              <w:left w:val="nil"/>
              <w:bottom w:val="nil"/>
              <w:right w:val="nil"/>
            </w:tcBorders>
            <w:shd w:val="clear" w:color="auto" w:fill="auto"/>
            <w:vAlign w:val="center"/>
          </w:tcPr>
          <w:p w14:paraId="602994E9">
            <w:pPr>
              <w:pStyle w:val="2"/>
              <w:keepNext w:val="0"/>
              <w:keepLines w:val="0"/>
              <w:widowControl/>
              <w:suppressLineNumbers w:val="0"/>
              <w:snapToGrid w:val="0"/>
              <w:jc w:val="left"/>
              <w:textAlignment w:val="center"/>
              <w:rPr>
                <w:rFonts w:hint="default" w:ascii="Times New Roman" w:hAnsi="Times New Roman" w:eastAsia="宋体" w:cs="Times New Roman"/>
                <w:b/>
                <w:bCs/>
                <w:i w:val="0"/>
                <w:iCs w:val="0"/>
                <w:color w:val="000000"/>
                <w:sz w:val="21"/>
                <w:szCs w:val="24"/>
                <w:u w:val="none"/>
              </w:rPr>
            </w:pPr>
            <w:bookmarkStart w:id="18" w:name="_Toc28956"/>
            <w:bookmarkStart w:id="19" w:name="_Toc7649"/>
            <w:r>
              <w:rPr>
                <w:b/>
                <w:bCs/>
              </w:rPr>
              <w:t>Table S10</w:t>
            </w:r>
            <w:bookmarkEnd w:id="18"/>
            <w:r>
              <w:rPr>
                <w:rFonts w:hint="default" w:asciiTheme="minorAscii" w:hAnsiTheme="minorAscii" w:eastAsiaTheme="minorEastAsia" w:cstheme="minorBidi"/>
                <w:b/>
                <w:bCs/>
                <w:i w:val="0"/>
                <w:iCs w:val="0"/>
                <w:color w:val="000000"/>
                <w:kern w:val="2"/>
                <w:sz w:val="21"/>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Exploratory K-means clustering of TyG-CVAI burden and new-onset CVD risk</w:t>
            </w:r>
            <w:bookmarkEnd w:id="19"/>
          </w:p>
        </w:tc>
      </w:tr>
      <w:tr w14:paraId="7F200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6" w:type="pct"/>
            <w:tcBorders>
              <w:top w:val="single" w:color="000000" w:sz="12" w:space="0"/>
              <w:left w:val="nil"/>
              <w:bottom w:val="single" w:color="000000" w:sz="8" w:space="0"/>
              <w:right w:val="nil"/>
            </w:tcBorders>
            <w:shd w:val="clear" w:color="auto" w:fill="auto"/>
            <w:vAlign w:val="center"/>
          </w:tcPr>
          <w:p w14:paraId="35434D81">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K-means cluster</w:t>
            </w:r>
          </w:p>
        </w:tc>
        <w:tc>
          <w:tcPr>
            <w:tcW w:w="364" w:type="pct"/>
            <w:tcBorders>
              <w:top w:val="single" w:color="000000" w:sz="12" w:space="0"/>
              <w:left w:val="nil"/>
              <w:bottom w:val="single" w:color="000000" w:sz="8" w:space="0"/>
              <w:right w:val="nil"/>
            </w:tcBorders>
            <w:shd w:val="clear" w:color="auto" w:fill="auto"/>
            <w:vAlign w:val="center"/>
          </w:tcPr>
          <w:p w14:paraId="054A703B">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Total number</w:t>
            </w:r>
          </w:p>
        </w:tc>
        <w:tc>
          <w:tcPr>
            <w:tcW w:w="354" w:type="pct"/>
            <w:tcBorders>
              <w:top w:val="single" w:color="000000" w:sz="12" w:space="0"/>
              <w:left w:val="nil"/>
              <w:bottom w:val="single" w:color="000000" w:sz="8" w:space="0"/>
              <w:right w:val="nil"/>
            </w:tcBorders>
            <w:shd w:val="clear" w:color="auto" w:fill="auto"/>
            <w:vAlign w:val="center"/>
          </w:tcPr>
          <w:p w14:paraId="668353DF">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Events, n (%)</w:t>
            </w:r>
          </w:p>
        </w:tc>
        <w:tc>
          <w:tcPr>
            <w:tcW w:w="516" w:type="pct"/>
            <w:tcBorders>
              <w:top w:val="single" w:color="000000" w:sz="12" w:space="0"/>
              <w:left w:val="nil"/>
              <w:bottom w:val="single" w:color="000000" w:sz="8" w:space="0"/>
              <w:right w:val="nil"/>
            </w:tcBorders>
            <w:shd w:val="clear" w:color="auto" w:fill="auto"/>
            <w:vAlign w:val="center"/>
          </w:tcPr>
          <w:p w14:paraId="753E25F9">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Mean TyG-CVAI in 2011</w:t>
            </w:r>
          </w:p>
        </w:tc>
        <w:tc>
          <w:tcPr>
            <w:tcW w:w="516" w:type="pct"/>
            <w:tcBorders>
              <w:top w:val="single" w:color="000000" w:sz="12" w:space="0"/>
              <w:left w:val="nil"/>
              <w:bottom w:val="single" w:color="000000" w:sz="8" w:space="0"/>
              <w:right w:val="nil"/>
            </w:tcBorders>
            <w:shd w:val="clear" w:color="auto" w:fill="auto"/>
            <w:vAlign w:val="center"/>
          </w:tcPr>
          <w:p w14:paraId="629158A3">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Mean TyG-CVAI in 2015</w:t>
            </w:r>
          </w:p>
        </w:tc>
        <w:tc>
          <w:tcPr>
            <w:tcW w:w="336" w:type="pct"/>
            <w:tcBorders>
              <w:top w:val="single" w:color="000000" w:sz="12" w:space="0"/>
              <w:left w:val="nil"/>
              <w:bottom w:val="single" w:color="000000" w:sz="8" w:space="0"/>
              <w:right w:val="nil"/>
            </w:tcBorders>
            <w:shd w:val="clear" w:color="auto" w:fill="auto"/>
            <w:vAlign w:val="center"/>
          </w:tcPr>
          <w:p w14:paraId="0A46202F">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Mean change</w:t>
            </w:r>
          </w:p>
        </w:tc>
        <w:tc>
          <w:tcPr>
            <w:tcW w:w="492" w:type="pct"/>
            <w:tcBorders>
              <w:top w:val="single" w:color="000000" w:sz="12" w:space="0"/>
              <w:left w:val="nil"/>
              <w:bottom w:val="single" w:color="000000" w:sz="8" w:space="0"/>
              <w:right w:val="nil"/>
            </w:tcBorders>
            <w:shd w:val="clear" w:color="auto" w:fill="auto"/>
            <w:vAlign w:val="center"/>
          </w:tcPr>
          <w:p w14:paraId="273607E1">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1 HR (95% CI)</w:t>
            </w:r>
          </w:p>
        </w:tc>
        <w:tc>
          <w:tcPr>
            <w:tcW w:w="308" w:type="pct"/>
            <w:tcBorders>
              <w:top w:val="single" w:color="000000" w:sz="12" w:space="0"/>
              <w:left w:val="nil"/>
              <w:bottom w:val="single" w:color="000000" w:sz="8" w:space="0"/>
              <w:right w:val="nil"/>
            </w:tcBorders>
            <w:shd w:val="clear" w:color="auto" w:fill="auto"/>
            <w:vAlign w:val="center"/>
          </w:tcPr>
          <w:p w14:paraId="3175A2B0">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c>
          <w:tcPr>
            <w:tcW w:w="493" w:type="pct"/>
            <w:tcBorders>
              <w:top w:val="single" w:color="000000" w:sz="12" w:space="0"/>
              <w:left w:val="nil"/>
              <w:bottom w:val="single" w:color="000000" w:sz="8" w:space="0"/>
              <w:right w:val="nil"/>
            </w:tcBorders>
            <w:shd w:val="clear" w:color="auto" w:fill="auto"/>
            <w:vAlign w:val="center"/>
          </w:tcPr>
          <w:p w14:paraId="1CD5BDDC">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2 HR (95% CI)</w:t>
            </w:r>
          </w:p>
        </w:tc>
        <w:tc>
          <w:tcPr>
            <w:tcW w:w="308" w:type="pct"/>
            <w:tcBorders>
              <w:top w:val="single" w:color="000000" w:sz="12" w:space="0"/>
              <w:left w:val="nil"/>
              <w:bottom w:val="single" w:color="000000" w:sz="8" w:space="0"/>
              <w:right w:val="nil"/>
            </w:tcBorders>
            <w:shd w:val="clear" w:color="auto" w:fill="auto"/>
            <w:vAlign w:val="center"/>
          </w:tcPr>
          <w:p w14:paraId="42A5F54F">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c>
          <w:tcPr>
            <w:tcW w:w="493" w:type="pct"/>
            <w:tcBorders>
              <w:top w:val="single" w:color="000000" w:sz="12" w:space="0"/>
              <w:left w:val="nil"/>
              <w:bottom w:val="single" w:color="000000" w:sz="8" w:space="0"/>
              <w:right w:val="nil"/>
            </w:tcBorders>
            <w:shd w:val="clear" w:color="auto" w:fill="auto"/>
            <w:vAlign w:val="center"/>
          </w:tcPr>
          <w:p w14:paraId="6B1BB328">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Model 3 HR (95% CI)</w:t>
            </w:r>
          </w:p>
        </w:tc>
        <w:tc>
          <w:tcPr>
            <w:tcW w:w="308" w:type="pct"/>
            <w:tcBorders>
              <w:top w:val="single" w:color="000000" w:sz="12" w:space="0"/>
              <w:left w:val="nil"/>
              <w:bottom w:val="single" w:color="000000" w:sz="8" w:space="0"/>
              <w:right w:val="nil"/>
            </w:tcBorders>
            <w:shd w:val="clear" w:color="auto" w:fill="auto"/>
            <w:vAlign w:val="center"/>
          </w:tcPr>
          <w:p w14:paraId="6BA5B077">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P value</w:t>
            </w:r>
          </w:p>
        </w:tc>
      </w:tr>
      <w:tr w14:paraId="7BDB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6" w:type="pct"/>
            <w:tcBorders>
              <w:top w:val="nil"/>
              <w:left w:val="nil"/>
              <w:bottom w:val="nil"/>
              <w:right w:val="nil"/>
            </w:tcBorders>
            <w:shd w:val="clear" w:color="auto" w:fill="auto"/>
            <w:vAlign w:val="center"/>
          </w:tcPr>
          <w:p w14:paraId="3E7E31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burden</w:t>
            </w:r>
          </w:p>
        </w:tc>
        <w:tc>
          <w:tcPr>
            <w:tcW w:w="364" w:type="pct"/>
            <w:tcBorders>
              <w:top w:val="nil"/>
              <w:left w:val="nil"/>
              <w:bottom w:val="nil"/>
              <w:right w:val="nil"/>
            </w:tcBorders>
            <w:shd w:val="clear" w:color="auto" w:fill="auto"/>
            <w:vAlign w:val="center"/>
          </w:tcPr>
          <w:p w14:paraId="7A0732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2491</w:t>
            </w:r>
          </w:p>
        </w:tc>
        <w:tc>
          <w:tcPr>
            <w:tcW w:w="354" w:type="pct"/>
            <w:tcBorders>
              <w:top w:val="nil"/>
              <w:left w:val="nil"/>
              <w:bottom w:val="nil"/>
              <w:right w:val="nil"/>
            </w:tcBorders>
            <w:shd w:val="clear" w:color="auto" w:fill="auto"/>
            <w:vAlign w:val="center"/>
          </w:tcPr>
          <w:p w14:paraId="131586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 (16.5%)</w:t>
            </w:r>
          </w:p>
        </w:tc>
        <w:tc>
          <w:tcPr>
            <w:tcW w:w="516" w:type="pct"/>
            <w:tcBorders>
              <w:top w:val="nil"/>
              <w:left w:val="nil"/>
              <w:bottom w:val="nil"/>
              <w:right w:val="nil"/>
            </w:tcBorders>
            <w:shd w:val="clear" w:color="auto" w:fill="auto"/>
            <w:vAlign w:val="center"/>
          </w:tcPr>
          <w:p w14:paraId="5D5A1B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551.09</w:t>
            </w:r>
          </w:p>
        </w:tc>
        <w:tc>
          <w:tcPr>
            <w:tcW w:w="516" w:type="pct"/>
            <w:tcBorders>
              <w:top w:val="nil"/>
              <w:left w:val="nil"/>
              <w:bottom w:val="nil"/>
              <w:right w:val="nil"/>
            </w:tcBorders>
            <w:shd w:val="clear" w:color="auto" w:fill="auto"/>
            <w:vAlign w:val="center"/>
          </w:tcPr>
          <w:p w14:paraId="57A37E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611.74</w:t>
            </w:r>
          </w:p>
        </w:tc>
        <w:tc>
          <w:tcPr>
            <w:tcW w:w="336" w:type="pct"/>
            <w:tcBorders>
              <w:top w:val="nil"/>
              <w:left w:val="nil"/>
              <w:bottom w:val="nil"/>
              <w:right w:val="nil"/>
            </w:tcBorders>
            <w:shd w:val="clear" w:color="auto" w:fill="auto"/>
            <w:vAlign w:val="center"/>
          </w:tcPr>
          <w:p w14:paraId="5AE299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60.65</w:t>
            </w:r>
          </w:p>
        </w:tc>
        <w:tc>
          <w:tcPr>
            <w:tcW w:w="492" w:type="pct"/>
            <w:tcBorders>
              <w:top w:val="nil"/>
              <w:left w:val="nil"/>
              <w:bottom w:val="nil"/>
              <w:right w:val="nil"/>
            </w:tcBorders>
            <w:shd w:val="clear" w:color="auto" w:fill="auto"/>
            <w:vAlign w:val="center"/>
          </w:tcPr>
          <w:p w14:paraId="36149E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308" w:type="pct"/>
            <w:tcBorders>
              <w:top w:val="nil"/>
              <w:left w:val="nil"/>
              <w:bottom w:val="nil"/>
              <w:right w:val="nil"/>
            </w:tcBorders>
            <w:shd w:val="clear" w:color="auto" w:fill="auto"/>
            <w:vAlign w:val="center"/>
          </w:tcPr>
          <w:p w14:paraId="04C31895">
            <w:pPr>
              <w:snapToGrid w:val="0"/>
              <w:jc w:val="center"/>
              <w:rPr>
                <w:rFonts w:hint="default" w:ascii="Times New Roman" w:hAnsi="Times New Roman" w:eastAsia="宋体" w:cs="Times New Roman"/>
                <w:i w:val="0"/>
                <w:iCs w:val="0"/>
                <w:color w:val="000000"/>
                <w:sz w:val="24"/>
                <w:szCs w:val="24"/>
                <w:u w:val="none"/>
              </w:rPr>
            </w:pPr>
          </w:p>
        </w:tc>
        <w:tc>
          <w:tcPr>
            <w:tcW w:w="493" w:type="pct"/>
            <w:tcBorders>
              <w:top w:val="nil"/>
              <w:left w:val="nil"/>
              <w:bottom w:val="nil"/>
              <w:right w:val="nil"/>
            </w:tcBorders>
            <w:shd w:val="clear" w:color="auto" w:fill="auto"/>
            <w:vAlign w:val="center"/>
          </w:tcPr>
          <w:p w14:paraId="58798B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308" w:type="pct"/>
            <w:tcBorders>
              <w:top w:val="nil"/>
              <w:left w:val="nil"/>
              <w:bottom w:val="nil"/>
              <w:right w:val="nil"/>
            </w:tcBorders>
            <w:shd w:val="clear" w:color="auto" w:fill="auto"/>
            <w:vAlign w:val="center"/>
          </w:tcPr>
          <w:p w14:paraId="355CE32B">
            <w:pPr>
              <w:snapToGrid w:val="0"/>
              <w:jc w:val="center"/>
              <w:rPr>
                <w:rFonts w:hint="default" w:ascii="Times New Roman" w:hAnsi="Times New Roman" w:eastAsia="宋体" w:cs="Times New Roman"/>
                <w:i w:val="0"/>
                <w:iCs w:val="0"/>
                <w:color w:val="000000"/>
                <w:sz w:val="24"/>
                <w:szCs w:val="24"/>
                <w:u w:val="none"/>
              </w:rPr>
            </w:pPr>
          </w:p>
        </w:tc>
        <w:tc>
          <w:tcPr>
            <w:tcW w:w="493" w:type="pct"/>
            <w:tcBorders>
              <w:top w:val="nil"/>
              <w:left w:val="nil"/>
              <w:bottom w:val="nil"/>
              <w:right w:val="nil"/>
            </w:tcBorders>
            <w:shd w:val="clear" w:color="auto" w:fill="auto"/>
            <w:vAlign w:val="center"/>
          </w:tcPr>
          <w:p w14:paraId="7B0F69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 (Reference)</w:t>
            </w:r>
          </w:p>
        </w:tc>
        <w:tc>
          <w:tcPr>
            <w:tcW w:w="308" w:type="pct"/>
            <w:tcBorders>
              <w:top w:val="nil"/>
              <w:left w:val="nil"/>
              <w:bottom w:val="nil"/>
              <w:right w:val="nil"/>
            </w:tcBorders>
            <w:shd w:val="clear" w:color="auto" w:fill="auto"/>
            <w:vAlign w:val="center"/>
          </w:tcPr>
          <w:p w14:paraId="1C409411">
            <w:pPr>
              <w:snapToGrid w:val="0"/>
              <w:jc w:val="center"/>
              <w:rPr>
                <w:rFonts w:hint="default" w:ascii="Times New Roman" w:hAnsi="Times New Roman" w:eastAsia="宋体" w:cs="Times New Roman"/>
                <w:i w:val="0"/>
                <w:iCs w:val="0"/>
                <w:color w:val="000000"/>
                <w:sz w:val="24"/>
                <w:szCs w:val="24"/>
                <w:u w:val="none"/>
              </w:rPr>
            </w:pPr>
          </w:p>
        </w:tc>
      </w:tr>
      <w:tr w14:paraId="507ED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6" w:type="pct"/>
            <w:tcBorders>
              <w:top w:val="nil"/>
              <w:left w:val="nil"/>
              <w:bottom w:val="single" w:color="000000" w:sz="12" w:space="0"/>
              <w:right w:val="nil"/>
            </w:tcBorders>
            <w:shd w:val="clear" w:color="auto" w:fill="auto"/>
            <w:vAlign w:val="center"/>
          </w:tcPr>
          <w:p w14:paraId="652CC5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burden</w:t>
            </w:r>
          </w:p>
        </w:tc>
        <w:tc>
          <w:tcPr>
            <w:tcW w:w="364" w:type="pct"/>
            <w:tcBorders>
              <w:top w:val="nil"/>
              <w:left w:val="nil"/>
              <w:bottom w:val="single" w:color="000000" w:sz="12" w:space="0"/>
              <w:right w:val="nil"/>
            </w:tcBorders>
            <w:shd w:val="clear" w:color="auto" w:fill="auto"/>
            <w:vAlign w:val="center"/>
          </w:tcPr>
          <w:p w14:paraId="3B44B7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w:t>
            </w:r>
          </w:p>
        </w:tc>
        <w:tc>
          <w:tcPr>
            <w:tcW w:w="354" w:type="pct"/>
            <w:tcBorders>
              <w:top w:val="nil"/>
              <w:left w:val="nil"/>
              <w:bottom w:val="single" w:color="000000" w:sz="12" w:space="0"/>
              <w:right w:val="nil"/>
            </w:tcBorders>
            <w:shd w:val="clear" w:color="auto" w:fill="auto"/>
            <w:vAlign w:val="center"/>
          </w:tcPr>
          <w:p w14:paraId="3E5DD9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 (23.4%)</w:t>
            </w:r>
          </w:p>
        </w:tc>
        <w:tc>
          <w:tcPr>
            <w:tcW w:w="516" w:type="pct"/>
            <w:tcBorders>
              <w:top w:val="nil"/>
              <w:left w:val="nil"/>
              <w:bottom w:val="single" w:color="000000" w:sz="12" w:space="0"/>
              <w:right w:val="nil"/>
            </w:tcBorders>
            <w:shd w:val="clear" w:color="auto" w:fill="auto"/>
            <w:vAlign w:val="center"/>
          </w:tcPr>
          <w:p w14:paraId="4432DC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1171.61</w:t>
            </w:r>
          </w:p>
        </w:tc>
        <w:tc>
          <w:tcPr>
            <w:tcW w:w="516" w:type="pct"/>
            <w:tcBorders>
              <w:top w:val="nil"/>
              <w:left w:val="nil"/>
              <w:bottom w:val="single" w:color="000000" w:sz="12" w:space="0"/>
              <w:right w:val="nil"/>
            </w:tcBorders>
            <w:shd w:val="clear" w:color="auto" w:fill="auto"/>
            <w:vAlign w:val="center"/>
          </w:tcPr>
          <w:p w14:paraId="646EFA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1267.29</w:t>
            </w:r>
          </w:p>
        </w:tc>
        <w:tc>
          <w:tcPr>
            <w:tcW w:w="336" w:type="pct"/>
            <w:tcBorders>
              <w:top w:val="nil"/>
              <w:left w:val="nil"/>
              <w:bottom w:val="single" w:color="000000" w:sz="12" w:space="0"/>
              <w:right w:val="nil"/>
            </w:tcBorders>
            <w:shd w:val="clear" w:color="auto" w:fill="auto"/>
            <w:vAlign w:val="center"/>
          </w:tcPr>
          <w:p w14:paraId="78B4FD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95.67</w:t>
            </w:r>
          </w:p>
        </w:tc>
        <w:tc>
          <w:tcPr>
            <w:tcW w:w="492" w:type="pct"/>
            <w:tcBorders>
              <w:top w:val="nil"/>
              <w:left w:val="nil"/>
              <w:bottom w:val="single" w:color="000000" w:sz="12" w:space="0"/>
              <w:right w:val="nil"/>
            </w:tcBorders>
            <w:shd w:val="clear" w:color="auto" w:fill="auto"/>
            <w:vAlign w:val="center"/>
          </w:tcPr>
          <w:p w14:paraId="02B0B5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 (1.29–1.69)</w:t>
            </w:r>
          </w:p>
        </w:tc>
        <w:tc>
          <w:tcPr>
            <w:tcW w:w="308" w:type="pct"/>
            <w:tcBorders>
              <w:top w:val="nil"/>
              <w:left w:val="nil"/>
              <w:bottom w:val="single" w:color="000000" w:sz="12" w:space="0"/>
              <w:right w:val="nil"/>
            </w:tcBorders>
            <w:shd w:val="clear" w:color="auto" w:fill="auto"/>
            <w:vAlign w:val="center"/>
          </w:tcPr>
          <w:p w14:paraId="10700D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493" w:type="pct"/>
            <w:tcBorders>
              <w:top w:val="nil"/>
              <w:left w:val="nil"/>
              <w:bottom w:val="single" w:color="000000" w:sz="12" w:space="0"/>
              <w:right w:val="nil"/>
            </w:tcBorders>
            <w:shd w:val="clear" w:color="auto" w:fill="auto"/>
            <w:vAlign w:val="center"/>
          </w:tcPr>
          <w:p w14:paraId="48DF5B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 (1.22–1.61)</w:t>
            </w:r>
          </w:p>
        </w:tc>
        <w:tc>
          <w:tcPr>
            <w:tcW w:w="308" w:type="pct"/>
            <w:tcBorders>
              <w:top w:val="nil"/>
              <w:left w:val="nil"/>
              <w:bottom w:val="single" w:color="000000" w:sz="12" w:space="0"/>
              <w:right w:val="nil"/>
            </w:tcBorders>
            <w:shd w:val="clear" w:color="auto" w:fill="auto"/>
            <w:vAlign w:val="center"/>
          </w:tcPr>
          <w:p w14:paraId="133D11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c>
          <w:tcPr>
            <w:tcW w:w="493" w:type="pct"/>
            <w:tcBorders>
              <w:top w:val="nil"/>
              <w:left w:val="nil"/>
              <w:bottom w:val="single" w:color="000000" w:sz="12" w:space="0"/>
              <w:right w:val="nil"/>
            </w:tcBorders>
            <w:shd w:val="clear" w:color="auto" w:fill="auto"/>
            <w:vAlign w:val="center"/>
          </w:tcPr>
          <w:p w14:paraId="7D30F5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 (1.22–1.61)</w:t>
            </w:r>
          </w:p>
        </w:tc>
        <w:tc>
          <w:tcPr>
            <w:tcW w:w="308" w:type="pct"/>
            <w:tcBorders>
              <w:top w:val="nil"/>
              <w:left w:val="nil"/>
              <w:bottom w:val="single" w:color="000000" w:sz="12" w:space="0"/>
              <w:right w:val="nil"/>
            </w:tcBorders>
            <w:shd w:val="clear" w:color="auto" w:fill="auto"/>
            <w:vAlign w:val="center"/>
          </w:tcPr>
          <w:p w14:paraId="323D53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ED1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3" w:hRule="atLeast"/>
          <w:jc w:val="center"/>
        </w:trPr>
        <w:tc>
          <w:tcPr>
            <w:tcW w:w="5000" w:type="pct"/>
            <w:gridSpan w:val="12"/>
            <w:tcBorders>
              <w:top w:val="nil"/>
              <w:left w:val="nil"/>
              <w:bottom w:val="nil"/>
              <w:right w:val="nil"/>
            </w:tcBorders>
            <w:shd w:val="clear" w:color="auto" w:fill="auto"/>
            <w:vAlign w:val="center"/>
          </w:tcPr>
          <w:p w14:paraId="239A66F5">
            <w:pPr>
              <w:keepNext w:val="0"/>
              <w:keepLines w:val="0"/>
              <w:widowControl/>
              <w:suppressLineNumbers w:val="0"/>
              <w:snapToGrid w:val="0"/>
              <w:spacing w:line="300" w:lineRule="auto"/>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K-means clustering was performed using winsorized and sex-standardized TyG-CVAI values measured in 2011 and 2015. The low-burden cluster was used as the reference group. Analyses were conducted among participants with complete data on all covariates included in Model 3. Model 1 was unadjusted. Model 2 was adjusted for age and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Model 3 was adjusted for age, </w:t>
            </w:r>
            <w:r>
              <w:rPr>
                <w:rFonts w:hint="eastAsia" w:ascii="Times New Roman" w:hAnsi="Times New Roman" w:eastAsia="宋体" w:cs="Times New Roman"/>
                <w:i w:val="0"/>
                <w:iCs w:val="0"/>
                <w:color w:val="000000"/>
                <w:kern w:val="0"/>
                <w:sz w:val="24"/>
                <w:szCs w:val="24"/>
                <w:u w:val="none"/>
                <w:lang w:val="en-US" w:eastAsia="zh-CN" w:bidi="ar"/>
              </w:rPr>
              <w:t>sex</w:t>
            </w:r>
            <w:r>
              <w:rPr>
                <w:rFonts w:hint="default" w:ascii="Times New Roman" w:hAnsi="Times New Roman" w:eastAsia="宋体" w:cs="Times New Roman"/>
                <w:i w:val="0"/>
                <w:iCs w:val="0"/>
                <w:color w:val="000000"/>
                <w:kern w:val="0"/>
                <w:sz w:val="24"/>
                <w:szCs w:val="24"/>
                <w:u w:val="none"/>
                <w:lang w:val="en-US" w:eastAsia="zh-CN" w:bidi="ar"/>
              </w:rPr>
              <w:t xml:space="preserve">, marital status, educational level, residence, smoking status, </w:t>
            </w:r>
            <w:r>
              <w:rPr>
                <w:rFonts w:hint="eastAsia" w:ascii="Times New Roman" w:hAnsi="Times New Roman" w:eastAsia="宋体" w:cs="Times New Roman"/>
                <w:i w:val="0"/>
                <w:iCs w:val="0"/>
                <w:color w:val="000000"/>
                <w:kern w:val="0"/>
                <w:sz w:val="24"/>
                <w:szCs w:val="24"/>
                <w:u w:val="none"/>
                <w:lang w:val="en-US" w:eastAsia="zh-CN" w:bidi="ar"/>
              </w:rPr>
              <w:t>drinking status</w:t>
            </w:r>
            <w:r>
              <w:rPr>
                <w:rFonts w:hint="default" w:ascii="Times New Roman" w:hAnsi="Times New Roman" w:eastAsia="宋体" w:cs="Times New Roman"/>
                <w:i w:val="0"/>
                <w:iCs w:val="0"/>
                <w:color w:val="000000"/>
                <w:kern w:val="0"/>
                <w:sz w:val="24"/>
                <w:szCs w:val="24"/>
                <w:u w:val="none"/>
                <w:lang w:val="en-US" w:eastAsia="zh-CN" w:bidi="ar"/>
              </w:rPr>
              <w:t>, cancer, liver disease and kidney disease. HR, hazard ratio; CI, confidence interval; CVD, cardiovascular disease; TyG-CVAI, triglyceride glucose–Chinese visceral adiposity index.</w:t>
            </w:r>
          </w:p>
        </w:tc>
      </w:tr>
    </w:tbl>
    <w:p w14:paraId="43163FE3">
      <w:pPr>
        <w:rPr>
          <w:rFonts w:ascii="Times New Roman" w:hAnsi="Times New Roman" w:eastAsia="宋体" w:cs="Times New Roman"/>
          <w:color w:val="000000"/>
          <w:kern w:val="0"/>
          <w:szCs w:val="21"/>
          <w:lang w:bidi="ar"/>
        </w:rPr>
        <w:sectPr>
          <w:pgSz w:w="16838" w:h="11906" w:orient="landscape"/>
          <w:pgMar w:top="1800" w:right="1440" w:bottom="1800" w:left="1440" w:header="851" w:footer="992" w:gutter="0"/>
          <w:cols w:space="425" w:num="1"/>
          <w:docGrid w:type="lines" w:linePitch="312" w:charSpace="0"/>
        </w:sectPr>
      </w:pPr>
    </w:p>
    <w:tbl>
      <w:tblPr>
        <w:tblStyle w:val="6"/>
        <w:tblW w:w="131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76"/>
        <w:gridCol w:w="1628"/>
        <w:gridCol w:w="956"/>
        <w:gridCol w:w="956"/>
        <w:gridCol w:w="1955"/>
      </w:tblGrid>
      <w:tr w14:paraId="4CEA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jc w:val="center"/>
        </w:trPr>
        <w:tc>
          <w:tcPr>
            <w:tcW w:w="13171" w:type="dxa"/>
            <w:gridSpan w:val="5"/>
            <w:tcBorders>
              <w:top w:val="nil"/>
              <w:left w:val="nil"/>
              <w:bottom w:val="nil"/>
              <w:right w:val="nil"/>
            </w:tcBorders>
            <w:shd w:val="clear" w:color="auto" w:fill="auto"/>
            <w:noWrap/>
            <w:vAlign w:val="center"/>
          </w:tcPr>
          <w:p w14:paraId="0BF92BB5">
            <w:pPr>
              <w:pStyle w:val="2"/>
              <w:keepNext w:val="0"/>
              <w:keepLines w:val="0"/>
              <w:widowControl/>
              <w:suppressLineNumbers w:val="0"/>
              <w:jc w:val="left"/>
              <w:textAlignment w:val="center"/>
              <w:rPr>
                <w:rFonts w:hint="default" w:ascii="Times New Roman" w:hAnsi="Times New Roman" w:eastAsia="宋体" w:cs="Times New Roman"/>
                <w:b/>
                <w:bCs/>
                <w:i w:val="0"/>
                <w:iCs w:val="0"/>
                <w:color w:val="000000"/>
                <w:szCs w:val="22"/>
                <w:u w:val="none"/>
              </w:rPr>
            </w:pPr>
            <w:bookmarkStart w:id="20" w:name="_Toc16294"/>
            <w:bookmarkStart w:id="21" w:name="_Toc22881"/>
            <w:r>
              <w:rPr>
                <w:b/>
                <w:bCs/>
              </w:rPr>
              <w:t>Table S11</w:t>
            </w:r>
            <w:bookmarkEnd w:id="20"/>
            <w:r>
              <w:rPr>
                <w:rFonts w:hint="default"/>
                <w:b/>
                <w:bCs/>
                <w:lang w:val="en-US" w:eastAsia="zh-CN"/>
              </w:rPr>
              <w:t>.</w:t>
            </w:r>
            <w:r>
              <w:rPr>
                <w:rFonts w:hint="default"/>
                <w:lang w:val="en-US" w:eastAsia="zh-CN"/>
              </w:rPr>
              <w:t xml:space="preserve"> Proportional hazards assumption tests for Cox models.</w:t>
            </w:r>
            <w:bookmarkEnd w:id="21"/>
          </w:p>
        </w:tc>
      </w:tr>
      <w:tr w14:paraId="6DA9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6" w:hRule="atLeast"/>
          <w:jc w:val="center"/>
        </w:trPr>
        <w:tc>
          <w:tcPr>
            <w:tcW w:w="7676" w:type="dxa"/>
            <w:tcBorders>
              <w:top w:val="single" w:color="000000" w:sz="12" w:space="0"/>
              <w:left w:val="nil"/>
              <w:bottom w:val="single" w:color="000000" w:sz="8" w:space="0"/>
              <w:right w:val="nil"/>
            </w:tcBorders>
            <w:shd w:val="clear" w:color="auto" w:fill="auto"/>
            <w:vAlign w:val="center"/>
          </w:tcPr>
          <w:p w14:paraId="5B2B6F9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w:t>
            </w:r>
          </w:p>
        </w:tc>
        <w:tc>
          <w:tcPr>
            <w:tcW w:w="1628" w:type="dxa"/>
            <w:tcBorders>
              <w:top w:val="single" w:color="000000" w:sz="12" w:space="0"/>
              <w:left w:val="nil"/>
              <w:bottom w:val="single" w:color="000000" w:sz="8" w:space="0"/>
              <w:right w:val="nil"/>
            </w:tcBorders>
            <w:shd w:val="clear" w:color="auto" w:fill="auto"/>
            <w:vAlign w:val="center"/>
          </w:tcPr>
          <w:p w14:paraId="0CDBBFA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Chi-square</w:t>
            </w:r>
          </w:p>
        </w:tc>
        <w:tc>
          <w:tcPr>
            <w:tcW w:w="956" w:type="dxa"/>
            <w:tcBorders>
              <w:top w:val="single" w:color="000000" w:sz="12" w:space="0"/>
              <w:left w:val="nil"/>
              <w:bottom w:val="single" w:color="000000" w:sz="8" w:space="0"/>
              <w:right w:val="nil"/>
            </w:tcBorders>
            <w:shd w:val="clear" w:color="auto" w:fill="auto"/>
            <w:vAlign w:val="center"/>
          </w:tcPr>
          <w:p w14:paraId="2E2A6A6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df</w:t>
            </w:r>
          </w:p>
        </w:tc>
        <w:tc>
          <w:tcPr>
            <w:tcW w:w="956" w:type="dxa"/>
            <w:tcBorders>
              <w:top w:val="single" w:color="000000" w:sz="12" w:space="0"/>
              <w:left w:val="nil"/>
              <w:bottom w:val="single" w:color="000000" w:sz="8" w:space="0"/>
              <w:right w:val="nil"/>
            </w:tcBorders>
            <w:shd w:val="clear" w:color="auto" w:fill="auto"/>
            <w:vAlign w:val="center"/>
          </w:tcPr>
          <w:p w14:paraId="54EC12A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P value</w:t>
            </w:r>
          </w:p>
        </w:tc>
        <w:tc>
          <w:tcPr>
            <w:tcW w:w="1955" w:type="dxa"/>
            <w:tcBorders>
              <w:top w:val="single" w:color="000000" w:sz="12" w:space="0"/>
              <w:left w:val="nil"/>
              <w:bottom w:val="single" w:color="000000" w:sz="8" w:space="0"/>
              <w:right w:val="nil"/>
            </w:tcBorders>
            <w:shd w:val="clear" w:color="auto" w:fill="auto"/>
            <w:vAlign w:val="center"/>
          </w:tcPr>
          <w:p w14:paraId="6680F0F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Global P value</w:t>
            </w:r>
          </w:p>
        </w:tc>
      </w:tr>
      <w:tr w14:paraId="452BC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7676" w:type="dxa"/>
            <w:tcBorders>
              <w:top w:val="nil"/>
              <w:left w:val="nil"/>
              <w:bottom w:val="nil"/>
              <w:right w:val="nil"/>
            </w:tcBorders>
            <w:shd w:val="clear" w:color="auto" w:fill="auto"/>
            <w:vAlign w:val="center"/>
          </w:tcPr>
          <w:p w14:paraId="21DABFA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TyG-CVAI change-pattern model</w:t>
            </w:r>
          </w:p>
        </w:tc>
        <w:tc>
          <w:tcPr>
            <w:tcW w:w="1628" w:type="dxa"/>
            <w:tcBorders>
              <w:top w:val="nil"/>
              <w:left w:val="nil"/>
              <w:bottom w:val="nil"/>
              <w:right w:val="nil"/>
            </w:tcBorders>
            <w:shd w:val="clear" w:color="auto" w:fill="auto"/>
            <w:vAlign w:val="center"/>
          </w:tcPr>
          <w:p w14:paraId="7C48F93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w:t>
            </w:r>
          </w:p>
        </w:tc>
        <w:tc>
          <w:tcPr>
            <w:tcW w:w="956" w:type="dxa"/>
            <w:tcBorders>
              <w:top w:val="nil"/>
              <w:left w:val="nil"/>
              <w:bottom w:val="nil"/>
              <w:right w:val="nil"/>
            </w:tcBorders>
            <w:shd w:val="clear" w:color="auto" w:fill="auto"/>
            <w:vAlign w:val="center"/>
          </w:tcPr>
          <w:p w14:paraId="6BFF1C3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56" w:type="dxa"/>
            <w:tcBorders>
              <w:top w:val="nil"/>
              <w:left w:val="nil"/>
              <w:bottom w:val="nil"/>
              <w:right w:val="nil"/>
            </w:tcBorders>
            <w:shd w:val="clear" w:color="auto" w:fill="auto"/>
            <w:vAlign w:val="center"/>
          </w:tcPr>
          <w:p w14:paraId="7B520FC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0.743</w:t>
            </w:r>
          </w:p>
        </w:tc>
        <w:tc>
          <w:tcPr>
            <w:tcW w:w="1955" w:type="dxa"/>
            <w:tcBorders>
              <w:top w:val="nil"/>
              <w:left w:val="nil"/>
              <w:bottom w:val="nil"/>
              <w:right w:val="nil"/>
            </w:tcBorders>
            <w:shd w:val="clear" w:color="auto" w:fill="auto"/>
            <w:vAlign w:val="center"/>
          </w:tcPr>
          <w:p w14:paraId="13C6405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0.91</w:t>
            </w:r>
          </w:p>
        </w:tc>
      </w:tr>
      <w:tr w14:paraId="0D3DB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676" w:type="dxa"/>
            <w:tcBorders>
              <w:top w:val="nil"/>
              <w:left w:val="nil"/>
              <w:bottom w:val="nil"/>
              <w:right w:val="nil"/>
            </w:tcBorders>
            <w:shd w:val="clear" w:color="auto" w:fill="auto"/>
            <w:vAlign w:val="center"/>
          </w:tcPr>
          <w:p w14:paraId="358A62F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Continuous cumulative TyG-CVAI model (per 1-SD increase)</w:t>
            </w:r>
          </w:p>
        </w:tc>
        <w:tc>
          <w:tcPr>
            <w:tcW w:w="1628" w:type="dxa"/>
            <w:tcBorders>
              <w:top w:val="nil"/>
              <w:left w:val="nil"/>
              <w:bottom w:val="nil"/>
              <w:right w:val="nil"/>
            </w:tcBorders>
            <w:shd w:val="clear" w:color="auto" w:fill="auto"/>
            <w:vAlign w:val="center"/>
          </w:tcPr>
          <w:p w14:paraId="06A48A0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956" w:type="dxa"/>
            <w:tcBorders>
              <w:top w:val="nil"/>
              <w:left w:val="nil"/>
              <w:bottom w:val="nil"/>
              <w:right w:val="nil"/>
            </w:tcBorders>
            <w:shd w:val="clear" w:color="auto" w:fill="auto"/>
            <w:vAlign w:val="center"/>
          </w:tcPr>
          <w:p w14:paraId="5CEA75B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56" w:type="dxa"/>
            <w:tcBorders>
              <w:top w:val="nil"/>
              <w:left w:val="nil"/>
              <w:bottom w:val="nil"/>
              <w:right w:val="nil"/>
            </w:tcBorders>
            <w:shd w:val="clear" w:color="auto" w:fill="auto"/>
            <w:vAlign w:val="center"/>
          </w:tcPr>
          <w:p w14:paraId="4A0A3AC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0.958</w:t>
            </w:r>
          </w:p>
        </w:tc>
        <w:tc>
          <w:tcPr>
            <w:tcW w:w="1955" w:type="dxa"/>
            <w:tcBorders>
              <w:top w:val="nil"/>
              <w:left w:val="nil"/>
              <w:bottom w:val="nil"/>
              <w:right w:val="nil"/>
            </w:tcBorders>
            <w:shd w:val="clear" w:color="auto" w:fill="auto"/>
            <w:vAlign w:val="center"/>
          </w:tcPr>
          <w:p w14:paraId="60180FD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0.889</w:t>
            </w:r>
          </w:p>
        </w:tc>
      </w:tr>
      <w:tr w14:paraId="4D1D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3" w:hRule="atLeast"/>
          <w:jc w:val="center"/>
        </w:trPr>
        <w:tc>
          <w:tcPr>
            <w:tcW w:w="7676" w:type="dxa"/>
            <w:tcBorders>
              <w:top w:val="nil"/>
              <w:left w:val="nil"/>
              <w:bottom w:val="nil"/>
              <w:right w:val="nil"/>
            </w:tcBorders>
            <w:shd w:val="clear" w:color="auto" w:fill="auto"/>
            <w:vAlign w:val="center"/>
          </w:tcPr>
          <w:p w14:paraId="3851B05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Cumulative TyG-CVAI quartile model</w:t>
            </w:r>
          </w:p>
        </w:tc>
        <w:tc>
          <w:tcPr>
            <w:tcW w:w="1628" w:type="dxa"/>
            <w:tcBorders>
              <w:top w:val="nil"/>
              <w:left w:val="nil"/>
              <w:bottom w:val="nil"/>
              <w:right w:val="nil"/>
            </w:tcBorders>
            <w:shd w:val="clear" w:color="auto" w:fill="auto"/>
            <w:vAlign w:val="center"/>
          </w:tcPr>
          <w:p w14:paraId="0E5D989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956" w:type="dxa"/>
            <w:tcBorders>
              <w:top w:val="nil"/>
              <w:left w:val="nil"/>
              <w:bottom w:val="nil"/>
              <w:right w:val="nil"/>
            </w:tcBorders>
            <w:shd w:val="clear" w:color="auto" w:fill="auto"/>
            <w:vAlign w:val="center"/>
          </w:tcPr>
          <w:p w14:paraId="3044EFD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56" w:type="dxa"/>
            <w:tcBorders>
              <w:top w:val="nil"/>
              <w:left w:val="nil"/>
              <w:bottom w:val="nil"/>
              <w:right w:val="nil"/>
            </w:tcBorders>
            <w:shd w:val="clear" w:color="auto" w:fill="auto"/>
            <w:vAlign w:val="center"/>
          </w:tcPr>
          <w:p w14:paraId="13B4C3C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0.44</w:t>
            </w:r>
          </w:p>
        </w:tc>
        <w:tc>
          <w:tcPr>
            <w:tcW w:w="1955" w:type="dxa"/>
            <w:tcBorders>
              <w:top w:val="nil"/>
              <w:left w:val="nil"/>
              <w:bottom w:val="nil"/>
              <w:right w:val="nil"/>
            </w:tcBorders>
            <w:shd w:val="clear" w:color="auto" w:fill="auto"/>
            <w:vAlign w:val="center"/>
          </w:tcPr>
          <w:p w14:paraId="1B9851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0.855</w:t>
            </w:r>
          </w:p>
        </w:tc>
      </w:tr>
      <w:tr w14:paraId="6831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7676" w:type="dxa"/>
            <w:tcBorders>
              <w:top w:val="nil"/>
              <w:left w:val="nil"/>
              <w:bottom w:val="nil"/>
              <w:right w:val="nil"/>
            </w:tcBorders>
            <w:shd w:val="clear" w:color="auto" w:fill="auto"/>
            <w:vAlign w:val="center"/>
          </w:tcPr>
          <w:p w14:paraId="749E096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Expanded adjustment change-pattern model</w:t>
            </w:r>
          </w:p>
        </w:tc>
        <w:tc>
          <w:tcPr>
            <w:tcW w:w="1628" w:type="dxa"/>
            <w:tcBorders>
              <w:top w:val="nil"/>
              <w:left w:val="nil"/>
              <w:bottom w:val="nil"/>
              <w:right w:val="nil"/>
            </w:tcBorders>
            <w:shd w:val="clear" w:color="auto" w:fill="auto"/>
            <w:vAlign w:val="center"/>
          </w:tcPr>
          <w:p w14:paraId="73EA397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1.584</w:t>
            </w:r>
          </w:p>
        </w:tc>
        <w:tc>
          <w:tcPr>
            <w:tcW w:w="956" w:type="dxa"/>
            <w:tcBorders>
              <w:top w:val="nil"/>
              <w:left w:val="nil"/>
              <w:bottom w:val="nil"/>
              <w:right w:val="nil"/>
            </w:tcBorders>
            <w:shd w:val="clear" w:color="auto" w:fill="auto"/>
            <w:vAlign w:val="center"/>
          </w:tcPr>
          <w:p w14:paraId="33943A9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56" w:type="dxa"/>
            <w:tcBorders>
              <w:top w:val="nil"/>
              <w:left w:val="nil"/>
              <w:bottom w:val="nil"/>
              <w:right w:val="nil"/>
            </w:tcBorders>
            <w:shd w:val="clear" w:color="auto" w:fill="auto"/>
            <w:vAlign w:val="center"/>
          </w:tcPr>
          <w:p w14:paraId="36A3035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0.663</w:t>
            </w:r>
          </w:p>
        </w:tc>
        <w:tc>
          <w:tcPr>
            <w:tcW w:w="1955" w:type="dxa"/>
            <w:tcBorders>
              <w:top w:val="nil"/>
              <w:left w:val="nil"/>
              <w:bottom w:val="nil"/>
              <w:right w:val="nil"/>
            </w:tcBorders>
            <w:shd w:val="clear" w:color="auto" w:fill="auto"/>
            <w:vAlign w:val="center"/>
          </w:tcPr>
          <w:p w14:paraId="4598A31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0.822</w:t>
            </w:r>
          </w:p>
        </w:tc>
      </w:tr>
      <w:tr w14:paraId="3B6B1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676" w:type="dxa"/>
            <w:tcBorders>
              <w:top w:val="nil"/>
              <w:left w:val="nil"/>
              <w:bottom w:val="nil"/>
              <w:right w:val="nil"/>
            </w:tcBorders>
            <w:shd w:val="clear" w:color="auto" w:fill="auto"/>
            <w:vAlign w:val="center"/>
          </w:tcPr>
          <w:p w14:paraId="2395841A">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Expanded adjustment continuous cumulative TyG-CVAI model</w:t>
            </w:r>
            <w:r>
              <w:rPr>
                <w:rFonts w:hint="eastAsia"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eastAsia="宋体" w:cs="Times New Roman"/>
                <w:i w:val="0"/>
                <w:iCs w:val="0"/>
                <w:color w:val="000000"/>
                <w:kern w:val="0"/>
                <w:sz w:val="22"/>
                <w:szCs w:val="22"/>
                <w:u w:val="none"/>
                <w:lang w:val="en-US" w:eastAsia="zh-CN" w:bidi="ar"/>
              </w:rPr>
              <w:t>(per 1-SD increase)</w:t>
            </w:r>
          </w:p>
        </w:tc>
        <w:tc>
          <w:tcPr>
            <w:tcW w:w="1628" w:type="dxa"/>
            <w:tcBorders>
              <w:top w:val="nil"/>
              <w:left w:val="nil"/>
              <w:bottom w:val="nil"/>
              <w:right w:val="nil"/>
            </w:tcBorders>
            <w:shd w:val="clear" w:color="auto" w:fill="auto"/>
            <w:vAlign w:val="center"/>
          </w:tcPr>
          <w:p w14:paraId="4E76242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0.038</w:t>
            </w:r>
          </w:p>
        </w:tc>
        <w:tc>
          <w:tcPr>
            <w:tcW w:w="956" w:type="dxa"/>
            <w:tcBorders>
              <w:top w:val="nil"/>
              <w:left w:val="nil"/>
              <w:bottom w:val="nil"/>
              <w:right w:val="nil"/>
            </w:tcBorders>
            <w:shd w:val="clear" w:color="auto" w:fill="auto"/>
            <w:vAlign w:val="center"/>
          </w:tcPr>
          <w:p w14:paraId="748657E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56" w:type="dxa"/>
            <w:tcBorders>
              <w:top w:val="nil"/>
              <w:left w:val="nil"/>
              <w:bottom w:val="nil"/>
              <w:right w:val="nil"/>
            </w:tcBorders>
            <w:shd w:val="clear" w:color="auto" w:fill="auto"/>
            <w:vAlign w:val="center"/>
          </w:tcPr>
          <w:p w14:paraId="21F28EF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0.846</w:t>
            </w:r>
          </w:p>
        </w:tc>
        <w:tc>
          <w:tcPr>
            <w:tcW w:w="1955" w:type="dxa"/>
            <w:tcBorders>
              <w:top w:val="nil"/>
              <w:left w:val="nil"/>
              <w:bottom w:val="nil"/>
              <w:right w:val="nil"/>
            </w:tcBorders>
            <w:shd w:val="clear" w:color="auto" w:fill="auto"/>
            <w:vAlign w:val="center"/>
          </w:tcPr>
          <w:p w14:paraId="1872E3C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0.843</w:t>
            </w:r>
          </w:p>
        </w:tc>
      </w:tr>
      <w:tr w14:paraId="6374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7676" w:type="dxa"/>
            <w:tcBorders>
              <w:top w:val="nil"/>
              <w:left w:val="nil"/>
              <w:bottom w:val="single" w:color="000000" w:sz="12" w:space="0"/>
              <w:right w:val="nil"/>
            </w:tcBorders>
            <w:shd w:val="clear" w:color="auto" w:fill="auto"/>
            <w:vAlign w:val="center"/>
          </w:tcPr>
          <w:p w14:paraId="289733F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Expanded adjustment cumulative TyG-CVAI quartile model</w:t>
            </w:r>
          </w:p>
        </w:tc>
        <w:tc>
          <w:tcPr>
            <w:tcW w:w="1628" w:type="dxa"/>
            <w:tcBorders>
              <w:top w:val="nil"/>
              <w:left w:val="nil"/>
              <w:bottom w:val="single" w:color="000000" w:sz="12" w:space="0"/>
              <w:right w:val="nil"/>
            </w:tcBorders>
            <w:shd w:val="clear" w:color="auto" w:fill="auto"/>
            <w:vAlign w:val="center"/>
          </w:tcPr>
          <w:p w14:paraId="556E903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2.961</w:t>
            </w:r>
          </w:p>
        </w:tc>
        <w:tc>
          <w:tcPr>
            <w:tcW w:w="956" w:type="dxa"/>
            <w:tcBorders>
              <w:top w:val="nil"/>
              <w:left w:val="nil"/>
              <w:bottom w:val="single" w:color="000000" w:sz="12" w:space="0"/>
              <w:right w:val="nil"/>
            </w:tcBorders>
            <w:shd w:val="clear" w:color="auto" w:fill="auto"/>
            <w:vAlign w:val="center"/>
          </w:tcPr>
          <w:p w14:paraId="561067E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56" w:type="dxa"/>
            <w:tcBorders>
              <w:top w:val="nil"/>
              <w:left w:val="nil"/>
              <w:bottom w:val="single" w:color="000000" w:sz="12" w:space="0"/>
              <w:right w:val="nil"/>
            </w:tcBorders>
            <w:shd w:val="clear" w:color="auto" w:fill="auto"/>
            <w:vAlign w:val="center"/>
          </w:tcPr>
          <w:p w14:paraId="1C8D4EA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0.398</w:t>
            </w:r>
          </w:p>
        </w:tc>
        <w:tc>
          <w:tcPr>
            <w:tcW w:w="1955" w:type="dxa"/>
            <w:tcBorders>
              <w:top w:val="nil"/>
              <w:left w:val="nil"/>
              <w:bottom w:val="single" w:color="000000" w:sz="12" w:space="0"/>
              <w:right w:val="nil"/>
            </w:tcBorders>
            <w:shd w:val="clear" w:color="auto" w:fill="auto"/>
            <w:vAlign w:val="center"/>
          </w:tcPr>
          <w:p w14:paraId="065BB89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0.714</w:t>
            </w:r>
          </w:p>
        </w:tc>
      </w:tr>
      <w:tr w14:paraId="4F290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3" w:hRule="atLeast"/>
          <w:jc w:val="center"/>
        </w:trPr>
        <w:tc>
          <w:tcPr>
            <w:tcW w:w="13171" w:type="dxa"/>
            <w:gridSpan w:val="5"/>
            <w:tcBorders>
              <w:top w:val="nil"/>
              <w:left w:val="nil"/>
              <w:bottom w:val="nil"/>
              <w:right w:val="nil"/>
            </w:tcBorders>
            <w:shd w:val="clear" w:color="auto" w:fill="auto"/>
            <w:vAlign w:val="center"/>
          </w:tcPr>
          <w:p w14:paraId="6B9ADE42">
            <w:pPr>
              <w:keepNext w:val="0"/>
              <w:keepLines w:val="0"/>
              <w:widowControl/>
              <w:suppressLineNumbers w:val="0"/>
              <w:spacing w:line="300" w:lineRule="auto"/>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 xml:space="preserve">The proportional hazards assumption was assessed using Schoenfeld residuals. The table presents tests for the main exposure term and the corresponding global test for each Cox model. Main models were adjusted according to Model 3. </w:t>
            </w:r>
          </w:p>
          <w:p w14:paraId="353CC5A2">
            <w:pPr>
              <w:keepNext w:val="0"/>
              <w:keepLines w:val="0"/>
              <w:widowControl/>
              <w:suppressLineNumbers w:val="0"/>
              <w:spacing w:line="30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Expanded adjustment models were additionally adjusted for baseline hypertension and diabetes. PH, proportional hazards; df, degrees of freedom; TyG-CVAI, triglyceride glucose–Chinese visceral adiposity index.</w:t>
            </w:r>
          </w:p>
        </w:tc>
      </w:tr>
    </w:tbl>
    <w:p w14:paraId="4A0DA31C">
      <w:pPr>
        <w:rPr>
          <w:rFonts w:hint="default" w:ascii="Times New Roman" w:hAnsi="Times New Roman" w:eastAsia="宋体" w:cs="Times New Roman"/>
          <w:color w:val="000000"/>
          <w:kern w:val="0"/>
          <w:szCs w:val="21"/>
          <w:lang w:val="en-US" w:eastAsia="zh-CN" w:bidi="ar"/>
        </w:rPr>
        <w:sectPr>
          <w:pgSz w:w="16838" w:h="11906" w:orient="landscape"/>
          <w:pgMar w:top="1800" w:right="1440" w:bottom="1800" w:left="1440" w:header="851" w:footer="992" w:gutter="0"/>
          <w:cols w:space="425" w:num="1"/>
          <w:docGrid w:type="lines" w:linePitch="312" w:charSpace="0"/>
        </w:sectPr>
      </w:pPr>
    </w:p>
    <w:p w14:paraId="18199D10">
      <w:pPr>
        <w:rPr>
          <w:rFonts w:hint="eastAsia" w:eastAsiaTheme="minorEastAsia"/>
          <w:lang w:eastAsia="zh-CN"/>
        </w:rPr>
      </w:pPr>
      <w:r>
        <w:rPr>
          <w:rFonts w:hint="eastAsia" w:eastAsiaTheme="minorEastAsia"/>
          <w:lang w:eastAsia="zh-CN"/>
        </w:rPr>
        <w:drawing>
          <wp:inline distT="0" distB="0" distL="114300" distR="114300">
            <wp:extent cx="5274310" cy="3714750"/>
            <wp:effectExtent l="0" t="0" r="4445" b="9525"/>
            <wp:docPr id="2" name="图片 2" descr="FigS1四分位流向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1四分位流向图"/>
                    <pic:cNvPicPr>
                      <a:picLocks noChangeAspect="1"/>
                    </pic:cNvPicPr>
                  </pic:nvPicPr>
                  <pic:blipFill>
                    <a:blip r:embed="rId4"/>
                    <a:stretch>
                      <a:fillRect/>
                    </a:stretch>
                  </pic:blipFill>
                  <pic:spPr>
                    <a:xfrm>
                      <a:off x="0" y="0"/>
                      <a:ext cx="5274310" cy="3714750"/>
                    </a:xfrm>
                    <a:prstGeom prst="rect">
                      <a:avLst/>
                    </a:prstGeom>
                  </pic:spPr>
                </pic:pic>
              </a:graphicData>
            </a:graphic>
          </wp:inline>
        </w:drawing>
      </w:r>
    </w:p>
    <w:p w14:paraId="515A03E9">
      <w:pPr>
        <w:pStyle w:val="2"/>
        <w:rPr>
          <w:rFonts w:hint="default" w:ascii="Times New Roman" w:hAnsi="Times New Roman" w:cs="Times New Roman" w:eastAsiaTheme="minorEastAsia"/>
          <w:lang w:eastAsia="zh-CN"/>
        </w:rPr>
      </w:pPr>
      <w:bookmarkStart w:id="22" w:name="_Toc11800"/>
      <w:bookmarkStart w:id="23" w:name="_Toc3781"/>
      <w:r>
        <w:rPr>
          <w:b/>
          <w:bCs/>
        </w:rPr>
        <w:t>Figure S1</w:t>
      </w:r>
      <w:bookmarkEnd w:id="22"/>
      <w:r>
        <w:rPr>
          <w:rFonts w:hint="default"/>
          <w:b/>
          <w:bCs/>
          <w:lang w:eastAsia="zh-CN"/>
        </w:rPr>
        <w:t>.</w:t>
      </w:r>
      <w:r>
        <w:rPr>
          <w:rFonts w:hint="default"/>
          <w:lang w:eastAsia="zh-CN"/>
        </w:rPr>
        <w:t xml:space="preserve"> Flow of sex-specific TyG-CVAI quartiles from 2011 to 2015 in CHARLS</w:t>
      </w:r>
      <w:bookmarkEnd w:id="23"/>
    </w:p>
    <w:p w14:paraId="4D501C2C">
      <w:pPr>
        <w:pStyle w:val="2"/>
        <w:rPr>
          <w:rFonts w:hint="default"/>
          <w:lang w:eastAsia="zh-CN"/>
        </w:rPr>
        <w:sectPr>
          <w:pgSz w:w="11906" w:h="16838"/>
          <w:pgMar w:top="1440" w:right="1800" w:bottom="1440" w:left="1800" w:header="851" w:footer="992" w:gutter="0"/>
          <w:cols w:space="425" w:num="1"/>
          <w:docGrid w:type="lines" w:linePitch="312" w:charSpace="0"/>
        </w:sectPr>
      </w:pPr>
    </w:p>
    <w:p w14:paraId="1BF93FBE">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265420" cy="3724910"/>
            <wp:effectExtent l="0" t="0" r="2540" b="10160"/>
            <wp:docPr id="3" name="图片 3" descr="FigS2箱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2箱图"/>
                    <pic:cNvPicPr>
                      <a:picLocks noChangeAspect="1"/>
                    </pic:cNvPicPr>
                  </pic:nvPicPr>
                  <pic:blipFill>
                    <a:blip r:embed="rId5"/>
                    <a:stretch>
                      <a:fillRect/>
                    </a:stretch>
                  </pic:blipFill>
                  <pic:spPr>
                    <a:xfrm>
                      <a:off x="0" y="0"/>
                      <a:ext cx="5265420" cy="3724910"/>
                    </a:xfrm>
                    <a:prstGeom prst="rect">
                      <a:avLst/>
                    </a:prstGeom>
                  </pic:spPr>
                </pic:pic>
              </a:graphicData>
            </a:graphic>
          </wp:inline>
        </w:drawing>
      </w:r>
    </w:p>
    <w:p w14:paraId="4FEE701F">
      <w:pPr>
        <w:pStyle w:val="2"/>
        <w:keepNext/>
        <w:keepLines/>
        <w:pageBreakBefore w:val="0"/>
        <w:widowControl w:val="0"/>
        <w:kinsoku/>
        <w:wordWrap/>
        <w:overflowPunct/>
        <w:topLinePunct w:val="0"/>
        <w:autoSpaceDE/>
        <w:autoSpaceDN/>
        <w:bidi w:val="0"/>
        <w:adjustRightInd/>
        <w:snapToGrid/>
        <w:spacing w:line="300" w:lineRule="auto"/>
        <w:textAlignment w:val="auto"/>
        <w:rPr>
          <w:rFonts w:hint="default"/>
        </w:rPr>
      </w:pPr>
      <w:bookmarkStart w:id="24" w:name="_Toc25343"/>
      <w:bookmarkStart w:id="25" w:name="_Toc3424"/>
      <w:r>
        <w:rPr>
          <w:b/>
          <w:bCs/>
        </w:rPr>
        <w:t>Figure S2</w:t>
      </w:r>
      <w:bookmarkEnd w:id="24"/>
      <w:r>
        <w:rPr>
          <w:rFonts w:hint="default"/>
          <w:b/>
          <w:bCs/>
        </w:rPr>
        <w:t>.</w:t>
      </w:r>
      <w:r>
        <w:rPr>
          <w:rFonts w:hint="default"/>
        </w:rPr>
        <w:t xml:space="preserve"> Distribution of sex-standardized TyG-CVAI in 2011 and 2015 according to predefined change patterns</w:t>
      </w:r>
      <w:bookmarkEnd w:id="25"/>
    </w:p>
    <w:p w14:paraId="01965B13">
      <w:pPr>
        <w:rPr>
          <w:rFonts w:hint="default" w:ascii="Times New Roman" w:hAnsi="Times New Roman" w:cs="Times New Roman"/>
          <w:lang w:eastAsia="zh-CN"/>
        </w:rPr>
        <w:sectPr>
          <w:pgSz w:w="11906" w:h="16838"/>
          <w:pgMar w:top="1440" w:right="1800" w:bottom="1440" w:left="1800" w:header="851" w:footer="992" w:gutter="0"/>
          <w:cols w:space="425" w:num="1"/>
          <w:docGrid w:type="lines" w:linePitch="312" w:charSpace="0"/>
        </w:sectPr>
      </w:pPr>
    </w:p>
    <w:p w14:paraId="38BAA8C6">
      <w:pPr>
        <w:rPr>
          <w:rFonts w:hint="eastAsia" w:eastAsiaTheme="minorEastAsia"/>
          <w:lang w:eastAsia="zh-CN"/>
        </w:rPr>
      </w:pPr>
      <w:r>
        <w:rPr>
          <w:rFonts w:hint="eastAsia" w:eastAsiaTheme="minorEastAsia"/>
          <w:lang w:eastAsia="zh-CN"/>
        </w:rPr>
        <w:drawing>
          <wp:inline distT="0" distB="0" distL="114300" distR="114300">
            <wp:extent cx="5264150" cy="3724275"/>
            <wp:effectExtent l="0" t="0" r="8890" b="9525"/>
            <wp:docPr id="5" name="图片 5" descr="FIg S3 tyg-cvai四分位数KM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 S3 tyg-cvai四分位数KM图_01"/>
                    <pic:cNvPicPr>
                      <a:picLocks noChangeAspect="1"/>
                    </pic:cNvPicPr>
                  </pic:nvPicPr>
                  <pic:blipFill>
                    <a:blip r:embed="rId6"/>
                    <a:stretch>
                      <a:fillRect/>
                    </a:stretch>
                  </pic:blipFill>
                  <pic:spPr>
                    <a:xfrm>
                      <a:off x="0" y="0"/>
                      <a:ext cx="5264150" cy="3724275"/>
                    </a:xfrm>
                    <a:prstGeom prst="rect">
                      <a:avLst/>
                    </a:prstGeom>
                  </pic:spPr>
                </pic:pic>
              </a:graphicData>
            </a:graphic>
          </wp:inline>
        </w:drawing>
      </w:r>
    </w:p>
    <w:p w14:paraId="46F1ED4D">
      <w:pPr>
        <w:pStyle w:val="2"/>
        <w:keepNext/>
        <w:keepLines/>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cs="Times New Roman"/>
        </w:rPr>
      </w:pPr>
      <w:bookmarkStart w:id="26" w:name="_Toc22594"/>
      <w:bookmarkStart w:id="27" w:name="_Toc29162"/>
      <w:r>
        <w:rPr>
          <w:b/>
          <w:bCs/>
        </w:rPr>
        <w:t>Figure S3</w:t>
      </w:r>
      <w:bookmarkEnd w:id="26"/>
      <w:r>
        <w:rPr>
          <w:rFonts w:hint="default"/>
          <w:b/>
          <w:bCs/>
        </w:rPr>
        <w:t xml:space="preserve">. </w:t>
      </w:r>
      <w:r>
        <w:rPr>
          <w:rFonts w:hint="default"/>
        </w:rPr>
        <w:t>Kaplan-Meier curves for cumulative incidence of CVD according to quartiles of cumulative TyG-CVAI in CHARLS</w:t>
      </w:r>
      <w:bookmarkEnd w:id="27"/>
    </w:p>
    <w:p w14:paraId="14FC4000">
      <w:pPr>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p w14:paraId="3000E3EF">
      <w:pPr>
        <w:jc w:val="center"/>
        <w:rPr>
          <w:rFonts w:hint="default" w:ascii="Times New Roman" w:hAnsi="Times New Roman" w:cs="Times New Roman"/>
          <w:lang w:eastAsia="zh-CN"/>
        </w:rPr>
      </w:pPr>
      <w:r>
        <w:rPr>
          <w:rFonts w:hint="default" w:ascii="Times New Roman" w:hAnsi="Times New Roman" w:cs="Times New Roman"/>
          <w:lang w:eastAsia="zh-CN"/>
        </w:rPr>
        <w:drawing>
          <wp:inline distT="0" distB="0" distL="114300" distR="114300">
            <wp:extent cx="5266690" cy="6365240"/>
            <wp:effectExtent l="0" t="0" r="1270" b="3810"/>
            <wp:docPr id="1" name="图片 1" descr="森林图(连续型tyg-cvai model3调整版)(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森林图(连续型tyg-cvai model3调整版)(1)-01"/>
                    <pic:cNvPicPr>
                      <a:picLocks noChangeAspect="1"/>
                    </pic:cNvPicPr>
                  </pic:nvPicPr>
                  <pic:blipFill>
                    <a:blip r:embed="rId7"/>
                    <a:stretch>
                      <a:fillRect/>
                    </a:stretch>
                  </pic:blipFill>
                  <pic:spPr>
                    <a:xfrm>
                      <a:off x="0" y="0"/>
                      <a:ext cx="5266690" cy="6365240"/>
                    </a:xfrm>
                    <a:prstGeom prst="rect">
                      <a:avLst/>
                    </a:prstGeom>
                  </pic:spPr>
                </pic:pic>
              </a:graphicData>
            </a:graphic>
          </wp:inline>
        </w:drawing>
      </w:r>
    </w:p>
    <w:p w14:paraId="28277297">
      <w:pPr>
        <w:pStyle w:val="2"/>
        <w:keepNext/>
        <w:keepLines/>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bookmarkStart w:id="28" w:name="_Toc16001"/>
      <w:bookmarkStart w:id="29" w:name="_Toc11566"/>
      <w:r>
        <w:rPr>
          <w:b/>
          <w:bCs/>
        </w:rPr>
        <w:t>Figure S4</w:t>
      </w:r>
      <w:bookmarkEnd w:id="28"/>
      <w:r>
        <w:rPr>
          <w:rFonts w:hint="default"/>
          <w:b/>
          <w:bCs/>
        </w:rPr>
        <w:t xml:space="preserve">. </w:t>
      </w:r>
      <w:r>
        <w:rPr>
          <w:rFonts w:hint="default"/>
        </w:rPr>
        <w:t>Subgroup analyses for the association between continuous cumulative TyG-CVAI and incident CVD in CHARLS</w:t>
      </w:r>
      <w:bookmarkEnd w:id="29"/>
    </w:p>
    <w:p w14:paraId="4DAD95EF">
      <w:pPr>
        <w:rPr>
          <w:rFonts w:hint="default" w:ascii="Times New Roman" w:hAnsi="Times New Roman" w:cs="Times New Roman"/>
          <w:b/>
          <w:bCs/>
          <w:lang w:eastAsia="zh-CN"/>
        </w:rPr>
      </w:pPr>
      <w:r>
        <w:rPr>
          <w:rFonts w:hint="default" w:ascii="Times New Roman" w:hAnsi="Times New Roman" w:cs="Times New Roman"/>
          <w:b/>
          <w:bCs/>
          <w:lang w:eastAsia="zh-CN"/>
        </w:rPr>
        <w:drawing>
          <wp:inline distT="0" distB="0" distL="114300" distR="114300">
            <wp:extent cx="5271135" cy="1788795"/>
            <wp:effectExtent l="0" t="0" r="7620" b="3175"/>
            <wp:docPr id="12" name="图片 12" descr="K-means clustering拼图2(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K-means clustering拼图2(1)-01(1)"/>
                    <pic:cNvPicPr>
                      <a:picLocks noChangeAspect="1"/>
                    </pic:cNvPicPr>
                  </pic:nvPicPr>
                  <pic:blipFill>
                    <a:blip r:embed="rId8"/>
                    <a:stretch>
                      <a:fillRect/>
                    </a:stretch>
                  </pic:blipFill>
                  <pic:spPr>
                    <a:xfrm>
                      <a:off x="0" y="0"/>
                      <a:ext cx="5271135" cy="1788795"/>
                    </a:xfrm>
                    <a:prstGeom prst="rect">
                      <a:avLst/>
                    </a:prstGeom>
                  </pic:spPr>
                </pic:pic>
              </a:graphicData>
            </a:graphic>
          </wp:inline>
        </w:drawing>
      </w:r>
    </w:p>
    <w:p w14:paraId="3880A36C">
      <w:pPr>
        <w:spacing w:line="300" w:lineRule="auto"/>
        <w:rPr>
          <w:rFonts w:hint="default" w:ascii="Times New Roman" w:hAnsi="Times New Roman" w:cs="Times New Roman"/>
          <w:lang w:eastAsia="zh-CN"/>
        </w:rPr>
      </w:pPr>
      <w:bookmarkStart w:id="30" w:name="_Toc29659"/>
      <w:bookmarkStart w:id="31" w:name="_Toc25322"/>
      <w:r>
        <w:rPr>
          <w:rStyle w:val="17"/>
          <w:b/>
          <w:bCs/>
        </w:rPr>
        <w:t>Figure S5</w:t>
      </w:r>
      <w:bookmarkEnd w:id="30"/>
      <w:r>
        <w:rPr>
          <w:rStyle w:val="17"/>
          <w:b/>
          <w:bCs/>
        </w:rPr>
        <w:t>.</w:t>
      </w:r>
      <w:r>
        <w:rPr>
          <w:rStyle w:val="17"/>
        </w:rPr>
        <w:t xml:space="preserve"> Exploratory K-means clustering of TyG-CVAI values measured in 2011 and 2015</w:t>
      </w:r>
      <w:bookmarkEnd w:id="31"/>
      <w:r>
        <w:rPr>
          <w:rFonts w:hint="default" w:ascii="Times New Roman" w:hAnsi="Times New Roman" w:cs="Times New Roman"/>
          <w:lang w:eastAsia="zh-CN"/>
        </w:rPr>
        <w:br w:type="textWrapping"/>
      </w:r>
      <w:r>
        <w:rPr>
          <w:rFonts w:hint="default" w:ascii="Times New Roman" w:hAnsi="Times New Roman" w:cs="Times New Roman"/>
          <w:sz w:val="22"/>
          <w:szCs w:val="28"/>
          <w:lang w:eastAsia="zh-CN"/>
        </w:rPr>
        <w:t>(A) Elbow method plot showing the within-cluster sum of squares across different numbers of clusters.</w:t>
      </w:r>
      <w:r>
        <w:rPr>
          <w:rFonts w:hint="default" w:ascii="Times New Roman" w:hAnsi="Times New Roman" w:cs="Times New Roman"/>
          <w:sz w:val="22"/>
          <w:szCs w:val="28"/>
          <w:lang w:eastAsia="zh-CN"/>
        </w:rPr>
        <w:br w:type="textWrapping"/>
      </w:r>
      <w:r>
        <w:rPr>
          <w:rFonts w:hint="default" w:ascii="Times New Roman" w:hAnsi="Times New Roman" w:cs="Times New Roman"/>
          <w:sz w:val="22"/>
          <w:szCs w:val="28"/>
          <w:lang w:eastAsia="zh-CN"/>
        </w:rPr>
        <w:t>(B) Average silhouette width across different numbers of clusters.</w:t>
      </w:r>
      <w:r>
        <w:rPr>
          <w:rFonts w:hint="default" w:ascii="Times New Roman" w:hAnsi="Times New Roman" w:cs="Times New Roman"/>
          <w:sz w:val="22"/>
          <w:szCs w:val="28"/>
          <w:lang w:eastAsia="zh-CN"/>
        </w:rPr>
        <w:br w:type="textWrapping"/>
      </w:r>
      <w:r>
        <w:rPr>
          <w:rFonts w:hint="default" w:ascii="Times New Roman" w:hAnsi="Times New Roman" w:cs="Times New Roman"/>
          <w:sz w:val="22"/>
          <w:szCs w:val="28"/>
          <w:lang w:eastAsia="zh-CN"/>
        </w:rPr>
        <w:t>(C) Mean TyG-CVAI trajectories of the two K-means-derived clusters from Wave 1 (2011) to Wave 3 (2015). K-means clustering was performed using winsorized and sex-standardized TyG-CVAI values.</w:t>
      </w:r>
    </w:p>
    <w:p w14:paraId="6C151E74">
      <w:pPr>
        <w:rPr>
          <w:rFonts w:hint="default" w:ascii="Times New Roman" w:hAnsi="Times New Roman" w:cs="Times New Roman"/>
          <w:lang w:eastAsia="zh-CN"/>
        </w:rPr>
      </w:pPr>
    </w:p>
    <w:p w14:paraId="4625E858">
      <w:pPr>
        <w:rPr>
          <w:rFonts w:hint="default" w:ascii="Times New Roman" w:hAnsi="Times New Roman" w:cs="Times New Roman"/>
          <w:lang w:eastAsia="zh-CN"/>
        </w:rPr>
      </w:pPr>
    </w:p>
    <w:p w14:paraId="6B8A7AF2">
      <w:pPr>
        <w:rPr>
          <w:rFonts w:hint="default" w:ascii="Times New Roman" w:hAnsi="Times New Roman" w:cs="Times New Roman"/>
          <w:lang w:eastAsia="zh-CN"/>
        </w:rPr>
      </w:pPr>
    </w:p>
    <w:p w14:paraId="13318174">
      <w:pPr>
        <w:rPr>
          <w:rFonts w:hint="default" w:ascii="Times New Roman" w:hAnsi="Times New Roman" w:cs="Times New Roman"/>
          <w:lang w:eastAsia="zh-CN"/>
        </w:rPr>
      </w:pPr>
    </w:p>
    <w:p w14:paraId="0BDA2B3A">
      <w:pPr>
        <w:rPr>
          <w:rFonts w:hint="default" w:ascii="Times New Roman" w:hAnsi="Times New Roman" w:cs="Times New Roman"/>
          <w:lang w:eastAsia="zh-CN"/>
        </w:rPr>
      </w:pPr>
    </w:p>
    <w:p w14:paraId="24E5706A">
      <w:pPr>
        <w:rPr>
          <w:rFonts w:hint="default" w:ascii="Times New Roman" w:hAnsi="Times New Roman" w:cs="Times New Roman"/>
          <w:lang w:eastAsia="zh-CN"/>
        </w:rPr>
      </w:pPr>
    </w:p>
    <w:p w14:paraId="52F74B24">
      <w:pPr>
        <w:rPr>
          <w:rFonts w:hint="default" w:ascii="Times New Roman" w:hAnsi="Times New Roman" w:cs="Times New Roman"/>
          <w:lang w:eastAsia="zh-CN"/>
        </w:rPr>
      </w:pPr>
    </w:p>
    <w:p w14:paraId="273C449E">
      <w:pPr>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p w14:paraId="794D4F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E509F3"/>
    <w:multiLevelType w:val="singleLevel"/>
    <w:tmpl w:val="53E509F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630AED"/>
    <w:rsid w:val="00537C28"/>
    <w:rsid w:val="00F50CDF"/>
    <w:rsid w:val="01042CD0"/>
    <w:rsid w:val="01457570"/>
    <w:rsid w:val="017E6F26"/>
    <w:rsid w:val="02021905"/>
    <w:rsid w:val="026003DA"/>
    <w:rsid w:val="02BF3353"/>
    <w:rsid w:val="03766107"/>
    <w:rsid w:val="06500E91"/>
    <w:rsid w:val="069845E6"/>
    <w:rsid w:val="06B55198"/>
    <w:rsid w:val="07117EF5"/>
    <w:rsid w:val="07A5520D"/>
    <w:rsid w:val="07E01DA1"/>
    <w:rsid w:val="08071A24"/>
    <w:rsid w:val="08A234FA"/>
    <w:rsid w:val="08E07DF1"/>
    <w:rsid w:val="08F31FA8"/>
    <w:rsid w:val="0926412B"/>
    <w:rsid w:val="0A5A1C12"/>
    <w:rsid w:val="0AA277E2"/>
    <w:rsid w:val="0D1A3FA7"/>
    <w:rsid w:val="0EB61AAE"/>
    <w:rsid w:val="0F40581B"/>
    <w:rsid w:val="0F5512C6"/>
    <w:rsid w:val="0F76123D"/>
    <w:rsid w:val="10045BDC"/>
    <w:rsid w:val="100920B1"/>
    <w:rsid w:val="104F21BA"/>
    <w:rsid w:val="10545A22"/>
    <w:rsid w:val="10A832F4"/>
    <w:rsid w:val="11B02492"/>
    <w:rsid w:val="11CE710E"/>
    <w:rsid w:val="138008DC"/>
    <w:rsid w:val="13806921"/>
    <w:rsid w:val="13F13588"/>
    <w:rsid w:val="143D00AE"/>
    <w:rsid w:val="15744470"/>
    <w:rsid w:val="15E038B4"/>
    <w:rsid w:val="16D2144F"/>
    <w:rsid w:val="170D692B"/>
    <w:rsid w:val="1796247C"/>
    <w:rsid w:val="17D83747"/>
    <w:rsid w:val="185A794E"/>
    <w:rsid w:val="19265A82"/>
    <w:rsid w:val="197762DD"/>
    <w:rsid w:val="1AF23E6D"/>
    <w:rsid w:val="1B1262BE"/>
    <w:rsid w:val="1BB11F7A"/>
    <w:rsid w:val="1BB76E65"/>
    <w:rsid w:val="1BF27E9D"/>
    <w:rsid w:val="1C057BD0"/>
    <w:rsid w:val="1C974E74"/>
    <w:rsid w:val="1C9B22E3"/>
    <w:rsid w:val="1CC950A2"/>
    <w:rsid w:val="1D830D37"/>
    <w:rsid w:val="1EB276AF"/>
    <w:rsid w:val="1EE13643"/>
    <w:rsid w:val="1FCD6C57"/>
    <w:rsid w:val="1FD9384E"/>
    <w:rsid w:val="219647B3"/>
    <w:rsid w:val="22573150"/>
    <w:rsid w:val="23350AB9"/>
    <w:rsid w:val="23FA3D93"/>
    <w:rsid w:val="24240DD8"/>
    <w:rsid w:val="24B71C84"/>
    <w:rsid w:val="25B85AC8"/>
    <w:rsid w:val="261455E0"/>
    <w:rsid w:val="27076EF2"/>
    <w:rsid w:val="2778394C"/>
    <w:rsid w:val="28D92B11"/>
    <w:rsid w:val="29695C42"/>
    <w:rsid w:val="2A9F7442"/>
    <w:rsid w:val="2B522706"/>
    <w:rsid w:val="2BAA42F0"/>
    <w:rsid w:val="2C11611D"/>
    <w:rsid w:val="2C475FE3"/>
    <w:rsid w:val="2DD9710F"/>
    <w:rsid w:val="2EC8340B"/>
    <w:rsid w:val="2EC92CDF"/>
    <w:rsid w:val="2FF67B04"/>
    <w:rsid w:val="3025488D"/>
    <w:rsid w:val="3139239E"/>
    <w:rsid w:val="31A93643"/>
    <w:rsid w:val="323808A8"/>
    <w:rsid w:val="326F1DF0"/>
    <w:rsid w:val="32764F2C"/>
    <w:rsid w:val="33560FD5"/>
    <w:rsid w:val="33583D65"/>
    <w:rsid w:val="34014CC9"/>
    <w:rsid w:val="35675000"/>
    <w:rsid w:val="36252EF1"/>
    <w:rsid w:val="36BE50F4"/>
    <w:rsid w:val="378E4AC6"/>
    <w:rsid w:val="38060B00"/>
    <w:rsid w:val="393022D9"/>
    <w:rsid w:val="3A314344"/>
    <w:rsid w:val="3A322081"/>
    <w:rsid w:val="3ACA4067"/>
    <w:rsid w:val="3BD74C8E"/>
    <w:rsid w:val="3BF5780A"/>
    <w:rsid w:val="3BFA6BCE"/>
    <w:rsid w:val="3C553E04"/>
    <w:rsid w:val="3C8A1D00"/>
    <w:rsid w:val="3CD1792F"/>
    <w:rsid w:val="3D6267D9"/>
    <w:rsid w:val="3DA52B6A"/>
    <w:rsid w:val="3DB42DAD"/>
    <w:rsid w:val="3E6413FB"/>
    <w:rsid w:val="3F297A2D"/>
    <w:rsid w:val="3FB37991"/>
    <w:rsid w:val="3FF81676"/>
    <w:rsid w:val="40B21825"/>
    <w:rsid w:val="40D55514"/>
    <w:rsid w:val="40D774DE"/>
    <w:rsid w:val="40F736DC"/>
    <w:rsid w:val="41195D48"/>
    <w:rsid w:val="42C13892"/>
    <w:rsid w:val="442C18EF"/>
    <w:rsid w:val="44677611"/>
    <w:rsid w:val="449B5849"/>
    <w:rsid w:val="44A973E3"/>
    <w:rsid w:val="44B21CE6"/>
    <w:rsid w:val="45303661"/>
    <w:rsid w:val="456D0411"/>
    <w:rsid w:val="46317690"/>
    <w:rsid w:val="4678706D"/>
    <w:rsid w:val="4723347D"/>
    <w:rsid w:val="47460F19"/>
    <w:rsid w:val="48030BB8"/>
    <w:rsid w:val="48C7332C"/>
    <w:rsid w:val="493354CD"/>
    <w:rsid w:val="49A10689"/>
    <w:rsid w:val="4A9401EE"/>
    <w:rsid w:val="4AF3182D"/>
    <w:rsid w:val="4B6B53F2"/>
    <w:rsid w:val="4B8169C4"/>
    <w:rsid w:val="4BEE199F"/>
    <w:rsid w:val="4DEE5E67"/>
    <w:rsid w:val="5036698C"/>
    <w:rsid w:val="504F4060"/>
    <w:rsid w:val="5066262C"/>
    <w:rsid w:val="53AC0356"/>
    <w:rsid w:val="543F566E"/>
    <w:rsid w:val="545509EE"/>
    <w:rsid w:val="555E7D76"/>
    <w:rsid w:val="556D1D67"/>
    <w:rsid w:val="566567B1"/>
    <w:rsid w:val="566B44F9"/>
    <w:rsid w:val="575B27BF"/>
    <w:rsid w:val="578D049F"/>
    <w:rsid w:val="5812508D"/>
    <w:rsid w:val="58492617"/>
    <w:rsid w:val="58BE3005"/>
    <w:rsid w:val="5A494B51"/>
    <w:rsid w:val="5A951B44"/>
    <w:rsid w:val="5AF0321E"/>
    <w:rsid w:val="5AF745AD"/>
    <w:rsid w:val="5B61411C"/>
    <w:rsid w:val="5C07081F"/>
    <w:rsid w:val="5C95407D"/>
    <w:rsid w:val="5D137698"/>
    <w:rsid w:val="5D246832"/>
    <w:rsid w:val="5D3F223B"/>
    <w:rsid w:val="5D9A56C3"/>
    <w:rsid w:val="5E4A0E97"/>
    <w:rsid w:val="5E8F0FA0"/>
    <w:rsid w:val="5EC724E8"/>
    <w:rsid w:val="5EEC1F4F"/>
    <w:rsid w:val="5FAB1E0A"/>
    <w:rsid w:val="5FE1582B"/>
    <w:rsid w:val="60BD0047"/>
    <w:rsid w:val="60FA6BA5"/>
    <w:rsid w:val="6138147B"/>
    <w:rsid w:val="61F25ACE"/>
    <w:rsid w:val="62D90A3C"/>
    <w:rsid w:val="63E15DFA"/>
    <w:rsid w:val="63FC0E86"/>
    <w:rsid w:val="64754A6B"/>
    <w:rsid w:val="65C6174B"/>
    <w:rsid w:val="66AD290B"/>
    <w:rsid w:val="66CD08B8"/>
    <w:rsid w:val="674212A6"/>
    <w:rsid w:val="67C25F42"/>
    <w:rsid w:val="68446002"/>
    <w:rsid w:val="68C03982"/>
    <w:rsid w:val="69A0200C"/>
    <w:rsid w:val="6A1F6BD7"/>
    <w:rsid w:val="6A5D1F52"/>
    <w:rsid w:val="6A5E63F6"/>
    <w:rsid w:val="6B1B3DAE"/>
    <w:rsid w:val="6C28360B"/>
    <w:rsid w:val="6DC26C9C"/>
    <w:rsid w:val="6DE54739"/>
    <w:rsid w:val="6ED529FF"/>
    <w:rsid w:val="6F6C545A"/>
    <w:rsid w:val="70A0111E"/>
    <w:rsid w:val="72520D6C"/>
    <w:rsid w:val="72A2709C"/>
    <w:rsid w:val="72B666A4"/>
    <w:rsid w:val="72D52FCE"/>
    <w:rsid w:val="72EB0A43"/>
    <w:rsid w:val="735F6D3B"/>
    <w:rsid w:val="73C117A4"/>
    <w:rsid w:val="73C572FE"/>
    <w:rsid w:val="73CC2623"/>
    <w:rsid w:val="73E13BF4"/>
    <w:rsid w:val="746A5998"/>
    <w:rsid w:val="75022074"/>
    <w:rsid w:val="75644ADD"/>
    <w:rsid w:val="763444AF"/>
    <w:rsid w:val="76630AED"/>
    <w:rsid w:val="76A21419"/>
    <w:rsid w:val="77876861"/>
    <w:rsid w:val="78454752"/>
    <w:rsid w:val="785C1A9B"/>
    <w:rsid w:val="790C526F"/>
    <w:rsid w:val="79856DD0"/>
    <w:rsid w:val="79C43D9C"/>
    <w:rsid w:val="7C6158D2"/>
    <w:rsid w:val="7CFD384D"/>
    <w:rsid w:val="7D0050EB"/>
    <w:rsid w:val="7D474AC8"/>
    <w:rsid w:val="7DFA5FDE"/>
    <w:rsid w:val="7E527BC8"/>
    <w:rsid w:val="7E8F4979"/>
    <w:rsid w:val="7F4E6D15"/>
    <w:rsid w:val="7F572FBC"/>
    <w:rsid w:val="7F7C4936"/>
    <w:rsid w:val="7F80553B"/>
    <w:rsid w:val="7FDF0006"/>
    <w:rsid w:val="7FEA3E31"/>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spacing w:before="340" w:beforeLines="0" w:beforeAutospacing="0" w:after="330" w:afterLines="0" w:afterAutospacing="0" w:line="240" w:lineRule="auto"/>
      <w:jc w:val="left"/>
      <w:outlineLvl w:val="0"/>
    </w:pPr>
    <w:rPr>
      <w:rFonts w:ascii="Times New Roman" w:hAnsi="Times New Roman" w:eastAsiaTheme="majorEastAsia"/>
      <w:kern w:val="44"/>
      <w:sz w:val="2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oc 1"/>
    <w:basedOn w:val="1"/>
    <w:next w:val="1"/>
    <w:qFormat/>
    <w:uiPriority w:val="0"/>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font11"/>
    <w:basedOn w:val="7"/>
    <w:qFormat/>
    <w:uiPriority w:val="0"/>
    <w:rPr>
      <w:rFonts w:hint="default" w:ascii="Times New Roman" w:hAnsi="Times New Roman" w:cs="Times New Roman"/>
      <w:b/>
      <w:bCs/>
      <w:color w:val="000000"/>
      <w:sz w:val="24"/>
      <w:szCs w:val="24"/>
      <w:u w:val="none"/>
    </w:rPr>
  </w:style>
  <w:style w:type="character" w:customStyle="1" w:styleId="11">
    <w:name w:val="font51"/>
    <w:basedOn w:val="7"/>
    <w:qFormat/>
    <w:uiPriority w:val="0"/>
    <w:rPr>
      <w:rFonts w:hint="default" w:ascii="Times New Roman" w:hAnsi="Times New Roman" w:cs="Times New Roman"/>
      <w:color w:val="000000"/>
      <w:sz w:val="24"/>
      <w:szCs w:val="24"/>
      <w:u w:val="none"/>
    </w:rPr>
  </w:style>
  <w:style w:type="character" w:customStyle="1" w:styleId="12">
    <w:name w:val="font61"/>
    <w:basedOn w:val="7"/>
    <w:qFormat/>
    <w:uiPriority w:val="0"/>
    <w:rPr>
      <w:rFonts w:hint="eastAsia" w:ascii="宋体" w:hAnsi="宋体" w:eastAsia="宋体" w:cs="宋体"/>
      <w:color w:val="000000"/>
      <w:sz w:val="24"/>
      <w:szCs w:val="24"/>
      <w:u w:val="none"/>
    </w:rPr>
  </w:style>
  <w:style w:type="character" w:customStyle="1" w:styleId="13">
    <w:name w:val="font71"/>
    <w:basedOn w:val="7"/>
    <w:qFormat/>
    <w:uiPriority w:val="0"/>
    <w:rPr>
      <w:rFonts w:hint="default" w:ascii="Times New Roman" w:hAnsi="Times New Roman" w:cs="Times New Roman"/>
      <w:color w:val="0033CC"/>
      <w:sz w:val="24"/>
      <w:szCs w:val="24"/>
      <w:u w:val="none"/>
    </w:rPr>
  </w:style>
  <w:style w:type="character" w:customStyle="1" w:styleId="14">
    <w:name w:val="font31"/>
    <w:basedOn w:val="7"/>
    <w:qFormat/>
    <w:uiPriority w:val="0"/>
    <w:rPr>
      <w:rFonts w:hint="default" w:ascii="Times New Roman" w:hAnsi="Times New Roman" w:cs="Times New Roman"/>
      <w:color w:val="000000"/>
      <w:sz w:val="24"/>
      <w:szCs w:val="24"/>
      <w:u w:val="none"/>
    </w:rPr>
  </w:style>
  <w:style w:type="character" w:customStyle="1" w:styleId="15">
    <w:name w:val="font41"/>
    <w:basedOn w:val="7"/>
    <w:qFormat/>
    <w:uiPriority w:val="0"/>
    <w:rPr>
      <w:rFonts w:hint="default" w:ascii="Times New Roman" w:hAnsi="Times New Roman" w:cs="Times New Roman"/>
      <w:color w:val="000000"/>
      <w:sz w:val="24"/>
      <w:szCs w:val="24"/>
      <w:u w:val="none"/>
    </w:rPr>
  </w:style>
  <w:style w:type="character" w:customStyle="1" w:styleId="16">
    <w:name w:val="font21"/>
    <w:basedOn w:val="7"/>
    <w:qFormat/>
    <w:uiPriority w:val="0"/>
    <w:rPr>
      <w:rFonts w:hint="default" w:ascii="Times New Roman" w:hAnsi="Times New Roman" w:cs="Times New Roman"/>
      <w:b/>
      <w:bCs/>
      <w:color w:val="000000"/>
      <w:sz w:val="20"/>
      <w:szCs w:val="20"/>
      <w:u w:val="none"/>
    </w:rPr>
  </w:style>
  <w:style w:type="character" w:customStyle="1" w:styleId="17">
    <w:name w:val="标题 1 Char"/>
    <w:link w:val="2"/>
    <w:qFormat/>
    <w:uiPriority w:val="0"/>
    <w:rPr>
      <w:rFonts w:ascii="Times New Roman" w:hAnsi="Times New Roman" w:eastAsiaTheme="majorEastAsia"/>
      <w:kern w:val="44"/>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sectNamePr val="Material S1"/>
    </customSectPr>
    <customSectPr>
      <sectNamePr val="Table S2"/>
    </customSectPr>
    <customSectPr>
      <sectNamePr val="Table S3"/>
    </customSectPr>
    <customSectPr>
      <sectNamePr val="Table S4"/>
    </customSectPr>
    <customSectPr>
      <sectNamePr val="Table S5"/>
    </customSectPr>
    <customSectPr>
      <sectNamePr val="Table S6"/>
    </customSectPr>
    <customSectPr>
      <sectNamePr val="Table S8"/>
    </customSectPr>
    <customSectPr>
      <sectNamePr val="Table S9"/>
    </customSectPr>
    <customSectPr>
      <sectNamePr val="Table S11"/>
    </customSectPr>
    <customSectPr>
      <sectNamePr val="Figure S1"/>
    </customSectPr>
    <customSectPr>
      <sectNamePr val="Figure S2"/>
    </customSectPr>
    <customSectPr>
      <sectNamePr val="Figure S3"/>
    </customSectPr>
    <customSectPr>
      <sectNamePr val="Figure S4"/>
    </customSectPr>
    <customSectPr>
      <sectNamePr val="Figure S5"/>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579</Words>
  <Characters>3772</Characters>
  <Lines>0</Lines>
  <Paragraphs>0</Paragraphs>
  <TotalTime>2</TotalTime>
  <ScaleCrop>false</ScaleCrop>
  <LinksUpToDate>false</LinksUpToDate>
  <CharactersWithSpaces>4322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2026-04-08T04:26:00Z</dcterms:created>
  <dc:creator>孤鹜</dc:creator>
  <cp:lastModifiedBy>Huilin Liu</cp:lastModifiedBy>
  <dcterms:modified xsi:type="dcterms:W3CDTF">2026-06-20T16:58:21Z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5288E4B2D9CF42E6BD97CFEC72A7C49C_13</vt:lpwstr>
  </property>
  <property fmtid="{D5CDD505-2E9C-101B-9397-08002B2CF9AE}" pid="4" name="KSOTemplateDocerSaveRecord">
    <vt:lpwstr>eyJoZGlkIjoiMzc3NDBkNTQ0ODMyNGZkZmM0MjJkZThlN2JmZDcyN2IiLCJ1c2VySWQiOiIyODg5NDg2NTMifQ==</vt:lpwstr>
  </property>
</Properties>
</file>