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32C4E" w14:textId="77777777" w:rsidR="00EF4B94" w:rsidRDefault="00914C56" w:rsidP="00914C56">
      <w:pPr>
        <w:rPr>
          <w:rFonts w:eastAsia="Times New Roman"/>
          <w:b/>
          <w:sz w:val="20"/>
          <w:szCs w:val="20"/>
          <w:lang w:eastAsia="en-GB"/>
        </w:rPr>
      </w:pPr>
      <w:r w:rsidRPr="00F3611A">
        <w:rPr>
          <w:rFonts w:eastAsia="Times New Roman"/>
          <w:b/>
          <w:sz w:val="20"/>
          <w:szCs w:val="20"/>
          <w:lang w:eastAsia="en-GB"/>
        </w:rPr>
        <w:t xml:space="preserve">STROBE-MR checklist of recommended items to address </w:t>
      </w:r>
      <w:r>
        <w:rPr>
          <w:rFonts w:eastAsia="Times New Roman"/>
          <w:b/>
          <w:sz w:val="20"/>
          <w:szCs w:val="20"/>
          <w:lang w:eastAsia="en-GB"/>
        </w:rPr>
        <w:t>in reports of Mendelian randomiz</w:t>
      </w:r>
      <w:r w:rsidRPr="00F3611A">
        <w:rPr>
          <w:rFonts w:eastAsia="Times New Roman"/>
          <w:b/>
          <w:sz w:val="20"/>
          <w:szCs w:val="20"/>
          <w:lang w:eastAsia="en-GB"/>
        </w:rPr>
        <w:t>ation studies</w:t>
      </w:r>
      <w:r w:rsidR="009854A9">
        <w:rPr>
          <w:rFonts w:eastAsia="Times New Roman"/>
          <w:b/>
          <w:sz w:val="20"/>
          <w:szCs w:val="20"/>
          <w:lang w:eastAsia="en-GB"/>
        </w:rPr>
        <w:fldChar w:fldCharType="begin" w:fldLock="1"/>
      </w:r>
      <w:r w:rsidR="009854A9">
        <w:rPr>
          <w:rFonts w:eastAsia="Times New Roman"/>
          <w:b/>
          <w:sz w:val="20"/>
          <w:szCs w:val="20"/>
          <w:lang w:eastAsia="en-GB"/>
        </w:rPr>
        <w:instrText>ADDIN CSL_CITATION {"citationItems":[{"id":"ITEM-1","itemData":{"author":[{"dropping-particle":"","family":"Skrivankova","given":"V W","non-dropping-particle":"","parse-names":false,"suffix":""},{"dropping-particle":"","family":"Richmond","given":"R C","non-dropping-particle":"","parse-names":false,"suffix":""},{"dropping-particle":"","family":"Woolf","given":"B A R","non-dropping-particle":"","parse-names":false,"suffix":""},{"dropping-particle":"","family":"Yarmolinsky","given":"J","non-dropping-particle":"","parse-names":false,"suffix":""},{"dropping-particle":"","family":"Davies","given":"N M","non-dropping-particle":"","parse-names":false,"suffix":""},{"dropping-particle":"","family":"Swanson","given":"S A","non-dropping-particle":"","parse-names":false,"suffix":""},{"dropping-particle":"","family":"VanderWeele","given":"T J","non-dropping-particle":"","parse-names":false,"suffix":""},{"dropping-particle":"","family":"Higgins","given":"J P H","non-dropping-particle":"","parse-names":false,"suffix":""},{"dropping-particle":"","family":"Timpson","given":"N J","non-dropping-particle":"","parse-names":false,"suffix":""},{"dropping-particle":"","family":"Dimou","given":"N","non-dropping-particle":"","parse-names":false,"suffix":""},{"dropping-particle":"","family":"Langenberg","given":"C","non-dropping-particle":"","parse-names":false,"suffix":""},{"dropping-particle":"","family":"Loder","given":"E W","non-dropping-particle":"","parse-names":false,"suffix":""},{"dropping-particle":"","family":"Golub","given":"R","non-dropping-particle":"","parse-names":false,"suffix":""},{"dropping-particle":"","family":"Gallo","given":"V","non-dropping-particle":"","parse-names":false,"suffix":""},{"dropping-particle":"","family":"Tybjaerg-Hansen","given":"A","non-dropping-particle":"","parse-names":false,"suffix":""},{"dropping-particle":"","family":"Davey Smith","given":"G","non-dropping-particle":"","parse-names":false,"suffix":""},{"dropping-particle":"","family":"Egger","given":"M","non-dropping-particle":"","parse-names":false,"suffix":""},{"dropping-particle":"","family":"Richards","given":"J B","non-dropping-particle":"","parse-names":false,"suffix":""}],"container-title":"JAMA","id":"ITEM-1","issued":{"date-parts":[["2021"]]},"page":"under review","title":"Strengthening the Reporting of Observational Studies in Epidemiology using Mendelian Randomization (STROBE-MR) Statement","type":"article-journal"},"uris":["http://www.mendeley.com/documents/?uuid=29dd9aa2-14fd-450b-83fb-4c6b74b75061"]}],"mendeley":{"formattedCitation":"&lt;sup&gt;1&lt;/sup&gt;","plainTextFormattedCitation":"1"},"properties":{"noteIndex":0},"schema":"https://github.com/citation-style-language/schema/raw/master/csl-citation.json"}</w:instrText>
      </w:r>
      <w:r w:rsidR="009854A9">
        <w:rPr>
          <w:rFonts w:eastAsia="Times New Roman"/>
          <w:b/>
          <w:sz w:val="20"/>
          <w:szCs w:val="20"/>
          <w:lang w:eastAsia="en-GB"/>
        </w:rPr>
        <w:fldChar w:fldCharType="separate"/>
      </w:r>
      <w:r w:rsidR="009854A9" w:rsidRPr="009854A9">
        <w:rPr>
          <w:rFonts w:eastAsia="Times New Roman"/>
          <w:noProof/>
          <w:sz w:val="20"/>
          <w:szCs w:val="20"/>
          <w:vertAlign w:val="superscript"/>
          <w:lang w:eastAsia="en-GB"/>
        </w:rPr>
        <w:t>1</w:t>
      </w:r>
      <w:r w:rsidR="009854A9">
        <w:rPr>
          <w:rFonts w:eastAsia="Times New Roman"/>
          <w:b/>
          <w:sz w:val="20"/>
          <w:szCs w:val="20"/>
          <w:lang w:eastAsia="en-GB"/>
        </w:rPr>
        <w:fldChar w:fldCharType="end"/>
      </w:r>
      <w:r w:rsidR="009854A9">
        <w:rPr>
          <w:rFonts w:eastAsia="Times New Roman"/>
          <w:b/>
          <w:sz w:val="20"/>
          <w:szCs w:val="20"/>
          <w:lang w:eastAsia="en-GB"/>
        </w:rPr>
        <w:t xml:space="preserve"> </w:t>
      </w:r>
      <w:r w:rsidR="00804498">
        <w:rPr>
          <w:rFonts w:eastAsia="Times New Roman"/>
          <w:b/>
          <w:sz w:val="20"/>
          <w:szCs w:val="20"/>
          <w:lang w:eastAsia="en-GB"/>
        </w:rPr>
        <w:fldChar w:fldCharType="begin" w:fldLock="1"/>
      </w:r>
      <w:r w:rsidR="009854A9">
        <w:rPr>
          <w:rFonts w:eastAsia="Times New Roman"/>
          <w:b/>
          <w:sz w:val="20"/>
          <w:szCs w:val="20"/>
          <w:lang w:eastAsia="en-GB"/>
        </w:rPr>
        <w:instrText>ADDIN CSL_CITATION {"citationItems":[{"id":"ITEM-1","itemData":{"author":[{"dropping-particle":"","family":"Skrivankova","given":"Veronika W","non-dropping-particle":"","parse-names":false,"suffix":""},{"dropping-particle":"","family":"Richmond","given":"Rebecca C","non-dropping-particle":"","parse-names":false,"suffix":""},{"dropping-particle":"","family":"Woolf","given":"Benjamin A R","non-dropping-particle":"","parse-names":false,"suffix":""},{"dropping-particle":"","family":"Davies","given":"Neil M","non-dropping-particle":"","parse-names":false,"suffix":""},{"dropping-particle":"","family":"Swanson","given":"Sonja A","non-dropping-particle":"","parse-names":false,"suffix":""},{"dropping-particle":"","family":"VanderWeele","given":"Tyler J","non-dropping-particle":"","parse-names":false,"suffix":""},{"dropping-particle":"","family":"Timpson","given":"Nicholas J","non-dropping-particle":"","parse-names":false,"suffix":""},{"dropping-particle":"","family":"Higgins","given":"Julian P T","non-dropping-particle":"","parse-names":false,"suffix":""},{"dropping-particle":"","family":"Dimou","given":"Niki","non-dropping-particle":"","parse-names":false,"suffix":""},{"dropping-particle":"","family":"Langenberg","given":"Claudia","non-dropping-particle":"","parse-names":false,"suffix":""},{"dropping-particle":"","family":"Loder","given":"Elizabeth W","non-dropping-particle":"","parse-names":false,"suffix":""},{"dropping-particle":"","family":"Golub","given":"Robert M","non-dropping-particle":"","parse-names":false,"suffix":""},{"dropping-particle":"","family":"Egger","given":"Mathias","non-dropping-particle":"","parse-names":false,"suffix":""},{"dropping-particle":"","family":"Davey Smith","given":"George","non-dropping-particle":"","parse-names":false,"suffix":""},{"dropping-particle":"","family":"Richards","given":"J Brent","non-dropping-particle":"","parse-names":false,"suffix":""}],"container-title":"BMJ","id":"ITEM-1","issued":{"date-parts":[["2021"]]},"title":"Strengthening the Reporting of Observational Studies in Epidemiology using Mendelian Randomisation (STROBE-MR): Explanation and Elaboration","type":"article-journal","volume":"375:n2233"},"uris":["http://www.mendeley.com/documents/?uuid=af64eb33-5308-4d72-bd7e-6fe0d8fe3570"]}],"mendeley":{"formattedCitation":"&lt;sup&gt;2&lt;/sup&gt;","plainTextFormattedCitation":"2","previouslyFormattedCitation":"&lt;sup&gt;1&lt;/sup&gt;"},"properties":{"noteIndex":0},"schema":"https://github.com/citation-style-language/schema/raw/master/csl-citation.json"}</w:instrText>
      </w:r>
      <w:r w:rsidR="00804498">
        <w:rPr>
          <w:rFonts w:eastAsia="Times New Roman"/>
          <w:b/>
          <w:sz w:val="20"/>
          <w:szCs w:val="20"/>
          <w:lang w:eastAsia="en-GB"/>
        </w:rPr>
        <w:fldChar w:fldCharType="separate"/>
      </w:r>
      <w:r w:rsidR="009854A9" w:rsidRPr="009854A9">
        <w:rPr>
          <w:rFonts w:eastAsia="Times New Roman"/>
          <w:noProof/>
          <w:sz w:val="20"/>
          <w:szCs w:val="20"/>
          <w:vertAlign w:val="superscript"/>
          <w:lang w:eastAsia="en-GB"/>
        </w:rPr>
        <w:t>2</w:t>
      </w:r>
      <w:r w:rsidR="00804498">
        <w:rPr>
          <w:rFonts w:eastAsia="Times New Roman"/>
          <w:b/>
          <w:sz w:val="20"/>
          <w:szCs w:val="20"/>
          <w:lang w:eastAsia="en-GB"/>
        </w:rPr>
        <w:fldChar w:fldCharType="end"/>
      </w:r>
      <w:r w:rsidRPr="00F3611A">
        <w:rPr>
          <w:rFonts w:eastAsia="Times New Roman"/>
          <w:b/>
          <w:sz w:val="20"/>
          <w:szCs w:val="20"/>
          <w:lang w:eastAsia="en-GB"/>
        </w:rPr>
        <w:t> </w:t>
      </w:r>
    </w:p>
    <w:p w14:paraId="01B7A4C0" w14:textId="77777777" w:rsidR="005520ED" w:rsidRPr="005520ED" w:rsidRDefault="005520ED" w:rsidP="00914C56">
      <w:pPr>
        <w:rPr>
          <w:rFonts w:eastAsia="Times New Roman"/>
          <w:b/>
          <w:sz w:val="20"/>
          <w:szCs w:val="20"/>
          <w:lang w:eastAsia="en-GB"/>
        </w:rPr>
      </w:pPr>
    </w:p>
    <w:tbl>
      <w:tblPr>
        <w:tblW w:w="14490" w:type="dxa"/>
        <w:tblLook w:val="04A0" w:firstRow="1" w:lastRow="0" w:firstColumn="1" w:lastColumn="0" w:noHBand="0" w:noVBand="1"/>
      </w:tblPr>
      <w:tblGrid>
        <w:gridCol w:w="588"/>
        <w:gridCol w:w="1818"/>
        <w:gridCol w:w="6881"/>
        <w:gridCol w:w="950"/>
        <w:gridCol w:w="4253"/>
      </w:tblGrid>
      <w:tr w:rsidR="00D8098C" w:rsidRPr="00B853C6" w14:paraId="6E6DB304" w14:textId="77777777" w:rsidTr="003D447D">
        <w:tc>
          <w:tcPr>
            <w:tcW w:w="587" w:type="dxa"/>
            <w:tcBorders>
              <w:top w:val="single" w:sz="4" w:space="0" w:color="auto"/>
              <w:bottom w:val="single" w:sz="6" w:space="0" w:color="7F7F7F"/>
            </w:tcBorders>
          </w:tcPr>
          <w:p w14:paraId="7D380953" w14:textId="77777777" w:rsidR="00D8098C" w:rsidRPr="00F0337F" w:rsidRDefault="00D8098C" w:rsidP="00426603">
            <w:pPr>
              <w:spacing w:beforeLines="40" w:before="96" w:afterLines="40" w:after="96" w:line="24" w:lineRule="atLeast"/>
              <w:rPr>
                <w:rFonts w:eastAsia="Cambria"/>
                <w:b/>
                <w:bCs/>
                <w:sz w:val="18"/>
                <w:szCs w:val="18"/>
                <w:lang w:val="en-GB" w:eastAsia="en-US"/>
              </w:rPr>
            </w:pPr>
            <w:bookmarkStart w:id="0" w:name="_Hlk234246422"/>
            <w:r w:rsidRPr="00F0337F">
              <w:rPr>
                <w:rFonts w:eastAsia="Cambria"/>
                <w:b/>
                <w:bCs/>
                <w:sz w:val="18"/>
                <w:szCs w:val="18"/>
                <w:lang w:val="en-GB" w:eastAsia="en-US"/>
              </w:rPr>
              <w:t>Item No.</w:t>
            </w:r>
          </w:p>
        </w:tc>
        <w:tc>
          <w:tcPr>
            <w:tcW w:w="1822" w:type="dxa"/>
            <w:tcBorders>
              <w:top w:val="single" w:sz="4" w:space="0" w:color="auto"/>
              <w:bottom w:val="single" w:sz="6" w:space="0" w:color="7F7F7F"/>
            </w:tcBorders>
          </w:tcPr>
          <w:p w14:paraId="69CAC278" w14:textId="77777777" w:rsidR="00D8098C" w:rsidRPr="00F0337F" w:rsidRDefault="00D8098C" w:rsidP="00426603">
            <w:pPr>
              <w:spacing w:beforeLines="40" w:before="96" w:afterLines="40" w:after="96" w:line="24" w:lineRule="atLeast"/>
              <w:rPr>
                <w:rFonts w:eastAsia="Cambria"/>
                <w:b/>
                <w:bCs/>
                <w:sz w:val="18"/>
                <w:szCs w:val="18"/>
                <w:lang w:val="en-GB" w:eastAsia="en-US"/>
              </w:rPr>
            </w:pPr>
            <w:r w:rsidRPr="00F0337F">
              <w:rPr>
                <w:rFonts w:eastAsia="Cambria"/>
                <w:b/>
                <w:bCs/>
                <w:sz w:val="18"/>
                <w:szCs w:val="18"/>
                <w:lang w:val="en-GB" w:eastAsia="en-US"/>
              </w:rPr>
              <w:t>Section</w:t>
            </w:r>
          </w:p>
        </w:tc>
        <w:tc>
          <w:tcPr>
            <w:tcW w:w="7041" w:type="dxa"/>
            <w:tcBorders>
              <w:top w:val="single" w:sz="4" w:space="0" w:color="auto"/>
              <w:bottom w:val="single" w:sz="6" w:space="0" w:color="7F7F7F"/>
            </w:tcBorders>
          </w:tcPr>
          <w:p w14:paraId="2293562E" w14:textId="77777777" w:rsidR="00D8098C" w:rsidRPr="00F0337F" w:rsidRDefault="00D8098C" w:rsidP="00426603">
            <w:pPr>
              <w:spacing w:beforeLines="40" w:before="96" w:afterLines="40" w:after="96" w:line="24" w:lineRule="atLeast"/>
              <w:rPr>
                <w:rFonts w:eastAsia="Cambria"/>
                <w:b/>
                <w:bCs/>
                <w:sz w:val="18"/>
                <w:szCs w:val="18"/>
                <w:lang w:val="en-GB" w:eastAsia="en-US"/>
              </w:rPr>
            </w:pPr>
            <w:r w:rsidRPr="00F0337F">
              <w:rPr>
                <w:rFonts w:eastAsia="Cambria"/>
                <w:b/>
                <w:bCs/>
                <w:sz w:val="18"/>
                <w:szCs w:val="18"/>
                <w:lang w:val="en-GB" w:eastAsia="en-US"/>
              </w:rPr>
              <w:t xml:space="preserve">Checklist item </w:t>
            </w:r>
          </w:p>
        </w:tc>
        <w:tc>
          <w:tcPr>
            <w:tcW w:w="720" w:type="dxa"/>
            <w:tcBorders>
              <w:top w:val="single" w:sz="4" w:space="0" w:color="auto"/>
              <w:bottom w:val="single" w:sz="6" w:space="0" w:color="7F7F7F"/>
            </w:tcBorders>
          </w:tcPr>
          <w:p w14:paraId="095DDB5C" w14:textId="77777777" w:rsidR="00D8098C" w:rsidRPr="00F0337F" w:rsidRDefault="00EF4B94" w:rsidP="00426603">
            <w:pPr>
              <w:spacing w:beforeLines="40" w:before="96" w:afterLines="40" w:after="96" w:line="24" w:lineRule="atLeast"/>
              <w:rPr>
                <w:rFonts w:eastAsia="Cambria"/>
                <w:b/>
                <w:bCs/>
                <w:sz w:val="18"/>
                <w:szCs w:val="18"/>
                <w:lang w:val="en-GB" w:eastAsia="en-US"/>
              </w:rPr>
            </w:pPr>
            <w:r>
              <w:rPr>
                <w:rFonts w:eastAsia="Cambria"/>
                <w:b/>
                <w:bCs/>
                <w:sz w:val="18"/>
                <w:szCs w:val="18"/>
                <w:lang w:val="en-GB" w:eastAsia="en-US"/>
              </w:rPr>
              <w:t>Page No.</w:t>
            </w:r>
          </w:p>
        </w:tc>
        <w:tc>
          <w:tcPr>
            <w:tcW w:w="4320" w:type="dxa"/>
            <w:tcBorders>
              <w:top w:val="single" w:sz="4" w:space="0" w:color="auto"/>
              <w:bottom w:val="single" w:sz="6" w:space="0" w:color="7F7F7F"/>
            </w:tcBorders>
          </w:tcPr>
          <w:p w14:paraId="70B5182F" w14:textId="77777777" w:rsidR="00D8098C" w:rsidRDefault="00EF4B94" w:rsidP="00426603">
            <w:pPr>
              <w:spacing w:beforeLines="40" w:before="96" w:afterLines="40" w:after="96" w:line="24" w:lineRule="atLeast"/>
              <w:rPr>
                <w:rFonts w:eastAsia="Cambria"/>
                <w:b/>
                <w:bCs/>
                <w:sz w:val="18"/>
                <w:szCs w:val="18"/>
                <w:lang w:val="en-GB" w:eastAsia="en-US"/>
              </w:rPr>
            </w:pPr>
            <w:r>
              <w:rPr>
                <w:rFonts w:eastAsia="Cambria"/>
                <w:b/>
                <w:bCs/>
                <w:sz w:val="18"/>
                <w:szCs w:val="18"/>
                <w:lang w:val="en-GB" w:eastAsia="en-US"/>
              </w:rPr>
              <w:t>Relevant text from manuscript</w:t>
            </w:r>
          </w:p>
        </w:tc>
      </w:tr>
      <w:bookmarkEnd w:id="0"/>
      <w:tr w:rsidR="00D8098C" w:rsidRPr="00B853C6" w14:paraId="0D26C41A" w14:textId="77777777" w:rsidTr="003D447D">
        <w:tc>
          <w:tcPr>
            <w:tcW w:w="587" w:type="dxa"/>
            <w:tcBorders>
              <w:top w:val="single" w:sz="6" w:space="0" w:color="7F7F7F"/>
              <w:bottom w:val="single" w:sz="6" w:space="0" w:color="7F7F7F"/>
            </w:tcBorders>
            <w:shd w:val="clear" w:color="auto" w:fill="EEEEEE"/>
          </w:tcPr>
          <w:p w14:paraId="017988AF"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w:t>
            </w:r>
          </w:p>
        </w:tc>
        <w:tc>
          <w:tcPr>
            <w:tcW w:w="1822" w:type="dxa"/>
            <w:tcBorders>
              <w:top w:val="single" w:sz="6" w:space="0" w:color="7F7F7F"/>
              <w:bottom w:val="single" w:sz="6" w:space="0" w:color="7F7F7F"/>
            </w:tcBorders>
            <w:shd w:val="clear" w:color="auto" w:fill="EEEEEE"/>
          </w:tcPr>
          <w:p w14:paraId="2E7D482A"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TITLE and ABSTRACT</w:t>
            </w:r>
          </w:p>
        </w:tc>
        <w:tc>
          <w:tcPr>
            <w:tcW w:w="7041" w:type="dxa"/>
            <w:tcBorders>
              <w:top w:val="single" w:sz="6" w:space="0" w:color="7F7F7F"/>
              <w:bottom w:val="single" w:sz="6" w:space="0" w:color="7F7F7F"/>
            </w:tcBorders>
            <w:shd w:val="clear" w:color="auto" w:fill="EEEEEE"/>
          </w:tcPr>
          <w:p w14:paraId="17463BA4" w14:textId="77777777" w:rsidR="00D8098C" w:rsidRPr="00F0337F" w:rsidRDefault="00D8098C" w:rsidP="006912BF">
            <w:pPr>
              <w:spacing w:beforeLines="40" w:before="96" w:afterLines="40" w:after="96" w:line="24" w:lineRule="atLeast"/>
              <w:rPr>
                <w:rFonts w:eastAsia="Cambria"/>
                <w:sz w:val="18"/>
                <w:szCs w:val="18"/>
                <w:lang w:val="en-GB" w:eastAsia="en-US"/>
              </w:rPr>
            </w:pPr>
            <w:r w:rsidRPr="00F0337F">
              <w:rPr>
                <w:rFonts w:eastAsia="Times New Roman"/>
                <w:sz w:val="18"/>
                <w:szCs w:val="18"/>
                <w:lang w:val="en-GB" w:eastAsia="en-GB"/>
              </w:rPr>
              <w:t>Indicate Mendelian randomization</w:t>
            </w:r>
            <w:r w:rsidR="000A4CE8">
              <w:rPr>
                <w:rFonts w:eastAsia="Times New Roman"/>
                <w:sz w:val="18"/>
                <w:szCs w:val="18"/>
                <w:lang w:val="en-GB" w:eastAsia="en-GB"/>
              </w:rPr>
              <w:t xml:space="preserve"> (MR)</w:t>
            </w:r>
            <w:r w:rsidRPr="00F0337F">
              <w:rPr>
                <w:rFonts w:eastAsia="Times New Roman"/>
                <w:sz w:val="18"/>
                <w:szCs w:val="18"/>
                <w:lang w:val="en-GB" w:eastAsia="en-GB"/>
              </w:rPr>
              <w:t xml:space="preserve"> as the study</w:t>
            </w:r>
            <w:r w:rsidR="006912BF">
              <w:rPr>
                <w:rFonts w:eastAsia="Times New Roman"/>
                <w:sz w:val="18"/>
                <w:szCs w:val="18"/>
                <w:lang w:val="en-GB" w:eastAsia="en-GB"/>
              </w:rPr>
              <w:t>’</w:t>
            </w:r>
            <w:r w:rsidRPr="00F0337F">
              <w:rPr>
                <w:rFonts w:eastAsia="Times New Roman"/>
                <w:sz w:val="18"/>
                <w:szCs w:val="18"/>
                <w:lang w:val="en-GB" w:eastAsia="en-GB"/>
              </w:rPr>
              <w:t>s design in the title and/or the abstract if that is a main purpose of the study</w:t>
            </w:r>
          </w:p>
        </w:tc>
        <w:tc>
          <w:tcPr>
            <w:tcW w:w="720" w:type="dxa"/>
            <w:tcBorders>
              <w:top w:val="single" w:sz="6" w:space="0" w:color="7F7F7F"/>
              <w:bottom w:val="single" w:sz="6" w:space="0" w:color="7F7F7F"/>
            </w:tcBorders>
            <w:shd w:val="clear" w:color="auto" w:fill="EEEEEE"/>
          </w:tcPr>
          <w:p w14:paraId="7C6AD363" w14:textId="68E122CA" w:rsidR="00772E1F" w:rsidRPr="00EA5D82" w:rsidRDefault="00000000">
            <w:pPr>
              <w:rPr>
                <w:rFonts w:eastAsiaTheme="minorEastAsia"/>
                <w:lang w:eastAsia="zh-CN"/>
              </w:rPr>
            </w:pPr>
            <w:r>
              <w:t>1–</w:t>
            </w:r>
            <w:r w:rsidR="00EA5D82">
              <w:rPr>
                <w:rFonts w:eastAsiaTheme="minorEastAsia" w:hint="eastAsia"/>
                <w:lang w:eastAsia="zh-CN"/>
              </w:rPr>
              <w:t>4</w:t>
            </w:r>
          </w:p>
        </w:tc>
        <w:tc>
          <w:tcPr>
            <w:tcW w:w="4320" w:type="dxa"/>
            <w:tcBorders>
              <w:top w:val="single" w:sz="6" w:space="0" w:color="7F7F7F"/>
              <w:bottom w:val="single" w:sz="6" w:space="0" w:color="7F7F7F"/>
            </w:tcBorders>
            <w:shd w:val="clear" w:color="auto" w:fill="EEEEEE"/>
          </w:tcPr>
          <w:p w14:paraId="293C6621" w14:textId="1ED4D4DA" w:rsidR="00772E1F" w:rsidRPr="00EA5D82" w:rsidRDefault="00EA5D82">
            <w:pPr>
              <w:rPr>
                <w:rFonts w:eastAsiaTheme="minorEastAsia"/>
                <w:lang w:eastAsia="zh-CN"/>
              </w:rPr>
            </w:pPr>
            <w:r w:rsidRPr="00EA5D82">
              <w:t>The title identifies the study as a “drug-target Mendelian randomization study.” The Abstract Methods state: “In this drug target Mendelian randomization study, we assessed the associations of genetically proxied modulation of GLP1R, GIPR, and dual GIPR/GLP1R pathways with four aging phenotype</w:t>
            </w:r>
            <w:r>
              <w:rPr>
                <w:rFonts w:eastAsiaTheme="minorEastAsia" w:hint="eastAsia"/>
                <w:lang w:eastAsia="zh-CN"/>
              </w:rPr>
              <w:t>.</w:t>
            </w:r>
            <w:r>
              <w:rPr>
                <w:rFonts w:eastAsiaTheme="minorEastAsia"/>
                <w:lang w:eastAsia="zh-CN"/>
              </w:rPr>
              <w:t>”</w:t>
            </w:r>
          </w:p>
        </w:tc>
      </w:tr>
      <w:tr w:rsidR="00D8098C" w:rsidRPr="00B853C6" w14:paraId="333CE129" w14:textId="77777777" w:rsidTr="003D447D">
        <w:tc>
          <w:tcPr>
            <w:tcW w:w="587" w:type="dxa"/>
            <w:tcBorders>
              <w:top w:val="single" w:sz="6" w:space="0" w:color="7F7F7F"/>
            </w:tcBorders>
          </w:tcPr>
          <w:p w14:paraId="233DD132"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p>
        </w:tc>
        <w:tc>
          <w:tcPr>
            <w:tcW w:w="1822" w:type="dxa"/>
            <w:tcBorders>
              <w:top w:val="single" w:sz="6" w:space="0" w:color="7F7F7F"/>
            </w:tcBorders>
          </w:tcPr>
          <w:p w14:paraId="158F240A"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INTRODUCTION</w:t>
            </w:r>
          </w:p>
        </w:tc>
        <w:tc>
          <w:tcPr>
            <w:tcW w:w="7041" w:type="dxa"/>
            <w:tcBorders>
              <w:top w:val="single" w:sz="6" w:space="0" w:color="7F7F7F"/>
            </w:tcBorders>
          </w:tcPr>
          <w:p w14:paraId="2F6641F1" w14:textId="77777777" w:rsidR="00D8098C" w:rsidRPr="00F0337F" w:rsidRDefault="00D8098C" w:rsidP="00426603">
            <w:pPr>
              <w:spacing w:beforeLines="40" w:before="96" w:afterLines="40" w:after="96" w:line="24" w:lineRule="atLeast"/>
              <w:rPr>
                <w:rFonts w:eastAsia="Cambria"/>
                <w:sz w:val="18"/>
                <w:szCs w:val="18"/>
                <w:lang w:val="en-GB" w:eastAsia="en-US"/>
              </w:rPr>
            </w:pPr>
          </w:p>
        </w:tc>
        <w:tc>
          <w:tcPr>
            <w:tcW w:w="720" w:type="dxa"/>
            <w:tcBorders>
              <w:top w:val="single" w:sz="6" w:space="0" w:color="7F7F7F"/>
            </w:tcBorders>
          </w:tcPr>
          <w:p w14:paraId="00FC77C5" w14:textId="77777777" w:rsidR="00D8098C" w:rsidRPr="00F0337F" w:rsidRDefault="00D8098C" w:rsidP="00426603">
            <w:pPr>
              <w:spacing w:beforeLines="40" w:before="96" w:afterLines="40" w:after="96" w:line="24" w:lineRule="atLeast"/>
              <w:rPr>
                <w:rFonts w:eastAsia="Cambria"/>
                <w:sz w:val="18"/>
                <w:szCs w:val="18"/>
                <w:lang w:val="en-GB" w:eastAsia="en-US"/>
              </w:rPr>
            </w:pPr>
          </w:p>
        </w:tc>
        <w:tc>
          <w:tcPr>
            <w:tcW w:w="4320" w:type="dxa"/>
            <w:tcBorders>
              <w:top w:val="single" w:sz="6" w:space="0" w:color="7F7F7F"/>
            </w:tcBorders>
          </w:tcPr>
          <w:p w14:paraId="708B8366" w14:textId="77777777" w:rsidR="00D8098C" w:rsidRDefault="00D8098C" w:rsidP="00426603">
            <w:pPr>
              <w:spacing w:beforeLines="40" w:before="96" w:afterLines="40" w:after="96" w:line="24" w:lineRule="atLeast"/>
              <w:rPr>
                <w:rFonts w:eastAsia="Cambria"/>
                <w:sz w:val="18"/>
                <w:szCs w:val="18"/>
                <w:lang w:val="en-GB" w:eastAsia="en-US"/>
              </w:rPr>
            </w:pPr>
          </w:p>
        </w:tc>
      </w:tr>
      <w:tr w:rsidR="00D8098C" w:rsidRPr="00B853C6" w14:paraId="5828130B" w14:textId="77777777" w:rsidTr="003D447D">
        <w:tc>
          <w:tcPr>
            <w:tcW w:w="587" w:type="dxa"/>
            <w:shd w:val="clear" w:color="auto" w:fill="EEEEEE"/>
          </w:tcPr>
          <w:p w14:paraId="41969FB6"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2</w:t>
            </w:r>
          </w:p>
        </w:tc>
        <w:tc>
          <w:tcPr>
            <w:tcW w:w="1822" w:type="dxa"/>
            <w:shd w:val="clear" w:color="auto" w:fill="EEEEEE"/>
          </w:tcPr>
          <w:p w14:paraId="4A79DD56" w14:textId="77777777" w:rsidR="00D8098C" w:rsidRPr="00F0337F" w:rsidRDefault="00D8098C" w:rsidP="00426603">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Background</w:t>
            </w:r>
          </w:p>
        </w:tc>
        <w:tc>
          <w:tcPr>
            <w:tcW w:w="7041" w:type="dxa"/>
            <w:shd w:val="clear" w:color="auto" w:fill="EEEEEE"/>
          </w:tcPr>
          <w:p w14:paraId="402D0C60"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sz w:val="18"/>
                <w:szCs w:val="18"/>
                <w:lang w:val="en-GB" w:eastAsia="en-GB"/>
              </w:rPr>
              <w:t xml:space="preserve">Explain the scientific background and rationale for the reported study. What is the exposure? Is </w:t>
            </w:r>
            <w:r w:rsidR="00514462">
              <w:rPr>
                <w:rFonts w:eastAsia="Times New Roman"/>
                <w:sz w:val="18"/>
                <w:szCs w:val="18"/>
                <w:lang w:val="en-GB" w:eastAsia="en-GB"/>
              </w:rPr>
              <w:t xml:space="preserve">a </w:t>
            </w:r>
            <w:r>
              <w:rPr>
                <w:rFonts w:eastAsia="Times New Roman"/>
                <w:sz w:val="18"/>
                <w:szCs w:val="18"/>
                <w:lang w:val="en-GB" w:eastAsia="en-GB"/>
              </w:rPr>
              <w:t>potential causal relationship</w:t>
            </w:r>
            <w:r w:rsidRPr="00F0337F">
              <w:rPr>
                <w:rFonts w:eastAsia="Times New Roman"/>
                <w:sz w:val="18"/>
                <w:szCs w:val="18"/>
                <w:lang w:val="en-GB" w:eastAsia="en-GB"/>
              </w:rPr>
              <w:t xml:space="preserve"> between exposure and outcome plausible? Justify why MR is a helpful method to address the study question</w:t>
            </w:r>
          </w:p>
        </w:tc>
        <w:tc>
          <w:tcPr>
            <w:tcW w:w="720" w:type="dxa"/>
            <w:shd w:val="clear" w:color="auto" w:fill="EEEEEE"/>
          </w:tcPr>
          <w:p w14:paraId="1B409A71" w14:textId="1EA693BF" w:rsidR="00772E1F" w:rsidRPr="00DE680B" w:rsidRDefault="00DE680B">
            <w:pPr>
              <w:rPr>
                <w:rFonts w:eastAsiaTheme="minorEastAsia" w:hint="eastAsia"/>
                <w:lang w:eastAsia="zh-CN"/>
              </w:rPr>
            </w:pPr>
            <w:r>
              <w:rPr>
                <w:rFonts w:eastAsiaTheme="minorEastAsia" w:hint="eastAsia"/>
                <w:lang w:eastAsia="zh-CN"/>
              </w:rPr>
              <w:t>6</w:t>
            </w:r>
            <w:r w:rsidR="00EA5D82">
              <w:t>–</w:t>
            </w:r>
            <w:r>
              <w:rPr>
                <w:rFonts w:eastAsiaTheme="minorEastAsia" w:hint="eastAsia"/>
                <w:lang w:eastAsia="zh-CN"/>
              </w:rPr>
              <w:t>7</w:t>
            </w:r>
          </w:p>
        </w:tc>
        <w:tc>
          <w:tcPr>
            <w:tcW w:w="4320" w:type="dxa"/>
            <w:shd w:val="clear" w:color="auto" w:fill="EEEEEE"/>
          </w:tcPr>
          <w:p w14:paraId="1871932E" w14:textId="4D07F11E" w:rsidR="00772E1F" w:rsidRDefault="00EA5D82">
            <w:r w:rsidRPr="00EA5D82">
              <w:t>The Introduction describes biological aging within the geroscience framework, summarizes the established and potential age-related benefits of GLP1R- and GIPR-related therapies, identifies the lack of clinical studies with aging outcomes, and explains why drug-target MR is useful for early causal inference.</w:t>
            </w:r>
          </w:p>
        </w:tc>
      </w:tr>
      <w:tr w:rsidR="00D8098C" w:rsidRPr="00B853C6" w14:paraId="037CDCDE" w14:textId="77777777" w:rsidTr="003D447D">
        <w:tc>
          <w:tcPr>
            <w:tcW w:w="587" w:type="dxa"/>
            <w:tcBorders>
              <w:bottom w:val="single" w:sz="6" w:space="0" w:color="7F7F7F"/>
            </w:tcBorders>
          </w:tcPr>
          <w:p w14:paraId="146F63D7"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3</w:t>
            </w:r>
          </w:p>
        </w:tc>
        <w:tc>
          <w:tcPr>
            <w:tcW w:w="1822" w:type="dxa"/>
            <w:tcBorders>
              <w:bottom w:val="single" w:sz="6" w:space="0" w:color="7F7F7F"/>
            </w:tcBorders>
          </w:tcPr>
          <w:p w14:paraId="1055F697" w14:textId="77777777" w:rsidR="00D8098C" w:rsidRPr="00F0337F" w:rsidRDefault="00D8098C" w:rsidP="00426603">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Objectives</w:t>
            </w:r>
          </w:p>
        </w:tc>
        <w:tc>
          <w:tcPr>
            <w:tcW w:w="7041" w:type="dxa"/>
            <w:tcBorders>
              <w:bottom w:val="single" w:sz="6" w:space="0" w:color="7F7F7F"/>
            </w:tcBorders>
          </w:tcPr>
          <w:p w14:paraId="4CE1BD45"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State specific objectives clearly, including pre-specified causal hypotheses (if any). State that MR is a method that, under specific assumptions, intends to estimate causal effects</w:t>
            </w:r>
          </w:p>
        </w:tc>
        <w:tc>
          <w:tcPr>
            <w:tcW w:w="720" w:type="dxa"/>
            <w:tcBorders>
              <w:bottom w:val="single" w:sz="6" w:space="0" w:color="7F7F7F"/>
            </w:tcBorders>
          </w:tcPr>
          <w:p w14:paraId="0B26E5AC" w14:textId="77A53AC9" w:rsidR="00772E1F" w:rsidRPr="00EA5D82" w:rsidRDefault="00DE680B">
            <w:pPr>
              <w:rPr>
                <w:rFonts w:eastAsiaTheme="minorEastAsia"/>
                <w:lang w:eastAsia="zh-CN"/>
              </w:rPr>
            </w:pPr>
            <w:r>
              <w:rPr>
                <w:rFonts w:eastAsiaTheme="minorEastAsia" w:hint="eastAsia"/>
                <w:lang w:eastAsia="zh-CN"/>
              </w:rPr>
              <w:t>7</w:t>
            </w:r>
          </w:p>
        </w:tc>
        <w:tc>
          <w:tcPr>
            <w:tcW w:w="4320" w:type="dxa"/>
            <w:tcBorders>
              <w:bottom w:val="single" w:sz="6" w:space="0" w:color="7F7F7F"/>
            </w:tcBorders>
          </w:tcPr>
          <w:p w14:paraId="6E45B6A5" w14:textId="06F4859B" w:rsidR="00772E1F" w:rsidRPr="00EA5D82" w:rsidRDefault="00EA5D82">
            <w:pPr>
              <w:rPr>
                <w:rFonts w:eastAsiaTheme="minorEastAsia"/>
                <w:lang w:eastAsia="zh-CN"/>
              </w:rPr>
            </w:pPr>
            <w:r w:rsidRPr="00EA5D82">
              <w:t>In this study, we conducted biomarker MR within a two-sample MR framework to examine the effects of glycated hemoglobin (HbA1c) and body mass index (BMI) on biological aging, and subsequently applied drug-target MR to evaluate the associations of genetically proxied modulation of GLP1R, GIPR, and dual GIPR/GLP1R with biological aging</w:t>
            </w:r>
          </w:p>
        </w:tc>
      </w:tr>
      <w:tr w:rsidR="00D8098C" w:rsidRPr="00B853C6" w14:paraId="14C3037B" w14:textId="77777777" w:rsidTr="003D447D">
        <w:tc>
          <w:tcPr>
            <w:tcW w:w="587" w:type="dxa"/>
            <w:tcBorders>
              <w:top w:val="single" w:sz="6" w:space="0" w:color="7F7F7F"/>
            </w:tcBorders>
            <w:shd w:val="clear" w:color="auto" w:fill="EEEEEE"/>
          </w:tcPr>
          <w:p w14:paraId="6831ED1D"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p>
        </w:tc>
        <w:tc>
          <w:tcPr>
            <w:tcW w:w="1822" w:type="dxa"/>
            <w:tcBorders>
              <w:top w:val="single" w:sz="6" w:space="0" w:color="7F7F7F"/>
            </w:tcBorders>
            <w:shd w:val="clear" w:color="auto" w:fill="EEEEEE"/>
          </w:tcPr>
          <w:p w14:paraId="5E6261C7" w14:textId="77777777" w:rsidR="00D8098C" w:rsidRPr="00F0337F" w:rsidRDefault="00D8098C" w:rsidP="00426603">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METHODS</w:t>
            </w:r>
          </w:p>
        </w:tc>
        <w:tc>
          <w:tcPr>
            <w:tcW w:w="7041" w:type="dxa"/>
            <w:tcBorders>
              <w:top w:val="single" w:sz="6" w:space="0" w:color="7F7F7F"/>
            </w:tcBorders>
            <w:shd w:val="clear" w:color="auto" w:fill="EEEEEE"/>
          </w:tcPr>
          <w:p w14:paraId="7F4DECE0"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720" w:type="dxa"/>
            <w:tcBorders>
              <w:top w:val="single" w:sz="6" w:space="0" w:color="7F7F7F"/>
            </w:tcBorders>
            <w:shd w:val="clear" w:color="auto" w:fill="EEEEEE"/>
          </w:tcPr>
          <w:p w14:paraId="6B85488E"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4320" w:type="dxa"/>
            <w:tcBorders>
              <w:top w:val="single" w:sz="6" w:space="0" w:color="7F7F7F"/>
            </w:tcBorders>
            <w:shd w:val="clear" w:color="auto" w:fill="EEEEEE"/>
          </w:tcPr>
          <w:p w14:paraId="733D6119" w14:textId="77777777" w:rsidR="00D8098C" w:rsidRDefault="00D8098C" w:rsidP="00426603">
            <w:pPr>
              <w:spacing w:beforeLines="40" w:before="96" w:afterLines="40" w:after="96" w:line="24" w:lineRule="atLeast"/>
              <w:rPr>
                <w:rFonts w:eastAsia="Cambria"/>
                <w:sz w:val="18"/>
                <w:szCs w:val="18"/>
                <w:lang w:val="en-GB" w:eastAsia="en-US"/>
              </w:rPr>
            </w:pPr>
          </w:p>
        </w:tc>
      </w:tr>
      <w:tr w:rsidR="00D8098C" w:rsidRPr="00B853C6" w14:paraId="4DF44D1C" w14:textId="77777777" w:rsidTr="003D447D">
        <w:tc>
          <w:tcPr>
            <w:tcW w:w="587" w:type="dxa"/>
          </w:tcPr>
          <w:p w14:paraId="186941DB"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lastRenderedPageBreak/>
              <w:t>4</w:t>
            </w:r>
          </w:p>
        </w:tc>
        <w:tc>
          <w:tcPr>
            <w:tcW w:w="1822" w:type="dxa"/>
          </w:tcPr>
          <w:p w14:paraId="19101C91"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Study design and data sources</w:t>
            </w:r>
          </w:p>
        </w:tc>
        <w:tc>
          <w:tcPr>
            <w:tcW w:w="7041" w:type="dxa"/>
          </w:tcPr>
          <w:p w14:paraId="1A24AE63"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Present key elements of the study design early in the article. Consider including a table listing sources of data for all phases of the study. For each data source contributing to the analysis, describe the following: </w:t>
            </w:r>
          </w:p>
        </w:tc>
        <w:tc>
          <w:tcPr>
            <w:tcW w:w="720" w:type="dxa"/>
          </w:tcPr>
          <w:p w14:paraId="0C42B8ED" w14:textId="72F3F143" w:rsidR="00772E1F" w:rsidRPr="00EA5D82" w:rsidRDefault="00DE680B">
            <w:pPr>
              <w:rPr>
                <w:rFonts w:eastAsiaTheme="minorEastAsia"/>
                <w:lang w:eastAsia="zh-CN"/>
              </w:rPr>
            </w:pPr>
            <w:r>
              <w:rPr>
                <w:rFonts w:eastAsiaTheme="minorEastAsia" w:hint="eastAsia"/>
                <w:lang w:eastAsia="zh-CN"/>
              </w:rPr>
              <w:t>8</w:t>
            </w:r>
            <w:r w:rsidR="00EA5D82">
              <w:t>–1</w:t>
            </w:r>
            <w:r>
              <w:rPr>
                <w:rFonts w:eastAsiaTheme="minorEastAsia" w:hint="eastAsia"/>
                <w:lang w:eastAsia="zh-CN"/>
              </w:rPr>
              <w:t>1</w:t>
            </w:r>
            <w:r w:rsidR="00EA5D82">
              <w:t xml:space="preserve">; </w:t>
            </w:r>
            <w:r w:rsidR="00EA5D82">
              <w:rPr>
                <w:rFonts w:eastAsiaTheme="minorEastAsia" w:hint="eastAsia"/>
                <w:lang w:eastAsia="zh-CN"/>
              </w:rPr>
              <w:t>2</w:t>
            </w:r>
            <w:r>
              <w:rPr>
                <w:rFonts w:eastAsiaTheme="minorEastAsia" w:hint="eastAsia"/>
                <w:lang w:eastAsia="zh-CN"/>
              </w:rPr>
              <w:t>2</w:t>
            </w:r>
            <w:r w:rsidR="00EA5D82">
              <w:rPr>
                <w:rFonts w:eastAsiaTheme="minorEastAsia" w:hint="eastAsia"/>
                <w:lang w:eastAsia="zh-CN"/>
              </w:rPr>
              <w:t>-2</w:t>
            </w:r>
            <w:r>
              <w:rPr>
                <w:rFonts w:eastAsiaTheme="minorEastAsia" w:hint="eastAsia"/>
                <w:lang w:eastAsia="zh-CN"/>
              </w:rPr>
              <w:t>3</w:t>
            </w:r>
          </w:p>
        </w:tc>
        <w:tc>
          <w:tcPr>
            <w:tcW w:w="4320" w:type="dxa"/>
          </w:tcPr>
          <w:p w14:paraId="76BD0EF9" w14:textId="6B5ABC25" w:rsidR="00772E1F" w:rsidRDefault="00EA5D82">
            <w:r w:rsidRPr="00EA5D82">
              <w:t>The study framework is presented at the beginning of Methods (“Figure 1 depicts the overall study framework”). Publicly available summary-level GWAS data are used, and Table 1 and Table S1 identify the data sources for exposures, positive controls, and aging outcomes</w:t>
            </w:r>
            <w:r>
              <w:t>.</w:t>
            </w:r>
          </w:p>
        </w:tc>
      </w:tr>
      <w:tr w:rsidR="00D8098C" w:rsidRPr="00B853C6" w14:paraId="6A5659C8" w14:textId="77777777" w:rsidTr="003D447D">
        <w:tc>
          <w:tcPr>
            <w:tcW w:w="587" w:type="dxa"/>
            <w:shd w:val="clear" w:color="auto" w:fill="EEEEEE"/>
          </w:tcPr>
          <w:p w14:paraId="303EFF51"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7BD59F96"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a)</w:t>
            </w:r>
          </w:p>
        </w:tc>
        <w:tc>
          <w:tcPr>
            <w:tcW w:w="7041" w:type="dxa"/>
            <w:shd w:val="clear" w:color="auto" w:fill="EEEEEE"/>
          </w:tcPr>
          <w:p w14:paraId="4D58438A"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shd w:val="clear" w:color="auto" w:fill="FFFFFF"/>
                <w:lang w:val="en-GB" w:eastAsia="en-GB"/>
              </w:rPr>
              <w:t xml:space="preserve">Setting: </w:t>
            </w:r>
            <w:r w:rsidRPr="00A1236D">
              <w:rPr>
                <w:rFonts w:eastAsia="Times New Roman"/>
                <w:sz w:val="18"/>
                <w:szCs w:val="18"/>
                <w:lang w:val="en-GB" w:eastAsia="en-GB"/>
              </w:rPr>
              <w:t xml:space="preserve">Describe the study design and the underlying population, if possible. </w:t>
            </w:r>
            <w:r w:rsidRPr="00A1236D">
              <w:rPr>
                <w:rFonts w:eastAsia="Times New Roman"/>
                <w:sz w:val="18"/>
                <w:szCs w:val="18"/>
                <w:shd w:val="clear" w:color="auto" w:fill="FFFFFF"/>
                <w:lang w:val="en-GB" w:eastAsia="en-GB"/>
              </w:rPr>
              <w:t xml:space="preserve">Describe the setting, locations, and relevant dates, including periods </w:t>
            </w:r>
            <w:r w:rsidRPr="00A1236D">
              <w:rPr>
                <w:rFonts w:eastAsia="Times New Roman"/>
                <w:color w:val="000000"/>
                <w:sz w:val="18"/>
                <w:szCs w:val="18"/>
                <w:shd w:val="clear" w:color="auto" w:fill="FFFFFF"/>
                <w:lang w:val="en-GB" w:eastAsia="en-GB"/>
              </w:rPr>
              <w:t>of recruitment, exposure, follow-up, and data collection, when available.</w:t>
            </w:r>
          </w:p>
        </w:tc>
        <w:tc>
          <w:tcPr>
            <w:tcW w:w="720" w:type="dxa"/>
            <w:shd w:val="clear" w:color="auto" w:fill="EEEEEE"/>
          </w:tcPr>
          <w:p w14:paraId="4E23DD53" w14:textId="12252846" w:rsidR="00772E1F" w:rsidRPr="00EA5D82" w:rsidRDefault="00DE680B">
            <w:pPr>
              <w:rPr>
                <w:rFonts w:eastAsiaTheme="minorEastAsia"/>
                <w:lang w:eastAsia="zh-CN"/>
              </w:rPr>
            </w:pPr>
            <w:r>
              <w:rPr>
                <w:rFonts w:eastAsiaTheme="minorEastAsia" w:hint="eastAsia"/>
                <w:lang w:eastAsia="zh-CN"/>
              </w:rPr>
              <w:t>8</w:t>
            </w:r>
            <w:r w:rsidR="00EA5D82">
              <w:t>–1</w:t>
            </w:r>
            <w:r>
              <w:rPr>
                <w:rFonts w:eastAsiaTheme="minorEastAsia" w:hint="eastAsia"/>
                <w:lang w:eastAsia="zh-CN"/>
              </w:rPr>
              <w:t>1</w:t>
            </w:r>
            <w:r w:rsidR="00EA5D82">
              <w:t xml:space="preserve">; </w:t>
            </w:r>
            <w:r w:rsidR="00EA5D82">
              <w:rPr>
                <w:rFonts w:eastAsiaTheme="minorEastAsia" w:hint="eastAsia"/>
                <w:lang w:eastAsia="zh-CN"/>
              </w:rPr>
              <w:t>2</w:t>
            </w:r>
            <w:r>
              <w:rPr>
                <w:rFonts w:eastAsiaTheme="minorEastAsia" w:hint="eastAsia"/>
                <w:lang w:eastAsia="zh-CN"/>
              </w:rPr>
              <w:t>2</w:t>
            </w:r>
            <w:r w:rsidR="00EA5D82">
              <w:rPr>
                <w:rFonts w:eastAsiaTheme="minorEastAsia" w:hint="eastAsia"/>
                <w:lang w:eastAsia="zh-CN"/>
              </w:rPr>
              <w:t>-2</w:t>
            </w:r>
            <w:r>
              <w:rPr>
                <w:rFonts w:eastAsiaTheme="minorEastAsia" w:hint="eastAsia"/>
                <w:lang w:eastAsia="zh-CN"/>
              </w:rPr>
              <w:t>3</w:t>
            </w:r>
          </w:p>
        </w:tc>
        <w:tc>
          <w:tcPr>
            <w:tcW w:w="4320" w:type="dxa"/>
            <w:shd w:val="clear" w:color="auto" w:fill="EEEEEE"/>
          </w:tcPr>
          <w:p w14:paraId="50EE8AF9" w14:textId="4F7345DD" w:rsidR="00772E1F" w:rsidRDefault="00EA5D82">
            <w:r w:rsidRPr="00EA5D82">
              <w:t>The manuscript describes a two-sample biomarker and drug-target MR study based on publicly available GWAS summary statistics. The contributing projects/consortia, European ancestry, publication or release years, and sample sizes are reported in Methods and Table 1</w:t>
            </w:r>
            <w:r>
              <w:t>.</w:t>
            </w:r>
          </w:p>
        </w:tc>
      </w:tr>
      <w:tr w:rsidR="00D8098C" w:rsidRPr="00B853C6" w14:paraId="6A515778" w14:textId="77777777" w:rsidTr="003D447D">
        <w:tc>
          <w:tcPr>
            <w:tcW w:w="587" w:type="dxa"/>
          </w:tcPr>
          <w:p w14:paraId="0DBF3A02"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tcPr>
          <w:p w14:paraId="7C2104DD"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b)</w:t>
            </w:r>
          </w:p>
        </w:tc>
        <w:tc>
          <w:tcPr>
            <w:tcW w:w="7041" w:type="dxa"/>
          </w:tcPr>
          <w:p w14:paraId="19C47D96" w14:textId="77777777" w:rsidR="00D8098C" w:rsidRPr="00A1236D" w:rsidRDefault="00D8098C" w:rsidP="00426603">
            <w:pPr>
              <w:spacing w:beforeLines="40" w:before="96" w:afterLines="40" w:after="96" w:line="24" w:lineRule="atLeast"/>
              <w:textAlignment w:val="baseline"/>
              <w:rPr>
                <w:rFonts w:eastAsia="Cambria"/>
                <w:sz w:val="18"/>
                <w:szCs w:val="18"/>
                <w:lang w:val="en-GB" w:eastAsia="en-US"/>
              </w:rPr>
            </w:pPr>
            <w:r w:rsidRPr="00A1236D">
              <w:rPr>
                <w:rFonts w:eastAsia="Times New Roman"/>
                <w:sz w:val="18"/>
                <w:szCs w:val="18"/>
                <w:shd w:val="clear" w:color="auto" w:fill="FFFFFF"/>
                <w:lang w:val="en-GB" w:eastAsia="en-GB"/>
              </w:rPr>
              <w:t xml:space="preserve">Participants: Give the eligibility criteria, and the sources and methods of selection of participants. </w:t>
            </w:r>
            <w:r w:rsidRPr="00A1236D">
              <w:rPr>
                <w:rFonts w:eastAsia="Times New Roman"/>
                <w:color w:val="000000"/>
                <w:sz w:val="18"/>
                <w:szCs w:val="18"/>
              </w:rPr>
              <w:t>Report the sample size, and whether any power or sample size calculations were carried out prior to the main analysis</w:t>
            </w:r>
            <w:r w:rsidRPr="00A1236D">
              <w:rPr>
                <w:rFonts w:eastAsia="Times New Roman"/>
                <w:sz w:val="18"/>
                <w:szCs w:val="18"/>
                <w:lang w:val="en-GB" w:eastAsia="en-GB"/>
              </w:rPr>
              <w:t> </w:t>
            </w:r>
          </w:p>
        </w:tc>
        <w:tc>
          <w:tcPr>
            <w:tcW w:w="720" w:type="dxa"/>
          </w:tcPr>
          <w:p w14:paraId="22129B2B" w14:textId="22101069" w:rsidR="00772E1F" w:rsidRPr="00EA5D82" w:rsidRDefault="00DE680B">
            <w:pPr>
              <w:rPr>
                <w:rFonts w:eastAsiaTheme="minorEastAsia"/>
                <w:lang w:eastAsia="zh-CN"/>
              </w:rPr>
            </w:pPr>
            <w:r>
              <w:rPr>
                <w:rFonts w:eastAsiaTheme="minorEastAsia" w:hint="eastAsia"/>
                <w:lang w:eastAsia="zh-CN"/>
              </w:rPr>
              <w:t>8</w:t>
            </w:r>
            <w:r w:rsidR="00EA5D82">
              <w:t>–1</w:t>
            </w:r>
            <w:r>
              <w:rPr>
                <w:rFonts w:eastAsiaTheme="minorEastAsia" w:hint="eastAsia"/>
                <w:lang w:eastAsia="zh-CN"/>
              </w:rPr>
              <w:t>1</w:t>
            </w:r>
            <w:r w:rsidR="00EA5D82">
              <w:t xml:space="preserve">; </w:t>
            </w:r>
            <w:r w:rsidR="00EA5D82">
              <w:rPr>
                <w:rFonts w:eastAsiaTheme="minorEastAsia" w:hint="eastAsia"/>
                <w:lang w:eastAsia="zh-CN"/>
              </w:rPr>
              <w:t>2</w:t>
            </w:r>
            <w:r>
              <w:rPr>
                <w:rFonts w:eastAsiaTheme="minorEastAsia" w:hint="eastAsia"/>
                <w:lang w:eastAsia="zh-CN"/>
              </w:rPr>
              <w:t>2</w:t>
            </w:r>
            <w:r w:rsidR="00EA5D82">
              <w:rPr>
                <w:rFonts w:eastAsiaTheme="minorEastAsia" w:hint="eastAsia"/>
                <w:lang w:eastAsia="zh-CN"/>
              </w:rPr>
              <w:t>-2</w:t>
            </w:r>
            <w:r>
              <w:rPr>
                <w:rFonts w:eastAsiaTheme="minorEastAsia" w:hint="eastAsia"/>
                <w:lang w:eastAsia="zh-CN"/>
              </w:rPr>
              <w:t>3</w:t>
            </w:r>
          </w:p>
        </w:tc>
        <w:tc>
          <w:tcPr>
            <w:tcW w:w="4320" w:type="dxa"/>
          </w:tcPr>
          <w:p w14:paraId="3ED77286" w14:textId="15B74289" w:rsidR="00772E1F" w:rsidRDefault="00EA5D82">
            <w:r w:rsidRPr="00EA5D82">
              <w:t>Participants were those included in the contributing GWAS datasets. The source studies and sample sizes are reported in Methods and Table 1. No a priori power or sample-size calculation is reported</w:t>
            </w:r>
            <w:r>
              <w:t>.</w:t>
            </w:r>
          </w:p>
        </w:tc>
      </w:tr>
      <w:tr w:rsidR="00D8098C" w:rsidRPr="00B853C6" w14:paraId="4036EEB9" w14:textId="77777777" w:rsidTr="003D447D">
        <w:tc>
          <w:tcPr>
            <w:tcW w:w="587" w:type="dxa"/>
            <w:shd w:val="clear" w:color="auto" w:fill="EEEEEE"/>
          </w:tcPr>
          <w:p w14:paraId="4D9579CC"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7A6E73D4"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c)</w:t>
            </w:r>
          </w:p>
        </w:tc>
        <w:tc>
          <w:tcPr>
            <w:tcW w:w="7041" w:type="dxa"/>
            <w:shd w:val="clear" w:color="auto" w:fill="EEEEEE"/>
          </w:tcPr>
          <w:p w14:paraId="7A5E7B5B"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Describe measurement, quality control and selection of genetic variants</w:t>
            </w:r>
          </w:p>
        </w:tc>
        <w:tc>
          <w:tcPr>
            <w:tcW w:w="720" w:type="dxa"/>
            <w:shd w:val="clear" w:color="auto" w:fill="EEEEEE"/>
          </w:tcPr>
          <w:p w14:paraId="15AF4F44" w14:textId="7EF74D1D" w:rsidR="00772E1F" w:rsidRPr="00DE680B" w:rsidRDefault="00DE680B">
            <w:pPr>
              <w:rPr>
                <w:rFonts w:eastAsiaTheme="minorEastAsia" w:hint="eastAsia"/>
                <w:lang w:eastAsia="zh-CN"/>
              </w:rPr>
            </w:pPr>
            <w:r>
              <w:rPr>
                <w:rFonts w:eastAsiaTheme="minorEastAsia" w:hint="eastAsia"/>
                <w:lang w:eastAsia="zh-CN"/>
              </w:rPr>
              <w:t>8</w:t>
            </w:r>
            <w:r w:rsidR="00000000">
              <w:t>–1</w:t>
            </w:r>
            <w:r>
              <w:rPr>
                <w:rFonts w:eastAsiaTheme="minorEastAsia" w:hint="eastAsia"/>
                <w:lang w:eastAsia="zh-CN"/>
              </w:rPr>
              <w:t>1</w:t>
            </w:r>
          </w:p>
        </w:tc>
        <w:tc>
          <w:tcPr>
            <w:tcW w:w="4320" w:type="dxa"/>
            <w:shd w:val="clear" w:color="auto" w:fill="EEEEEE"/>
          </w:tcPr>
          <w:p w14:paraId="0180AB44" w14:textId="2267E55B" w:rsidR="00772E1F" w:rsidRDefault="00EA5D82">
            <w:r w:rsidRPr="00EA5D82">
              <w:t>Variants were selected from GWAS summary statistics using specified significance thresholds and LD clumping (R² &lt;0.001 within 10,000 kb), restricted to ±500 kb of the GLP1R or GIPR locus for cis-instruments, and combined across loci for dual instruments. Proxy SNPs in high LD and F-statistic assessment are also described.</w:t>
            </w:r>
          </w:p>
        </w:tc>
      </w:tr>
      <w:tr w:rsidR="00D8098C" w:rsidRPr="00B853C6" w14:paraId="27AD8507" w14:textId="77777777" w:rsidTr="003D447D">
        <w:tc>
          <w:tcPr>
            <w:tcW w:w="587" w:type="dxa"/>
          </w:tcPr>
          <w:p w14:paraId="167110B1"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tcPr>
          <w:p w14:paraId="0A9A214F"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d)</w:t>
            </w:r>
          </w:p>
        </w:tc>
        <w:tc>
          <w:tcPr>
            <w:tcW w:w="7041" w:type="dxa"/>
          </w:tcPr>
          <w:p w14:paraId="55FC805B" w14:textId="77777777" w:rsidR="00D8098C" w:rsidRPr="00A1236D" w:rsidRDefault="00D8098C" w:rsidP="00426603">
            <w:pPr>
              <w:spacing w:beforeLines="40" w:before="96" w:afterLines="40" w:after="96" w:line="24" w:lineRule="atLeast"/>
              <w:textAlignment w:val="baseline"/>
              <w:rPr>
                <w:rFonts w:eastAsia="Cambria"/>
                <w:sz w:val="18"/>
                <w:szCs w:val="18"/>
                <w:lang w:val="en-GB" w:eastAsia="en-US"/>
              </w:rPr>
            </w:pPr>
            <w:r w:rsidRPr="00A1236D">
              <w:rPr>
                <w:rFonts w:eastAsia="Times New Roman"/>
                <w:sz w:val="18"/>
                <w:szCs w:val="18"/>
                <w:shd w:val="clear" w:color="auto" w:fill="FFFFFF"/>
                <w:lang w:val="en-GB" w:eastAsia="en-GB"/>
              </w:rPr>
              <w:t>For each exposure, outcome, and other relevant variables, describe methods of assessment and diagnostic criteria for diseases</w:t>
            </w:r>
          </w:p>
        </w:tc>
        <w:tc>
          <w:tcPr>
            <w:tcW w:w="720" w:type="dxa"/>
          </w:tcPr>
          <w:p w14:paraId="52D506CA" w14:textId="2AC0CEAF" w:rsidR="00772E1F" w:rsidRPr="00EA5D82" w:rsidRDefault="00EA5D82">
            <w:pPr>
              <w:rPr>
                <w:rFonts w:eastAsiaTheme="minorEastAsia"/>
                <w:lang w:eastAsia="zh-CN"/>
              </w:rPr>
            </w:pPr>
            <w:r>
              <w:rPr>
                <w:rFonts w:eastAsiaTheme="minorEastAsia" w:hint="eastAsia"/>
                <w:lang w:eastAsia="zh-CN"/>
              </w:rPr>
              <w:t>8</w:t>
            </w:r>
            <w:r>
              <w:t>–1</w:t>
            </w:r>
            <w:r w:rsidR="00DE680B">
              <w:rPr>
                <w:rFonts w:eastAsiaTheme="minorEastAsia" w:hint="eastAsia"/>
                <w:lang w:eastAsia="zh-CN"/>
              </w:rPr>
              <w:t>1</w:t>
            </w:r>
            <w:r>
              <w:t xml:space="preserve">; </w:t>
            </w:r>
            <w:r>
              <w:rPr>
                <w:rFonts w:eastAsiaTheme="minorEastAsia" w:hint="eastAsia"/>
                <w:lang w:eastAsia="zh-CN"/>
              </w:rPr>
              <w:t>2</w:t>
            </w:r>
            <w:r w:rsidR="00DE680B">
              <w:rPr>
                <w:rFonts w:eastAsiaTheme="minorEastAsia" w:hint="eastAsia"/>
                <w:lang w:eastAsia="zh-CN"/>
              </w:rPr>
              <w:t>2</w:t>
            </w:r>
            <w:r>
              <w:rPr>
                <w:rFonts w:eastAsiaTheme="minorEastAsia" w:hint="eastAsia"/>
                <w:lang w:eastAsia="zh-CN"/>
              </w:rPr>
              <w:t>-2</w:t>
            </w:r>
            <w:r w:rsidR="00DE680B">
              <w:rPr>
                <w:rFonts w:eastAsiaTheme="minorEastAsia" w:hint="eastAsia"/>
                <w:lang w:eastAsia="zh-CN"/>
              </w:rPr>
              <w:t>3</w:t>
            </w:r>
          </w:p>
        </w:tc>
        <w:tc>
          <w:tcPr>
            <w:tcW w:w="4320" w:type="dxa"/>
          </w:tcPr>
          <w:p w14:paraId="51724428" w14:textId="73E76C08" w:rsidR="00772E1F" w:rsidRDefault="00EA5D82">
            <w:r w:rsidRPr="00EA5D82">
              <w:t xml:space="preserve">HbA1c and BMI are described as proxies for glucose-lowering and weight-related effects, respectively. T2D and obesity are defined as positive-control outcomes, and frailty index, PhenoAge acceleration, </w:t>
            </w:r>
            <w:r w:rsidRPr="00EA5D82">
              <w:lastRenderedPageBreak/>
              <w:t>telomere length, and longevity are described as complementary aging phenotypes. Table 1 reports units, ancestry, sample sizes, and data sources</w:t>
            </w:r>
            <w:r>
              <w:t>.</w:t>
            </w:r>
          </w:p>
        </w:tc>
      </w:tr>
      <w:tr w:rsidR="00D8098C" w:rsidRPr="00B853C6" w14:paraId="6DC93251" w14:textId="77777777" w:rsidTr="003D447D">
        <w:tc>
          <w:tcPr>
            <w:tcW w:w="587" w:type="dxa"/>
            <w:shd w:val="clear" w:color="auto" w:fill="EEEEEE"/>
          </w:tcPr>
          <w:p w14:paraId="46D536DB"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7CA65D2D"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e)</w:t>
            </w:r>
          </w:p>
        </w:tc>
        <w:tc>
          <w:tcPr>
            <w:tcW w:w="7041" w:type="dxa"/>
            <w:shd w:val="clear" w:color="auto" w:fill="EEEEEE"/>
          </w:tcPr>
          <w:p w14:paraId="15517D96" w14:textId="77777777" w:rsidR="00D8098C" w:rsidRPr="00A1236D" w:rsidRDefault="00D8098C" w:rsidP="00426603">
            <w:pPr>
              <w:spacing w:beforeLines="40" w:before="96" w:afterLines="40" w:after="96" w:line="24" w:lineRule="atLeast"/>
              <w:textAlignment w:val="baseline"/>
              <w:rPr>
                <w:rFonts w:eastAsia="Cambria"/>
                <w:sz w:val="18"/>
                <w:szCs w:val="18"/>
                <w:lang w:val="en-GB" w:eastAsia="en-US"/>
              </w:rPr>
            </w:pPr>
            <w:r w:rsidRPr="00A1236D">
              <w:rPr>
                <w:rFonts w:eastAsia="Times New Roman"/>
                <w:sz w:val="18"/>
                <w:szCs w:val="18"/>
                <w:shd w:val="clear" w:color="auto" w:fill="FFFFFF"/>
                <w:lang w:val="en-GB" w:eastAsia="en-GB"/>
              </w:rPr>
              <w:t>Provide details of ethics committee approval and participant informed consent, if relevant</w:t>
            </w:r>
          </w:p>
        </w:tc>
        <w:tc>
          <w:tcPr>
            <w:tcW w:w="720" w:type="dxa"/>
            <w:shd w:val="clear" w:color="auto" w:fill="EEEEEE"/>
          </w:tcPr>
          <w:p w14:paraId="724BAF3E" w14:textId="5D9E9B73" w:rsidR="00772E1F" w:rsidRPr="00EA5D82" w:rsidRDefault="00D4147B">
            <w:pPr>
              <w:rPr>
                <w:rFonts w:eastAsiaTheme="minorEastAsia"/>
                <w:lang w:eastAsia="zh-CN"/>
              </w:rPr>
            </w:pPr>
            <w:r>
              <w:rPr>
                <w:rFonts w:eastAsiaTheme="minorEastAsia" w:hint="eastAsia"/>
                <w:lang w:eastAsia="zh-CN"/>
              </w:rPr>
              <w:t>3</w:t>
            </w:r>
            <w:r w:rsidR="00DE680B">
              <w:rPr>
                <w:rFonts w:eastAsiaTheme="minorEastAsia" w:hint="eastAsia"/>
                <w:lang w:eastAsia="zh-CN"/>
              </w:rPr>
              <w:t>1</w:t>
            </w:r>
          </w:p>
        </w:tc>
        <w:tc>
          <w:tcPr>
            <w:tcW w:w="4320" w:type="dxa"/>
            <w:shd w:val="clear" w:color="auto" w:fill="EEEEEE"/>
          </w:tcPr>
          <w:p w14:paraId="5C8ECFDD" w14:textId="190C3A46" w:rsidR="00772E1F" w:rsidRPr="00EA5D82" w:rsidRDefault="00000000">
            <w:pPr>
              <w:rPr>
                <w:rFonts w:eastAsiaTheme="minorEastAsia"/>
                <w:lang w:eastAsia="zh-CN"/>
              </w:rPr>
            </w:pPr>
            <w:r>
              <w:t>Summary-level GWAS statistics used in this study are publicly available and no specific</w:t>
            </w:r>
            <w:bookmarkStart w:id="1" w:name="OLE_LINK230"/>
            <w:r>
              <w:t xml:space="preserve"> ethical approval </w:t>
            </w:r>
            <w:bookmarkEnd w:id="1"/>
            <w:r>
              <w:t>was required.</w:t>
            </w:r>
          </w:p>
        </w:tc>
      </w:tr>
      <w:tr w:rsidR="00D8098C" w:rsidRPr="00B853C6" w14:paraId="44B63F39" w14:textId="77777777" w:rsidTr="003D447D">
        <w:tc>
          <w:tcPr>
            <w:tcW w:w="587" w:type="dxa"/>
          </w:tcPr>
          <w:p w14:paraId="5A9C2FE1"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5</w:t>
            </w:r>
          </w:p>
        </w:tc>
        <w:tc>
          <w:tcPr>
            <w:tcW w:w="1822" w:type="dxa"/>
          </w:tcPr>
          <w:p w14:paraId="34E5BEA7"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Assumptions</w:t>
            </w:r>
          </w:p>
          <w:p w14:paraId="6CCFE66E" w14:textId="77777777" w:rsidR="00D8098C" w:rsidRPr="00F0337F" w:rsidRDefault="00D8098C" w:rsidP="00426603">
            <w:pPr>
              <w:spacing w:beforeLines="40" w:before="96" w:afterLines="40" w:after="96" w:line="24" w:lineRule="atLeast"/>
              <w:jc w:val="center"/>
              <w:rPr>
                <w:rFonts w:eastAsia="Cambria"/>
                <w:sz w:val="18"/>
                <w:szCs w:val="18"/>
                <w:lang w:val="en-GB" w:eastAsia="en-US"/>
              </w:rPr>
            </w:pPr>
          </w:p>
        </w:tc>
        <w:tc>
          <w:tcPr>
            <w:tcW w:w="7041" w:type="dxa"/>
          </w:tcPr>
          <w:p w14:paraId="7EC7FB06" w14:textId="77777777" w:rsidR="00D8098C" w:rsidRPr="00A1236D" w:rsidRDefault="00D8098C" w:rsidP="00426603">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t>Explicitly state the three core IV assumptions for the main analysis (relevance, independence and exclusion restriction) as well assumptions for any additional or sensitivity analysis</w:t>
            </w:r>
          </w:p>
        </w:tc>
        <w:tc>
          <w:tcPr>
            <w:tcW w:w="720" w:type="dxa"/>
          </w:tcPr>
          <w:p w14:paraId="58F61921" w14:textId="23279266" w:rsidR="00772E1F" w:rsidRPr="00EA5D82" w:rsidRDefault="00DE680B">
            <w:pPr>
              <w:rPr>
                <w:rFonts w:eastAsiaTheme="minorEastAsia"/>
                <w:lang w:eastAsia="zh-CN"/>
              </w:rPr>
            </w:pPr>
            <w:r>
              <w:rPr>
                <w:rFonts w:eastAsiaTheme="minorEastAsia" w:hint="eastAsia"/>
                <w:lang w:eastAsia="zh-CN"/>
              </w:rPr>
              <w:t>8</w:t>
            </w:r>
          </w:p>
        </w:tc>
        <w:tc>
          <w:tcPr>
            <w:tcW w:w="4320" w:type="dxa"/>
          </w:tcPr>
          <w:p w14:paraId="742EDBE1" w14:textId="77777777" w:rsidR="00772E1F" w:rsidRDefault="00000000">
            <w:r>
              <w:t>The manuscript explicitly states the three MR assumptions: relevance, independence, and exclusion restriction.</w:t>
            </w:r>
          </w:p>
        </w:tc>
      </w:tr>
      <w:tr w:rsidR="00D8098C" w:rsidRPr="00B853C6" w14:paraId="5D1F75DF" w14:textId="77777777" w:rsidTr="003D447D">
        <w:tc>
          <w:tcPr>
            <w:tcW w:w="587" w:type="dxa"/>
            <w:shd w:val="clear" w:color="auto" w:fill="EEEEEE"/>
          </w:tcPr>
          <w:p w14:paraId="1EA44A8C"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6</w:t>
            </w:r>
          </w:p>
        </w:tc>
        <w:tc>
          <w:tcPr>
            <w:tcW w:w="1822" w:type="dxa"/>
            <w:shd w:val="clear" w:color="auto" w:fill="EEEEEE"/>
          </w:tcPr>
          <w:p w14:paraId="1FCC925C" w14:textId="77777777" w:rsidR="00D8098C" w:rsidRPr="00F0337F" w:rsidRDefault="00D8098C" w:rsidP="00426603">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Statistical methods: main analysis</w:t>
            </w:r>
          </w:p>
        </w:tc>
        <w:tc>
          <w:tcPr>
            <w:tcW w:w="7041" w:type="dxa"/>
            <w:shd w:val="clear" w:color="auto" w:fill="EEEEEE"/>
          </w:tcPr>
          <w:p w14:paraId="0617A16D"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Describe statistical methods and statistics used</w:t>
            </w:r>
          </w:p>
        </w:tc>
        <w:tc>
          <w:tcPr>
            <w:tcW w:w="720" w:type="dxa"/>
            <w:shd w:val="clear" w:color="auto" w:fill="EEEEEE"/>
          </w:tcPr>
          <w:p w14:paraId="53988972" w14:textId="7919AC1B" w:rsidR="00772E1F" w:rsidRPr="00EA5D82" w:rsidRDefault="00000000">
            <w:pPr>
              <w:rPr>
                <w:rFonts w:eastAsiaTheme="minorEastAsia"/>
                <w:lang w:eastAsia="zh-CN"/>
              </w:rPr>
            </w:pPr>
            <w:r>
              <w:t>1</w:t>
            </w:r>
            <w:r w:rsidR="00DE680B">
              <w:rPr>
                <w:rFonts w:eastAsiaTheme="minorEastAsia" w:hint="eastAsia"/>
                <w:lang w:eastAsia="zh-CN"/>
              </w:rPr>
              <w:t>1</w:t>
            </w:r>
            <w:r w:rsidR="00EA5D82">
              <w:rPr>
                <w:rFonts w:eastAsiaTheme="minorEastAsia" w:hint="eastAsia"/>
                <w:lang w:eastAsia="zh-CN"/>
              </w:rPr>
              <w:t>-1</w:t>
            </w:r>
            <w:r w:rsidR="00DE680B">
              <w:rPr>
                <w:rFonts w:eastAsiaTheme="minorEastAsia" w:hint="eastAsia"/>
                <w:lang w:eastAsia="zh-CN"/>
              </w:rPr>
              <w:t>2</w:t>
            </w:r>
          </w:p>
        </w:tc>
        <w:tc>
          <w:tcPr>
            <w:tcW w:w="4320" w:type="dxa"/>
            <w:shd w:val="clear" w:color="auto" w:fill="EEEEEE"/>
          </w:tcPr>
          <w:p w14:paraId="1DDDB2C2" w14:textId="282DE096" w:rsidR="00772E1F" w:rsidRPr="00EA5D82" w:rsidRDefault="00EA5D82">
            <w:pPr>
              <w:rPr>
                <w:rFonts w:eastAsiaTheme="minorEastAsia"/>
                <w:lang w:eastAsia="zh-CN"/>
              </w:rPr>
            </w:pPr>
            <w:r w:rsidRPr="00EA5D82">
              <w:t>The IVW method was used for the primary analyses, with weighted median, maximum likelihood, and MR-Egger regression as complementary methods. Cochran’s Q, the MR-Egger intercept, F statistics, Steiger directionality testing, and leave-one-out analyses are described.</w:t>
            </w:r>
          </w:p>
        </w:tc>
      </w:tr>
      <w:tr w:rsidR="00D8098C" w:rsidRPr="00B853C6" w14:paraId="524FCD09" w14:textId="77777777" w:rsidTr="003D447D">
        <w:tc>
          <w:tcPr>
            <w:tcW w:w="587" w:type="dxa"/>
          </w:tcPr>
          <w:p w14:paraId="1AF9CB19"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tcPr>
          <w:p w14:paraId="7BF144D0"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a)</w:t>
            </w:r>
          </w:p>
        </w:tc>
        <w:tc>
          <w:tcPr>
            <w:tcW w:w="7041" w:type="dxa"/>
          </w:tcPr>
          <w:p w14:paraId="71E9CB62"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Describe how quantitative variables were handled in the analyses (i.e., scale, units, model)</w:t>
            </w:r>
          </w:p>
        </w:tc>
        <w:tc>
          <w:tcPr>
            <w:tcW w:w="720" w:type="dxa"/>
          </w:tcPr>
          <w:p w14:paraId="312C5721" w14:textId="4E95E5C4" w:rsidR="00772E1F" w:rsidRPr="00EA5D82" w:rsidRDefault="00EA5D82">
            <w:pPr>
              <w:rPr>
                <w:rFonts w:eastAsiaTheme="minorEastAsia"/>
                <w:lang w:eastAsia="zh-CN"/>
              </w:rPr>
            </w:pPr>
            <w:r>
              <w:rPr>
                <w:rFonts w:eastAsiaTheme="minorEastAsia" w:hint="eastAsia"/>
                <w:lang w:eastAsia="zh-CN"/>
              </w:rPr>
              <w:t>1</w:t>
            </w:r>
            <w:r w:rsidR="00DE680B">
              <w:rPr>
                <w:rFonts w:eastAsiaTheme="minorEastAsia" w:hint="eastAsia"/>
                <w:lang w:eastAsia="zh-CN"/>
              </w:rPr>
              <w:t>2</w:t>
            </w:r>
          </w:p>
        </w:tc>
        <w:tc>
          <w:tcPr>
            <w:tcW w:w="4320" w:type="dxa"/>
          </w:tcPr>
          <w:p w14:paraId="0D174F74" w14:textId="079AC8BC" w:rsidR="00772E1F" w:rsidRDefault="00EA5D82">
            <w:r w:rsidRPr="00EA5D82">
              <w:t>Biomarker MR estimates correspond to the outcome change per 1-SD increase in genetically predicted HbA1c or BMI. Drug-target MR estimates correspond to the change associated with a 1-SD decrease in genetically predicted HbA1c or BMI mediated through the corresponding target.</w:t>
            </w:r>
          </w:p>
        </w:tc>
      </w:tr>
      <w:tr w:rsidR="00D8098C" w:rsidRPr="00B853C6" w14:paraId="087C48CB" w14:textId="77777777" w:rsidTr="003D447D">
        <w:tc>
          <w:tcPr>
            <w:tcW w:w="587" w:type="dxa"/>
            <w:shd w:val="clear" w:color="auto" w:fill="EEEEEE"/>
          </w:tcPr>
          <w:p w14:paraId="5A79BF70"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0BB21E7B"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b)</w:t>
            </w:r>
          </w:p>
        </w:tc>
        <w:tc>
          <w:tcPr>
            <w:tcW w:w="7041" w:type="dxa"/>
            <w:shd w:val="clear" w:color="auto" w:fill="EEEEEE"/>
          </w:tcPr>
          <w:p w14:paraId="4B4812A6"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Describe how genetic variants were handled in the analyses and, if applicable, how their weights were selected</w:t>
            </w:r>
          </w:p>
        </w:tc>
        <w:tc>
          <w:tcPr>
            <w:tcW w:w="720" w:type="dxa"/>
            <w:shd w:val="clear" w:color="auto" w:fill="EEEEEE"/>
          </w:tcPr>
          <w:p w14:paraId="27004C76" w14:textId="5DAB6588" w:rsidR="00772E1F" w:rsidRPr="00DE680B" w:rsidRDefault="00DE680B">
            <w:pPr>
              <w:rPr>
                <w:rFonts w:eastAsiaTheme="minorEastAsia" w:hint="eastAsia"/>
                <w:lang w:eastAsia="zh-CN"/>
              </w:rPr>
            </w:pPr>
            <w:r>
              <w:rPr>
                <w:rFonts w:eastAsiaTheme="minorEastAsia" w:hint="eastAsia"/>
                <w:lang w:eastAsia="zh-CN"/>
              </w:rPr>
              <w:t>8</w:t>
            </w:r>
            <w:r w:rsidR="00EA5D82">
              <w:t>–1</w:t>
            </w:r>
            <w:r>
              <w:rPr>
                <w:rFonts w:eastAsiaTheme="minorEastAsia" w:hint="eastAsia"/>
                <w:lang w:eastAsia="zh-CN"/>
              </w:rPr>
              <w:t>1</w:t>
            </w:r>
          </w:p>
        </w:tc>
        <w:tc>
          <w:tcPr>
            <w:tcW w:w="4320" w:type="dxa"/>
            <w:shd w:val="clear" w:color="auto" w:fill="EEEEEE"/>
          </w:tcPr>
          <w:p w14:paraId="518222C2" w14:textId="55341180" w:rsidR="00772E1F" w:rsidRDefault="00EA5D82">
            <w:r w:rsidRPr="00EA5D82">
              <w:t xml:space="preserve">Genetic variants were selected from exposure GWAS, LD-clumped for independence, restricted to the GLP1R or GIPR cis-region, and combined across loci for dual GIPR/GLP1R instruments. When an instrumental SNP was </w:t>
            </w:r>
            <w:r w:rsidRPr="00EA5D82">
              <w:lastRenderedPageBreak/>
              <w:t>unavailable, a proxy SNP with r² ≥0.8 was used where available.</w:t>
            </w:r>
          </w:p>
        </w:tc>
      </w:tr>
      <w:tr w:rsidR="00D8098C" w:rsidRPr="00B853C6" w14:paraId="6E4BF3B2" w14:textId="77777777" w:rsidTr="003D447D">
        <w:tc>
          <w:tcPr>
            <w:tcW w:w="587" w:type="dxa"/>
          </w:tcPr>
          <w:p w14:paraId="23013ED5"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tcPr>
          <w:p w14:paraId="01D435DE"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c)</w:t>
            </w:r>
          </w:p>
        </w:tc>
        <w:tc>
          <w:tcPr>
            <w:tcW w:w="7041" w:type="dxa"/>
          </w:tcPr>
          <w:p w14:paraId="452339E0"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Describe the MR estimator (e.g. two-stage least squares, Wald ratio) and related statistics. Detail the included covariates and, in case of two-sample MR, whether the same covariate set was used for adjustment in the two samples</w:t>
            </w:r>
          </w:p>
        </w:tc>
        <w:tc>
          <w:tcPr>
            <w:tcW w:w="720" w:type="dxa"/>
          </w:tcPr>
          <w:p w14:paraId="73701101" w14:textId="565040E2" w:rsidR="00772E1F" w:rsidRPr="00EA5D82" w:rsidRDefault="00000000">
            <w:pPr>
              <w:rPr>
                <w:rFonts w:eastAsiaTheme="minorEastAsia" w:hint="eastAsia"/>
                <w:lang w:eastAsia="zh-CN"/>
              </w:rPr>
            </w:pPr>
            <w:r>
              <w:t>1</w:t>
            </w:r>
            <w:r w:rsidR="00EA5D82">
              <w:rPr>
                <w:rFonts w:eastAsiaTheme="minorEastAsia" w:hint="eastAsia"/>
                <w:lang w:eastAsia="zh-CN"/>
              </w:rPr>
              <w:t>1</w:t>
            </w:r>
            <w:r w:rsidR="00DE680B">
              <w:rPr>
                <w:rFonts w:eastAsiaTheme="minorEastAsia" w:hint="eastAsia"/>
                <w:lang w:eastAsia="zh-CN"/>
              </w:rPr>
              <w:t>-12</w:t>
            </w:r>
          </w:p>
        </w:tc>
        <w:tc>
          <w:tcPr>
            <w:tcW w:w="4320" w:type="dxa"/>
          </w:tcPr>
          <w:p w14:paraId="2D4940E9" w14:textId="76F86849" w:rsidR="00772E1F" w:rsidRPr="00EA5D82" w:rsidRDefault="00EA5D82">
            <w:pPr>
              <w:rPr>
                <w:rFonts w:eastAsiaTheme="minorEastAsia"/>
                <w:lang w:eastAsia="zh-CN"/>
              </w:rPr>
            </w:pPr>
            <w:r w:rsidRPr="00EA5D82">
              <w:t xml:space="preserve">The primary estimator was IVW; weighted median, maximum likelihood, and MR-Egger regression were complementary estimators. The analysis used two-sample GWAS summary statistics; source-GWAS covariate adjustment is </w:t>
            </w:r>
            <w:r>
              <w:rPr>
                <w:rFonts w:eastAsiaTheme="minorEastAsia" w:hint="eastAsia"/>
                <w:lang w:eastAsia="zh-CN"/>
              </w:rPr>
              <w:t>described in Table S1</w:t>
            </w:r>
            <w:r w:rsidRPr="00EA5D82">
              <w:t>.</w:t>
            </w:r>
          </w:p>
        </w:tc>
      </w:tr>
      <w:tr w:rsidR="00D8098C" w:rsidRPr="00B853C6" w14:paraId="37B6202A" w14:textId="77777777" w:rsidTr="003D447D">
        <w:tc>
          <w:tcPr>
            <w:tcW w:w="587" w:type="dxa"/>
            <w:shd w:val="clear" w:color="auto" w:fill="EEEEEE"/>
          </w:tcPr>
          <w:p w14:paraId="72D0F7AF"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55BAF6E0"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d)</w:t>
            </w:r>
          </w:p>
        </w:tc>
        <w:tc>
          <w:tcPr>
            <w:tcW w:w="7041" w:type="dxa"/>
            <w:shd w:val="clear" w:color="auto" w:fill="EEEEEE"/>
          </w:tcPr>
          <w:p w14:paraId="009DC46C" w14:textId="77777777" w:rsidR="00D8098C" w:rsidRPr="00A1236D" w:rsidRDefault="00D8098C" w:rsidP="00426603">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t>Explain how missing data were addressed</w:t>
            </w:r>
          </w:p>
        </w:tc>
        <w:tc>
          <w:tcPr>
            <w:tcW w:w="720" w:type="dxa"/>
            <w:shd w:val="clear" w:color="auto" w:fill="EEEEEE"/>
          </w:tcPr>
          <w:p w14:paraId="3F851CEE" w14:textId="42CDE9D1" w:rsidR="00772E1F" w:rsidRPr="00EA5D82" w:rsidRDefault="00EA5D82">
            <w:pPr>
              <w:rPr>
                <w:rFonts w:eastAsiaTheme="minorEastAsia"/>
                <w:lang w:eastAsia="zh-CN"/>
              </w:rPr>
            </w:pPr>
            <w:r>
              <w:rPr>
                <w:rFonts w:eastAsiaTheme="minorEastAsia" w:hint="eastAsia"/>
                <w:lang w:eastAsia="zh-CN"/>
              </w:rPr>
              <w:t>1</w:t>
            </w:r>
            <w:r w:rsidR="00DE680B">
              <w:rPr>
                <w:rFonts w:eastAsiaTheme="minorEastAsia" w:hint="eastAsia"/>
                <w:lang w:eastAsia="zh-CN"/>
              </w:rPr>
              <w:t>1</w:t>
            </w:r>
          </w:p>
        </w:tc>
        <w:tc>
          <w:tcPr>
            <w:tcW w:w="4320" w:type="dxa"/>
            <w:shd w:val="clear" w:color="auto" w:fill="EEEEEE"/>
          </w:tcPr>
          <w:p w14:paraId="70B3AB0E" w14:textId="4CCEAD08" w:rsidR="00772E1F" w:rsidRPr="00EA5D82" w:rsidRDefault="00EA5D82">
            <w:pPr>
              <w:rPr>
                <w:rFonts w:eastAsiaTheme="minorEastAsia"/>
                <w:lang w:eastAsia="zh-CN"/>
              </w:rPr>
            </w:pPr>
            <w:r w:rsidRPr="00EA5D82">
              <w:t>“</w:t>
            </w:r>
            <w:bookmarkStart w:id="2" w:name="OLE_LINK1"/>
            <w:r w:rsidRPr="00EA5D82">
              <w:t>When an instrumental SNP</w:t>
            </w:r>
            <w:bookmarkEnd w:id="2"/>
            <w:r w:rsidRPr="00EA5D82">
              <w:t xml:space="preserve"> was unavailable in an outcome GWAS dataset, a proxy SNP in high LD (r² ≥0.8) was used, where available.” Individual-level missing-data procedures were not applicable because summary-level GWAS data were analyzed.</w:t>
            </w:r>
          </w:p>
        </w:tc>
      </w:tr>
      <w:tr w:rsidR="00D8098C" w:rsidRPr="00B853C6" w14:paraId="591EF862" w14:textId="77777777" w:rsidTr="003D447D">
        <w:tc>
          <w:tcPr>
            <w:tcW w:w="587" w:type="dxa"/>
          </w:tcPr>
          <w:p w14:paraId="60FCAA45"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tcPr>
          <w:p w14:paraId="581D100D"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e)</w:t>
            </w:r>
          </w:p>
        </w:tc>
        <w:tc>
          <w:tcPr>
            <w:tcW w:w="7041" w:type="dxa"/>
          </w:tcPr>
          <w:p w14:paraId="6DFDADA5"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If applicable, indicate how multiple testing was addressed</w:t>
            </w:r>
          </w:p>
        </w:tc>
        <w:tc>
          <w:tcPr>
            <w:tcW w:w="720" w:type="dxa"/>
          </w:tcPr>
          <w:p w14:paraId="37FB7480" w14:textId="5A5F68D2" w:rsidR="00772E1F" w:rsidRPr="00DE680B" w:rsidRDefault="00000000">
            <w:pPr>
              <w:rPr>
                <w:rFonts w:eastAsiaTheme="minorEastAsia" w:hint="eastAsia"/>
                <w:lang w:eastAsia="zh-CN"/>
              </w:rPr>
            </w:pPr>
            <w:r>
              <w:t>1</w:t>
            </w:r>
            <w:r w:rsidR="00DE680B">
              <w:rPr>
                <w:rFonts w:eastAsiaTheme="minorEastAsia" w:hint="eastAsia"/>
                <w:lang w:eastAsia="zh-CN"/>
              </w:rPr>
              <w:t>2</w:t>
            </w:r>
          </w:p>
        </w:tc>
        <w:tc>
          <w:tcPr>
            <w:tcW w:w="4320" w:type="dxa"/>
          </w:tcPr>
          <w:p w14:paraId="44B11928" w14:textId="77777777" w:rsidR="00772E1F" w:rsidRDefault="00000000">
            <w:r>
              <w:t>“To account for multiple hypothesis testing across the four aging phenotypes, false discovery rate (FDR)-adjusted P values were calculated using the Benjamini-Hochberg method.”</w:t>
            </w:r>
          </w:p>
        </w:tc>
      </w:tr>
      <w:tr w:rsidR="00D8098C" w:rsidRPr="00B853C6" w14:paraId="2241271F" w14:textId="77777777" w:rsidTr="003D447D">
        <w:tc>
          <w:tcPr>
            <w:tcW w:w="587" w:type="dxa"/>
            <w:shd w:val="clear" w:color="auto" w:fill="EEEEEE"/>
          </w:tcPr>
          <w:p w14:paraId="142BB42D"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7</w:t>
            </w:r>
          </w:p>
        </w:tc>
        <w:tc>
          <w:tcPr>
            <w:tcW w:w="1822" w:type="dxa"/>
            <w:shd w:val="clear" w:color="auto" w:fill="EEEEEE"/>
          </w:tcPr>
          <w:p w14:paraId="6BABDD64" w14:textId="77777777" w:rsidR="00D8098C" w:rsidRPr="00F0337F" w:rsidRDefault="00D8098C" w:rsidP="00426603">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Assessment of assumptions</w:t>
            </w:r>
          </w:p>
        </w:tc>
        <w:tc>
          <w:tcPr>
            <w:tcW w:w="7041" w:type="dxa"/>
            <w:shd w:val="clear" w:color="auto" w:fill="EEEEEE"/>
          </w:tcPr>
          <w:p w14:paraId="3B592443" w14:textId="77777777" w:rsidR="00D8098C" w:rsidRPr="00A1236D" w:rsidRDefault="00D8098C" w:rsidP="00426603">
            <w:pPr>
              <w:tabs>
                <w:tab w:val="left" w:pos="1620"/>
              </w:tabs>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Describe any methods or prior knowledge used to assess the assumptions or justify their validity</w:t>
            </w:r>
            <w:r w:rsidRPr="00A1236D">
              <w:rPr>
                <w:rFonts w:eastAsia="Cambria"/>
                <w:sz w:val="18"/>
                <w:szCs w:val="18"/>
                <w:lang w:val="en-GB" w:eastAsia="en-US"/>
              </w:rPr>
              <w:tab/>
            </w:r>
          </w:p>
        </w:tc>
        <w:tc>
          <w:tcPr>
            <w:tcW w:w="720" w:type="dxa"/>
            <w:shd w:val="clear" w:color="auto" w:fill="EEEEEE"/>
          </w:tcPr>
          <w:p w14:paraId="65D0FD92" w14:textId="681FBD36" w:rsidR="00772E1F" w:rsidRPr="00DE680B" w:rsidRDefault="00DE680B">
            <w:pPr>
              <w:rPr>
                <w:rFonts w:eastAsiaTheme="minorEastAsia" w:hint="eastAsia"/>
                <w:lang w:eastAsia="zh-CN"/>
              </w:rPr>
            </w:pPr>
            <w:r>
              <w:rPr>
                <w:rFonts w:eastAsiaTheme="minorEastAsia" w:hint="eastAsia"/>
                <w:lang w:eastAsia="zh-CN"/>
              </w:rPr>
              <w:t>8</w:t>
            </w:r>
            <w:r w:rsidR="00EA5D82" w:rsidRPr="00EA5D82">
              <w:t xml:space="preserve">; </w:t>
            </w:r>
            <w:r>
              <w:rPr>
                <w:rFonts w:eastAsiaTheme="minorEastAsia" w:hint="eastAsia"/>
                <w:lang w:eastAsia="zh-CN"/>
              </w:rPr>
              <w:t>10</w:t>
            </w:r>
            <w:r w:rsidR="00EA5D82" w:rsidRPr="00EA5D82">
              <w:t>; 1</w:t>
            </w:r>
            <w:r>
              <w:rPr>
                <w:rFonts w:eastAsiaTheme="minorEastAsia" w:hint="eastAsia"/>
                <w:lang w:eastAsia="zh-CN"/>
              </w:rPr>
              <w:t>2</w:t>
            </w:r>
            <w:r w:rsidR="00EA5D82" w:rsidRPr="00EA5D82">
              <w:t>–1</w:t>
            </w:r>
            <w:r>
              <w:rPr>
                <w:rFonts w:eastAsiaTheme="minorEastAsia" w:hint="eastAsia"/>
                <w:lang w:eastAsia="zh-CN"/>
              </w:rPr>
              <w:t>6</w:t>
            </w:r>
          </w:p>
        </w:tc>
        <w:tc>
          <w:tcPr>
            <w:tcW w:w="4320" w:type="dxa"/>
            <w:shd w:val="clear" w:color="auto" w:fill="EEEEEE"/>
          </w:tcPr>
          <w:p w14:paraId="1D9CC513" w14:textId="665010E0" w:rsidR="00772E1F" w:rsidRDefault="00EA5D82">
            <w:r w:rsidRPr="00EA5D82">
              <w:t>The assumptions were evaluated or supported through the cis-instrument strategy, instrument-strength F statistics, positive-control analyses for T2D and obesity, Cochran’s Q, the MR-Egger intercept, Steiger directionality testing, and leave-one-out analyses</w:t>
            </w:r>
            <w:r>
              <w:t>.</w:t>
            </w:r>
          </w:p>
        </w:tc>
      </w:tr>
      <w:tr w:rsidR="00D8098C" w:rsidRPr="00B853C6" w14:paraId="7BFC4ACB" w14:textId="77777777" w:rsidTr="003D447D">
        <w:tc>
          <w:tcPr>
            <w:tcW w:w="587" w:type="dxa"/>
          </w:tcPr>
          <w:p w14:paraId="38869319"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8</w:t>
            </w:r>
          </w:p>
        </w:tc>
        <w:tc>
          <w:tcPr>
            <w:tcW w:w="1822" w:type="dxa"/>
          </w:tcPr>
          <w:p w14:paraId="1DC600D3" w14:textId="77777777" w:rsidR="00D8098C" w:rsidRPr="00F0337F" w:rsidRDefault="00D8098C" w:rsidP="00426603">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Sensitivity analyses and additional analyses</w:t>
            </w:r>
          </w:p>
        </w:tc>
        <w:tc>
          <w:tcPr>
            <w:tcW w:w="7041" w:type="dxa"/>
          </w:tcPr>
          <w:p w14:paraId="501A50DB"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Describe any sensitivity analyses or additional analyses performed (e.g. comparison of effect estimates from different approaches, independent replication, bias analytic techniques, validation of instruments, simulations)</w:t>
            </w:r>
          </w:p>
        </w:tc>
        <w:tc>
          <w:tcPr>
            <w:tcW w:w="720" w:type="dxa"/>
          </w:tcPr>
          <w:p w14:paraId="1C9CAFDC" w14:textId="53D36186" w:rsidR="00772E1F" w:rsidRPr="00DE680B" w:rsidRDefault="00DE680B">
            <w:pPr>
              <w:rPr>
                <w:rFonts w:eastAsiaTheme="minorEastAsia" w:hint="eastAsia"/>
                <w:lang w:eastAsia="zh-CN"/>
              </w:rPr>
            </w:pPr>
            <w:r>
              <w:rPr>
                <w:rFonts w:eastAsiaTheme="minorEastAsia" w:hint="eastAsia"/>
                <w:lang w:eastAsia="zh-CN"/>
              </w:rPr>
              <w:t>10</w:t>
            </w:r>
            <w:r w:rsidR="00EA5D82" w:rsidRPr="00EA5D82">
              <w:t>; 1</w:t>
            </w:r>
            <w:r>
              <w:rPr>
                <w:rFonts w:eastAsiaTheme="minorEastAsia" w:hint="eastAsia"/>
                <w:lang w:eastAsia="zh-CN"/>
              </w:rPr>
              <w:t>2</w:t>
            </w:r>
            <w:r w:rsidR="00EA5D82" w:rsidRPr="00EA5D82">
              <w:t>; 1</w:t>
            </w:r>
            <w:r>
              <w:rPr>
                <w:rFonts w:eastAsiaTheme="minorEastAsia" w:hint="eastAsia"/>
                <w:lang w:eastAsia="zh-CN"/>
              </w:rPr>
              <w:t>6</w:t>
            </w:r>
          </w:p>
        </w:tc>
        <w:tc>
          <w:tcPr>
            <w:tcW w:w="4320" w:type="dxa"/>
          </w:tcPr>
          <w:p w14:paraId="42135DA5" w14:textId="671E214F" w:rsidR="00772E1F" w:rsidRDefault="00EA5D82">
            <w:r w:rsidRPr="00EA5D82">
              <w:t xml:space="preserve">Additional analyses included independent replication using FinnGen and GIANT data, positive-control validation, complementary MR estimators, heterogeneity and horizontal-pleiotropy assessments, FDR correction, </w:t>
            </w:r>
            <w:r w:rsidRPr="00EA5D82">
              <w:lastRenderedPageBreak/>
              <w:t>Steiger directionality testing, and leave-one-out analyses.</w:t>
            </w:r>
          </w:p>
        </w:tc>
      </w:tr>
      <w:tr w:rsidR="00D8098C" w:rsidRPr="00B853C6" w14:paraId="10902173" w14:textId="77777777" w:rsidTr="003D447D">
        <w:tc>
          <w:tcPr>
            <w:tcW w:w="587" w:type="dxa"/>
            <w:shd w:val="clear" w:color="auto" w:fill="EEEEEE"/>
          </w:tcPr>
          <w:p w14:paraId="18CE555E"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lastRenderedPageBreak/>
              <w:t>9</w:t>
            </w:r>
          </w:p>
        </w:tc>
        <w:tc>
          <w:tcPr>
            <w:tcW w:w="1822" w:type="dxa"/>
            <w:shd w:val="clear" w:color="auto" w:fill="EEEEEE"/>
          </w:tcPr>
          <w:p w14:paraId="3EADC84C" w14:textId="77777777" w:rsidR="00D8098C" w:rsidRPr="00F0337F" w:rsidRDefault="00D8098C" w:rsidP="00426603">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Software and pre-registration</w:t>
            </w:r>
          </w:p>
        </w:tc>
        <w:tc>
          <w:tcPr>
            <w:tcW w:w="7041" w:type="dxa"/>
            <w:shd w:val="clear" w:color="auto" w:fill="EEEEEE"/>
          </w:tcPr>
          <w:p w14:paraId="2BE9DA96"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720" w:type="dxa"/>
            <w:shd w:val="clear" w:color="auto" w:fill="EEEEEE"/>
          </w:tcPr>
          <w:p w14:paraId="45737134"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4320" w:type="dxa"/>
            <w:shd w:val="clear" w:color="auto" w:fill="EEEEEE"/>
          </w:tcPr>
          <w:p w14:paraId="78CAA104" w14:textId="77777777" w:rsidR="00D8098C" w:rsidRDefault="00D8098C" w:rsidP="00426603">
            <w:pPr>
              <w:spacing w:beforeLines="40" w:before="96" w:afterLines="40" w:after="96" w:line="24" w:lineRule="atLeast"/>
              <w:rPr>
                <w:rFonts w:eastAsia="Cambria"/>
                <w:sz w:val="18"/>
                <w:szCs w:val="18"/>
                <w:lang w:val="en-GB" w:eastAsia="en-US"/>
              </w:rPr>
            </w:pPr>
          </w:p>
        </w:tc>
      </w:tr>
      <w:tr w:rsidR="00D8098C" w:rsidRPr="00B853C6" w14:paraId="73EE81B0" w14:textId="77777777" w:rsidTr="003D447D">
        <w:tc>
          <w:tcPr>
            <w:tcW w:w="587" w:type="dxa"/>
          </w:tcPr>
          <w:p w14:paraId="045FEA29"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tcPr>
          <w:p w14:paraId="6EA6CEE7"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a)</w:t>
            </w:r>
          </w:p>
        </w:tc>
        <w:tc>
          <w:tcPr>
            <w:tcW w:w="7041" w:type="dxa"/>
          </w:tcPr>
          <w:p w14:paraId="105C73F9" w14:textId="77777777" w:rsidR="00D8098C" w:rsidRPr="00A1236D" w:rsidRDefault="00D8098C" w:rsidP="00426603">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t>Name statistical software and package(s), including version and settings used </w:t>
            </w:r>
          </w:p>
        </w:tc>
        <w:tc>
          <w:tcPr>
            <w:tcW w:w="720" w:type="dxa"/>
          </w:tcPr>
          <w:p w14:paraId="45D9DB44" w14:textId="48970CA3" w:rsidR="00772E1F" w:rsidRPr="00DE680B" w:rsidRDefault="00000000">
            <w:pPr>
              <w:rPr>
                <w:rFonts w:eastAsiaTheme="minorEastAsia" w:hint="eastAsia"/>
                <w:lang w:eastAsia="zh-CN"/>
              </w:rPr>
            </w:pPr>
            <w:r>
              <w:t>1</w:t>
            </w:r>
            <w:r w:rsidR="00DE680B">
              <w:rPr>
                <w:rFonts w:eastAsiaTheme="minorEastAsia" w:hint="eastAsia"/>
                <w:lang w:eastAsia="zh-CN"/>
              </w:rPr>
              <w:t>2</w:t>
            </w:r>
          </w:p>
        </w:tc>
        <w:tc>
          <w:tcPr>
            <w:tcW w:w="4320" w:type="dxa"/>
          </w:tcPr>
          <w:p w14:paraId="51BDA84D" w14:textId="77777777" w:rsidR="00772E1F" w:rsidRDefault="00000000">
            <w:r>
              <w:t>“All statistical analyses were performed in R (version 4.4.1) using the ‘TwoSampleMR’ package.”</w:t>
            </w:r>
          </w:p>
        </w:tc>
      </w:tr>
      <w:tr w:rsidR="00D8098C" w:rsidRPr="00B853C6" w14:paraId="69B16B66" w14:textId="77777777" w:rsidTr="003D447D">
        <w:tc>
          <w:tcPr>
            <w:tcW w:w="587" w:type="dxa"/>
            <w:tcBorders>
              <w:bottom w:val="single" w:sz="6" w:space="0" w:color="7F7F7F"/>
            </w:tcBorders>
            <w:shd w:val="clear" w:color="auto" w:fill="EEEEEE"/>
          </w:tcPr>
          <w:p w14:paraId="1FF23679"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tcBorders>
              <w:bottom w:val="single" w:sz="6" w:space="0" w:color="7F7F7F"/>
            </w:tcBorders>
            <w:shd w:val="clear" w:color="auto" w:fill="EEEEEE"/>
          </w:tcPr>
          <w:p w14:paraId="2A208B69"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b)</w:t>
            </w:r>
          </w:p>
        </w:tc>
        <w:tc>
          <w:tcPr>
            <w:tcW w:w="7041" w:type="dxa"/>
            <w:tcBorders>
              <w:bottom w:val="single" w:sz="6" w:space="0" w:color="7F7F7F"/>
            </w:tcBorders>
            <w:shd w:val="clear" w:color="auto" w:fill="EEEEEE"/>
          </w:tcPr>
          <w:p w14:paraId="3D91119D" w14:textId="77777777" w:rsidR="00D8098C" w:rsidRPr="00A1236D" w:rsidRDefault="00D8098C" w:rsidP="00426603">
            <w:pPr>
              <w:spacing w:beforeLines="40" w:before="96" w:afterLines="40" w:after="96" w:line="24" w:lineRule="atLeast"/>
              <w:rPr>
                <w:rFonts w:eastAsia="Cambria"/>
                <w:sz w:val="18"/>
                <w:szCs w:val="18"/>
                <w:lang w:val="en-GB" w:eastAsia="en-US"/>
              </w:rPr>
            </w:pPr>
            <w:bookmarkStart w:id="3" w:name="OLE_LINK220"/>
            <w:r w:rsidRPr="00A1236D">
              <w:rPr>
                <w:rFonts w:eastAsia="Times New Roman"/>
                <w:sz w:val="18"/>
                <w:szCs w:val="18"/>
                <w:lang w:val="en-GB" w:eastAsia="en-GB"/>
              </w:rPr>
              <w:t>State whether the study protocol and details were pre-registered (as well as when and where)</w:t>
            </w:r>
            <w:bookmarkEnd w:id="3"/>
          </w:p>
        </w:tc>
        <w:tc>
          <w:tcPr>
            <w:tcW w:w="720" w:type="dxa"/>
            <w:tcBorders>
              <w:bottom w:val="single" w:sz="6" w:space="0" w:color="7F7F7F"/>
            </w:tcBorders>
            <w:shd w:val="clear" w:color="auto" w:fill="EEEEEE"/>
          </w:tcPr>
          <w:p w14:paraId="015D7F0B" w14:textId="1992569C" w:rsidR="00772E1F" w:rsidRPr="00EA5D82" w:rsidRDefault="00000000">
            <w:pPr>
              <w:rPr>
                <w:rFonts w:eastAsiaTheme="minorEastAsia"/>
                <w:lang w:eastAsia="zh-CN"/>
              </w:rPr>
            </w:pPr>
            <w:r>
              <w:t>N</w:t>
            </w:r>
            <w:r w:rsidR="00EA5D82">
              <w:rPr>
                <w:rFonts w:eastAsiaTheme="minorEastAsia" w:hint="eastAsia"/>
                <w:lang w:eastAsia="zh-CN"/>
              </w:rPr>
              <w:t>A</w:t>
            </w:r>
          </w:p>
        </w:tc>
        <w:tc>
          <w:tcPr>
            <w:tcW w:w="4320" w:type="dxa"/>
            <w:tcBorders>
              <w:bottom w:val="single" w:sz="6" w:space="0" w:color="7F7F7F"/>
            </w:tcBorders>
            <w:shd w:val="clear" w:color="auto" w:fill="EEEEEE"/>
          </w:tcPr>
          <w:p w14:paraId="7ADF75A6" w14:textId="40320FEC" w:rsidR="00772E1F" w:rsidRDefault="00EA5D82">
            <w:r w:rsidRPr="00EA5D82">
              <w:t>The study protocol and analysis plan were not preregistered.</w:t>
            </w:r>
          </w:p>
        </w:tc>
      </w:tr>
      <w:tr w:rsidR="00D8098C" w:rsidRPr="00B853C6" w14:paraId="18CD2EB9" w14:textId="77777777" w:rsidTr="003D447D">
        <w:tc>
          <w:tcPr>
            <w:tcW w:w="587" w:type="dxa"/>
            <w:tcBorders>
              <w:top w:val="single" w:sz="6" w:space="0" w:color="7F7F7F"/>
            </w:tcBorders>
          </w:tcPr>
          <w:p w14:paraId="56720471"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p>
        </w:tc>
        <w:tc>
          <w:tcPr>
            <w:tcW w:w="1822" w:type="dxa"/>
            <w:tcBorders>
              <w:top w:val="single" w:sz="6" w:space="0" w:color="7F7F7F"/>
            </w:tcBorders>
          </w:tcPr>
          <w:p w14:paraId="6F213B77"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RESULTS</w:t>
            </w:r>
          </w:p>
        </w:tc>
        <w:tc>
          <w:tcPr>
            <w:tcW w:w="7041" w:type="dxa"/>
            <w:tcBorders>
              <w:top w:val="single" w:sz="6" w:space="0" w:color="7F7F7F"/>
            </w:tcBorders>
          </w:tcPr>
          <w:p w14:paraId="68F32AF4"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720" w:type="dxa"/>
            <w:tcBorders>
              <w:top w:val="single" w:sz="6" w:space="0" w:color="7F7F7F"/>
            </w:tcBorders>
          </w:tcPr>
          <w:p w14:paraId="53C3D40A"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4320" w:type="dxa"/>
            <w:tcBorders>
              <w:top w:val="single" w:sz="6" w:space="0" w:color="7F7F7F"/>
            </w:tcBorders>
          </w:tcPr>
          <w:p w14:paraId="1AAA7813" w14:textId="77777777" w:rsidR="00D8098C" w:rsidRDefault="00D8098C" w:rsidP="00426603">
            <w:pPr>
              <w:spacing w:beforeLines="40" w:before="96" w:afterLines="40" w:after="96" w:line="24" w:lineRule="atLeast"/>
              <w:rPr>
                <w:rFonts w:eastAsia="Cambria"/>
                <w:sz w:val="18"/>
                <w:szCs w:val="18"/>
                <w:lang w:val="en-GB" w:eastAsia="en-US"/>
              </w:rPr>
            </w:pPr>
          </w:p>
        </w:tc>
      </w:tr>
      <w:tr w:rsidR="00D8098C" w:rsidRPr="00B853C6" w14:paraId="50FEFB08" w14:textId="77777777" w:rsidTr="003D447D">
        <w:tc>
          <w:tcPr>
            <w:tcW w:w="587" w:type="dxa"/>
            <w:shd w:val="clear" w:color="auto" w:fill="EEEEEE"/>
          </w:tcPr>
          <w:p w14:paraId="12861D11"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10</w:t>
            </w:r>
          </w:p>
        </w:tc>
        <w:tc>
          <w:tcPr>
            <w:tcW w:w="1822" w:type="dxa"/>
            <w:shd w:val="clear" w:color="auto" w:fill="EEEEEE"/>
          </w:tcPr>
          <w:p w14:paraId="3E15CEF2"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Descriptive data</w:t>
            </w:r>
          </w:p>
        </w:tc>
        <w:tc>
          <w:tcPr>
            <w:tcW w:w="7041" w:type="dxa"/>
            <w:shd w:val="clear" w:color="auto" w:fill="EEEEEE"/>
          </w:tcPr>
          <w:p w14:paraId="65B0F579"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720" w:type="dxa"/>
            <w:shd w:val="clear" w:color="auto" w:fill="EEEEEE"/>
          </w:tcPr>
          <w:p w14:paraId="50C621CF" w14:textId="36F45DB1" w:rsidR="00772E1F" w:rsidRPr="00DE680B" w:rsidRDefault="00A0233E">
            <w:pPr>
              <w:rPr>
                <w:rFonts w:eastAsiaTheme="minorEastAsia" w:hint="eastAsia"/>
                <w:lang w:eastAsia="zh-CN"/>
              </w:rPr>
            </w:pPr>
            <w:r w:rsidRPr="00A0233E">
              <w:t>1</w:t>
            </w:r>
            <w:r w:rsidR="00DE680B">
              <w:rPr>
                <w:rFonts w:eastAsiaTheme="minorEastAsia" w:hint="eastAsia"/>
                <w:lang w:eastAsia="zh-CN"/>
              </w:rPr>
              <w:t>2</w:t>
            </w:r>
            <w:r w:rsidRPr="00A0233E">
              <w:t>–1</w:t>
            </w:r>
            <w:r w:rsidR="00DE680B">
              <w:rPr>
                <w:rFonts w:eastAsiaTheme="minorEastAsia" w:hint="eastAsia"/>
                <w:lang w:eastAsia="zh-CN"/>
              </w:rPr>
              <w:t>6</w:t>
            </w:r>
            <w:r w:rsidRPr="00A0233E">
              <w:t>; 2</w:t>
            </w:r>
            <w:r w:rsidR="00DE680B">
              <w:rPr>
                <w:rFonts w:eastAsiaTheme="minorEastAsia" w:hint="eastAsia"/>
                <w:lang w:eastAsia="zh-CN"/>
              </w:rPr>
              <w:t>2</w:t>
            </w:r>
            <w:r w:rsidRPr="00A0233E">
              <w:t>–2</w:t>
            </w:r>
            <w:r w:rsidR="00DE680B">
              <w:rPr>
                <w:rFonts w:eastAsiaTheme="minorEastAsia" w:hint="eastAsia"/>
                <w:lang w:eastAsia="zh-CN"/>
              </w:rPr>
              <w:t>7</w:t>
            </w:r>
          </w:p>
        </w:tc>
        <w:tc>
          <w:tcPr>
            <w:tcW w:w="4320" w:type="dxa"/>
            <w:shd w:val="clear" w:color="auto" w:fill="EEEEEE"/>
          </w:tcPr>
          <w:p w14:paraId="5C0BEFE5" w14:textId="6829AC3C" w:rsidR="00772E1F" w:rsidRDefault="00A0233E">
            <w:r w:rsidRPr="00A0233E">
              <w:t>Sample sizes and source characteristics are summarized in Table 1; instrument numbers and F-statistic ranges are reported in Results; biomarker and drug-target MR estimates are presented in Table 2, Figures 2–3, and Tables S2–S7</w:t>
            </w:r>
            <w:r>
              <w:t>.</w:t>
            </w:r>
          </w:p>
        </w:tc>
      </w:tr>
      <w:tr w:rsidR="00D8098C" w:rsidRPr="00B853C6" w14:paraId="620A50D9" w14:textId="77777777" w:rsidTr="003D447D">
        <w:tc>
          <w:tcPr>
            <w:tcW w:w="587" w:type="dxa"/>
          </w:tcPr>
          <w:p w14:paraId="60F14FC0"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tcPr>
          <w:p w14:paraId="248D5D88"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a)</w:t>
            </w:r>
          </w:p>
        </w:tc>
        <w:tc>
          <w:tcPr>
            <w:tcW w:w="7041" w:type="dxa"/>
          </w:tcPr>
          <w:p w14:paraId="5E49E9A5"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Report the numbers of individuals at each stage of included studies and reasons for ex</w:t>
            </w:r>
            <w:r w:rsidR="000A4CE8">
              <w:rPr>
                <w:rFonts w:eastAsia="Times New Roman"/>
                <w:sz w:val="18"/>
                <w:szCs w:val="18"/>
                <w:lang w:val="en-GB" w:eastAsia="en-GB"/>
              </w:rPr>
              <w:t xml:space="preserve">clusion. Consider use of a flow </w:t>
            </w:r>
            <w:r w:rsidRPr="00A1236D">
              <w:rPr>
                <w:rFonts w:eastAsia="Times New Roman"/>
                <w:sz w:val="18"/>
                <w:szCs w:val="18"/>
                <w:lang w:val="en-GB" w:eastAsia="en-GB"/>
              </w:rPr>
              <w:t>diagram</w:t>
            </w:r>
          </w:p>
        </w:tc>
        <w:tc>
          <w:tcPr>
            <w:tcW w:w="720" w:type="dxa"/>
          </w:tcPr>
          <w:p w14:paraId="54954478" w14:textId="4B183D2E" w:rsidR="00772E1F" w:rsidRPr="00A0233E" w:rsidRDefault="00000000">
            <w:pPr>
              <w:rPr>
                <w:rFonts w:eastAsiaTheme="minorEastAsia"/>
                <w:lang w:eastAsia="zh-CN"/>
              </w:rPr>
            </w:pPr>
            <w:r>
              <w:t>1</w:t>
            </w:r>
            <w:r w:rsidR="00DE680B">
              <w:rPr>
                <w:rFonts w:eastAsiaTheme="minorEastAsia" w:hint="eastAsia"/>
                <w:lang w:eastAsia="zh-CN"/>
              </w:rPr>
              <w:t>1</w:t>
            </w:r>
            <w:r>
              <w:t xml:space="preserve">; </w:t>
            </w:r>
            <w:r w:rsidR="00A0233E">
              <w:rPr>
                <w:rFonts w:eastAsiaTheme="minorEastAsia" w:hint="eastAsia"/>
                <w:lang w:eastAsia="zh-CN"/>
              </w:rPr>
              <w:t>2</w:t>
            </w:r>
            <w:r w:rsidR="00DE680B">
              <w:rPr>
                <w:rFonts w:eastAsiaTheme="minorEastAsia" w:hint="eastAsia"/>
                <w:lang w:eastAsia="zh-CN"/>
              </w:rPr>
              <w:t>2</w:t>
            </w:r>
          </w:p>
        </w:tc>
        <w:tc>
          <w:tcPr>
            <w:tcW w:w="4320" w:type="dxa"/>
          </w:tcPr>
          <w:p w14:paraId="7D708E26" w14:textId="6D4FF161" w:rsidR="00772E1F" w:rsidRPr="00A0233E" w:rsidRDefault="00A0233E">
            <w:pPr>
              <w:rPr>
                <w:rFonts w:eastAsiaTheme="minorEastAsia"/>
                <w:lang w:eastAsia="zh-CN"/>
              </w:rPr>
            </w:pPr>
            <w:r w:rsidRPr="00A0233E">
              <w:t>Sample sizes for the contributing GWAS are reported in the Outcome section and Table 1. A participant flow diagram and source-study exclusion counts are not provided because the analyses used publicly available summary-level GWAS data.</w:t>
            </w:r>
          </w:p>
        </w:tc>
      </w:tr>
      <w:tr w:rsidR="00D8098C" w:rsidRPr="00B853C6" w14:paraId="0C9CEF78" w14:textId="77777777" w:rsidTr="003D447D">
        <w:tc>
          <w:tcPr>
            <w:tcW w:w="587" w:type="dxa"/>
            <w:shd w:val="clear" w:color="auto" w:fill="EEEEEE"/>
          </w:tcPr>
          <w:p w14:paraId="40CC7737"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7F063F69"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b)</w:t>
            </w:r>
          </w:p>
        </w:tc>
        <w:tc>
          <w:tcPr>
            <w:tcW w:w="7041" w:type="dxa"/>
            <w:shd w:val="clear" w:color="auto" w:fill="EEEEEE"/>
          </w:tcPr>
          <w:p w14:paraId="2DBB9575" w14:textId="77777777" w:rsidR="00D8098C" w:rsidRPr="00A1236D" w:rsidRDefault="00D8098C" w:rsidP="009E033F">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t>Report summary statistics for phenotypic exposure(s), outcome(s)</w:t>
            </w:r>
            <w:r w:rsidR="000A4CE8">
              <w:rPr>
                <w:rFonts w:eastAsia="Times New Roman"/>
                <w:sz w:val="18"/>
                <w:szCs w:val="18"/>
                <w:lang w:val="en-GB" w:eastAsia="en-GB"/>
              </w:rPr>
              <w:t>,</w:t>
            </w:r>
            <w:r w:rsidRPr="00A1236D">
              <w:rPr>
                <w:rFonts w:eastAsia="Times New Roman"/>
                <w:sz w:val="18"/>
                <w:szCs w:val="18"/>
                <w:lang w:val="en-GB" w:eastAsia="en-GB"/>
              </w:rPr>
              <w:t xml:space="preserve"> and other relevant variables (e.g. means, </w:t>
            </w:r>
            <w:r w:rsidR="009E033F">
              <w:rPr>
                <w:rFonts w:eastAsia="Times New Roman"/>
                <w:sz w:val="18"/>
                <w:szCs w:val="18"/>
                <w:lang w:val="en-GB" w:eastAsia="en-GB"/>
              </w:rPr>
              <w:t>SDs</w:t>
            </w:r>
            <w:r w:rsidRPr="00A1236D">
              <w:rPr>
                <w:rFonts w:eastAsia="Times New Roman"/>
                <w:sz w:val="18"/>
                <w:szCs w:val="18"/>
                <w:lang w:val="en-GB" w:eastAsia="en-GB"/>
              </w:rPr>
              <w:t>, proportions)</w:t>
            </w:r>
          </w:p>
        </w:tc>
        <w:tc>
          <w:tcPr>
            <w:tcW w:w="720" w:type="dxa"/>
            <w:shd w:val="clear" w:color="auto" w:fill="EEEEEE"/>
          </w:tcPr>
          <w:p w14:paraId="10617C27" w14:textId="77B945C9" w:rsidR="00772E1F" w:rsidRPr="00DE680B" w:rsidRDefault="00A0233E">
            <w:pPr>
              <w:rPr>
                <w:rFonts w:eastAsiaTheme="minorEastAsia" w:hint="eastAsia"/>
                <w:lang w:eastAsia="zh-CN"/>
              </w:rPr>
            </w:pPr>
            <w:r>
              <w:rPr>
                <w:rFonts w:eastAsiaTheme="minorEastAsia" w:hint="eastAsia"/>
                <w:lang w:eastAsia="zh-CN"/>
              </w:rPr>
              <w:t>2</w:t>
            </w:r>
            <w:r w:rsidR="00DE680B">
              <w:rPr>
                <w:rFonts w:eastAsiaTheme="minorEastAsia" w:hint="eastAsia"/>
                <w:lang w:eastAsia="zh-CN"/>
              </w:rPr>
              <w:t>2</w:t>
            </w:r>
            <w:r>
              <w:t>–2</w:t>
            </w:r>
            <w:r w:rsidR="00DE680B">
              <w:rPr>
                <w:rFonts w:eastAsiaTheme="minorEastAsia" w:hint="eastAsia"/>
                <w:lang w:eastAsia="zh-CN"/>
              </w:rPr>
              <w:t>3</w:t>
            </w:r>
          </w:p>
        </w:tc>
        <w:tc>
          <w:tcPr>
            <w:tcW w:w="4320" w:type="dxa"/>
            <w:shd w:val="clear" w:color="auto" w:fill="EEEEEE"/>
          </w:tcPr>
          <w:p w14:paraId="06E4A50F" w14:textId="10607A41" w:rsidR="00772E1F" w:rsidRDefault="00A0233E">
            <w:r w:rsidRPr="00A0233E">
              <w:t>Table 1 reports trait units, sample sizes, ancestry, and data sources. Table 2 reports biomarker MR estimates with 95% confidence intervals and P values.</w:t>
            </w:r>
          </w:p>
        </w:tc>
      </w:tr>
      <w:tr w:rsidR="00D8098C" w:rsidRPr="00B853C6" w14:paraId="343EC261" w14:textId="77777777" w:rsidTr="003D447D">
        <w:tc>
          <w:tcPr>
            <w:tcW w:w="587" w:type="dxa"/>
          </w:tcPr>
          <w:p w14:paraId="7B9B78DA"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tcPr>
          <w:p w14:paraId="16782E1F"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c)</w:t>
            </w:r>
          </w:p>
        </w:tc>
        <w:tc>
          <w:tcPr>
            <w:tcW w:w="7041" w:type="dxa"/>
          </w:tcPr>
          <w:p w14:paraId="1B8E1688"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If the data sources include meta-analyses of previous studies, provide the assessments of heterogeneity across these studies</w:t>
            </w:r>
          </w:p>
        </w:tc>
        <w:tc>
          <w:tcPr>
            <w:tcW w:w="720" w:type="dxa"/>
          </w:tcPr>
          <w:p w14:paraId="35032CE2" w14:textId="17B03785" w:rsidR="00772E1F" w:rsidRPr="00A0233E" w:rsidRDefault="00A0233E">
            <w:pPr>
              <w:rPr>
                <w:rFonts w:eastAsiaTheme="minorEastAsia"/>
                <w:lang w:eastAsia="zh-CN"/>
              </w:rPr>
            </w:pPr>
            <w:r>
              <w:rPr>
                <w:rFonts w:eastAsiaTheme="minorEastAsia" w:hint="eastAsia"/>
                <w:lang w:eastAsia="zh-CN"/>
              </w:rPr>
              <w:t>NA</w:t>
            </w:r>
          </w:p>
        </w:tc>
        <w:tc>
          <w:tcPr>
            <w:tcW w:w="4320" w:type="dxa"/>
          </w:tcPr>
          <w:p w14:paraId="55DDACE5" w14:textId="1A86A803" w:rsidR="00772E1F" w:rsidRPr="00A0233E" w:rsidRDefault="00A0233E">
            <w:pPr>
              <w:rPr>
                <w:rFonts w:eastAsiaTheme="minorEastAsia"/>
                <w:lang w:eastAsia="zh-CN"/>
              </w:rPr>
            </w:pPr>
            <w:r w:rsidRPr="00A0233E">
              <w:t>Several data sources were GWAS meta-analyses, but heterogeneity across the component studies of those source meta-analyses is not reported in the current manuscript</w:t>
            </w:r>
            <w:r>
              <w:rPr>
                <w:rFonts w:eastAsiaTheme="minorEastAsia" w:hint="eastAsia"/>
                <w:lang w:eastAsia="zh-CN"/>
              </w:rPr>
              <w:t>.</w:t>
            </w:r>
          </w:p>
        </w:tc>
      </w:tr>
      <w:tr w:rsidR="00D8098C" w:rsidRPr="00B853C6" w14:paraId="6C9C34A9" w14:textId="77777777" w:rsidTr="003D447D">
        <w:tc>
          <w:tcPr>
            <w:tcW w:w="587" w:type="dxa"/>
            <w:shd w:val="clear" w:color="auto" w:fill="EEEEEE"/>
          </w:tcPr>
          <w:p w14:paraId="66B3E05F"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1DB39440"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d)</w:t>
            </w:r>
          </w:p>
        </w:tc>
        <w:tc>
          <w:tcPr>
            <w:tcW w:w="7041" w:type="dxa"/>
            <w:shd w:val="clear" w:color="auto" w:fill="EEEEEE"/>
          </w:tcPr>
          <w:p w14:paraId="0D4B18C5" w14:textId="77777777" w:rsidR="00D8098C" w:rsidRPr="00A1236D" w:rsidRDefault="00D8098C" w:rsidP="00426603">
            <w:pPr>
              <w:spacing w:beforeLines="40" w:before="96" w:afterLines="40" w:after="96" w:line="24" w:lineRule="atLeast"/>
              <w:rPr>
                <w:rFonts w:eastAsia="Times New Roman"/>
                <w:sz w:val="18"/>
                <w:szCs w:val="18"/>
                <w:lang w:val="en-GB" w:eastAsia="en-GB"/>
              </w:rPr>
            </w:pPr>
            <w:r w:rsidRPr="009E033F">
              <w:rPr>
                <w:rFonts w:eastAsia="Times New Roman"/>
                <w:sz w:val="18"/>
                <w:szCs w:val="18"/>
                <w:lang w:val="en-GB" w:eastAsia="en-GB"/>
              </w:rPr>
              <w:t xml:space="preserve">For </w:t>
            </w:r>
            <w:r w:rsidRPr="009E033F">
              <w:rPr>
                <w:rFonts w:eastAsia="Times New Roman"/>
                <w:iCs/>
                <w:sz w:val="18"/>
                <w:szCs w:val="18"/>
                <w:lang w:val="en-GB" w:eastAsia="en-GB"/>
              </w:rPr>
              <w:t>two-sample</w:t>
            </w:r>
            <w:r w:rsidRPr="00A1236D">
              <w:rPr>
                <w:rFonts w:eastAsia="Times New Roman"/>
                <w:sz w:val="18"/>
                <w:szCs w:val="18"/>
                <w:lang w:val="en-GB" w:eastAsia="en-GB"/>
              </w:rPr>
              <w:t xml:space="preserve"> </w:t>
            </w:r>
            <w:r w:rsidR="009E033F">
              <w:rPr>
                <w:rFonts w:eastAsia="Times New Roman"/>
                <w:sz w:val="18"/>
                <w:szCs w:val="18"/>
                <w:lang w:val="en-GB" w:eastAsia="en-GB"/>
              </w:rPr>
              <w:t>MR</w:t>
            </w:r>
            <w:r w:rsidRPr="00A1236D">
              <w:rPr>
                <w:rFonts w:eastAsia="Times New Roman"/>
                <w:sz w:val="18"/>
                <w:szCs w:val="18"/>
                <w:lang w:val="en-GB" w:eastAsia="en-GB"/>
              </w:rPr>
              <w:t>:</w:t>
            </w:r>
          </w:p>
          <w:p w14:paraId="1501F5EA" w14:textId="77777777" w:rsidR="00D8098C" w:rsidRPr="00A1236D" w:rsidRDefault="00D8098C" w:rsidP="00426603">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t xml:space="preserve">   i.  Provide justification of the similarity of the genetic variant-exposure associations between the exposure and outcome samples</w:t>
            </w:r>
          </w:p>
          <w:p w14:paraId="0743DC44"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 xml:space="preserve">   ii.  Provide information on the number of individuals who overlap between the exposure and outcome studies</w:t>
            </w:r>
          </w:p>
        </w:tc>
        <w:tc>
          <w:tcPr>
            <w:tcW w:w="720" w:type="dxa"/>
            <w:shd w:val="clear" w:color="auto" w:fill="EEEEEE"/>
          </w:tcPr>
          <w:p w14:paraId="5165D067" w14:textId="32860D16" w:rsidR="00772E1F" w:rsidRPr="00A0233E" w:rsidRDefault="00DE680B">
            <w:pPr>
              <w:rPr>
                <w:rFonts w:eastAsiaTheme="minorEastAsia"/>
                <w:lang w:eastAsia="zh-CN"/>
              </w:rPr>
            </w:pPr>
            <w:r>
              <w:rPr>
                <w:rFonts w:eastAsiaTheme="minorEastAsia" w:hint="eastAsia"/>
                <w:lang w:eastAsia="zh-CN"/>
              </w:rPr>
              <w:t>8</w:t>
            </w:r>
            <w:r w:rsidR="00A0233E">
              <w:t>–1</w:t>
            </w:r>
            <w:r>
              <w:rPr>
                <w:rFonts w:eastAsiaTheme="minorEastAsia" w:hint="eastAsia"/>
                <w:lang w:eastAsia="zh-CN"/>
              </w:rPr>
              <w:t>1</w:t>
            </w:r>
            <w:r w:rsidR="00A0233E">
              <w:t xml:space="preserve">; </w:t>
            </w:r>
            <w:r w:rsidR="00A0233E">
              <w:rPr>
                <w:rFonts w:eastAsiaTheme="minorEastAsia" w:hint="eastAsia"/>
                <w:lang w:eastAsia="zh-CN"/>
              </w:rPr>
              <w:t>2</w:t>
            </w:r>
            <w:r>
              <w:rPr>
                <w:rFonts w:eastAsiaTheme="minorEastAsia" w:hint="eastAsia"/>
                <w:lang w:eastAsia="zh-CN"/>
              </w:rPr>
              <w:t>1</w:t>
            </w:r>
          </w:p>
        </w:tc>
        <w:tc>
          <w:tcPr>
            <w:tcW w:w="4320" w:type="dxa"/>
            <w:shd w:val="clear" w:color="auto" w:fill="EEEEEE"/>
          </w:tcPr>
          <w:p w14:paraId="49F8E5FF" w14:textId="503697AB" w:rsidR="00772E1F" w:rsidRPr="00A0233E" w:rsidRDefault="00A0233E">
            <w:pPr>
              <w:rPr>
                <w:rFonts w:eastAsiaTheme="minorEastAsia"/>
                <w:lang w:eastAsia="zh-CN"/>
              </w:rPr>
            </w:pPr>
            <w:r w:rsidRPr="00A0233E">
              <w:t>Exposure and outcome data were drawn from European-ancestry GWAS, supporting broad population comparability. The manuscript explicitly states: “No sample overlap was identified between the primary exposure and outcome datasets.”</w:t>
            </w:r>
          </w:p>
        </w:tc>
      </w:tr>
      <w:tr w:rsidR="00D8098C" w:rsidRPr="00B853C6" w14:paraId="486F0A1E" w14:textId="77777777" w:rsidTr="003D447D">
        <w:tc>
          <w:tcPr>
            <w:tcW w:w="587" w:type="dxa"/>
          </w:tcPr>
          <w:p w14:paraId="3F9D2D1B"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11</w:t>
            </w:r>
          </w:p>
        </w:tc>
        <w:tc>
          <w:tcPr>
            <w:tcW w:w="1822" w:type="dxa"/>
          </w:tcPr>
          <w:p w14:paraId="0BD84C70" w14:textId="77777777" w:rsidR="00D8098C" w:rsidRPr="00F0337F" w:rsidRDefault="00D8098C" w:rsidP="00426603">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Main results</w:t>
            </w:r>
          </w:p>
        </w:tc>
        <w:tc>
          <w:tcPr>
            <w:tcW w:w="7041" w:type="dxa"/>
          </w:tcPr>
          <w:p w14:paraId="03F9202F"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720" w:type="dxa"/>
          </w:tcPr>
          <w:p w14:paraId="07546718"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4320" w:type="dxa"/>
          </w:tcPr>
          <w:p w14:paraId="4C03CA27" w14:textId="77777777" w:rsidR="00D8098C" w:rsidRDefault="00D8098C" w:rsidP="00426603">
            <w:pPr>
              <w:spacing w:beforeLines="40" w:before="96" w:afterLines="40" w:after="96" w:line="24" w:lineRule="atLeast"/>
              <w:rPr>
                <w:rFonts w:eastAsia="Cambria"/>
                <w:sz w:val="18"/>
                <w:szCs w:val="18"/>
                <w:lang w:val="en-GB" w:eastAsia="en-US"/>
              </w:rPr>
            </w:pPr>
          </w:p>
        </w:tc>
      </w:tr>
      <w:tr w:rsidR="00D8098C" w:rsidRPr="00B853C6" w14:paraId="0544880E" w14:textId="77777777" w:rsidTr="003D447D">
        <w:tc>
          <w:tcPr>
            <w:tcW w:w="587" w:type="dxa"/>
            <w:shd w:val="clear" w:color="auto" w:fill="EEEEEE"/>
          </w:tcPr>
          <w:p w14:paraId="66E3F378"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520022E0"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a)</w:t>
            </w:r>
          </w:p>
        </w:tc>
        <w:tc>
          <w:tcPr>
            <w:tcW w:w="7041" w:type="dxa"/>
            <w:shd w:val="clear" w:color="auto" w:fill="EEEEEE"/>
          </w:tcPr>
          <w:p w14:paraId="6A46D4DF"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Report the associations between genetic variant and exposure, and between genetic variant and outcome, preferably on an interpretable scale</w:t>
            </w:r>
          </w:p>
        </w:tc>
        <w:tc>
          <w:tcPr>
            <w:tcW w:w="720" w:type="dxa"/>
            <w:shd w:val="clear" w:color="auto" w:fill="EEEEEE"/>
          </w:tcPr>
          <w:p w14:paraId="3A6165A0" w14:textId="152F8264" w:rsidR="00772E1F" w:rsidRDefault="00A0233E">
            <w:r w:rsidRPr="00A0233E">
              <w:t>12–1</w:t>
            </w:r>
            <w:r w:rsidR="00DE680B">
              <w:rPr>
                <w:rFonts w:eastAsiaTheme="minorEastAsia" w:hint="eastAsia"/>
                <w:lang w:eastAsia="zh-CN"/>
              </w:rPr>
              <w:t>6</w:t>
            </w:r>
            <w:r w:rsidRPr="00A0233E">
              <w:t>; Tables S4–S6</w:t>
            </w:r>
          </w:p>
        </w:tc>
        <w:tc>
          <w:tcPr>
            <w:tcW w:w="4320" w:type="dxa"/>
            <w:shd w:val="clear" w:color="auto" w:fill="EEEEEE"/>
          </w:tcPr>
          <w:p w14:paraId="45847335" w14:textId="06E198BC" w:rsidR="00772E1F" w:rsidRDefault="00A0233E">
            <w:r w:rsidRPr="00A0233E">
              <w:t>Instrument numbers and F-statistic ranges are reported in Results. Variant-exposure information is provided in Table S4, positive-control associations in Figure 2/Table S5, and associations with aging outcomes in Figure 3/Table S6</w:t>
            </w:r>
            <w:r>
              <w:t>.</w:t>
            </w:r>
          </w:p>
        </w:tc>
      </w:tr>
      <w:tr w:rsidR="00D8098C" w:rsidRPr="00B853C6" w14:paraId="7FD437E3" w14:textId="77777777" w:rsidTr="003D447D">
        <w:tc>
          <w:tcPr>
            <w:tcW w:w="587" w:type="dxa"/>
          </w:tcPr>
          <w:p w14:paraId="312445B9"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tcPr>
          <w:p w14:paraId="57938C5E"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b)</w:t>
            </w:r>
          </w:p>
        </w:tc>
        <w:tc>
          <w:tcPr>
            <w:tcW w:w="7041" w:type="dxa"/>
          </w:tcPr>
          <w:p w14:paraId="527CDAE6" w14:textId="77777777" w:rsidR="00D8098C" w:rsidRPr="00A1236D" w:rsidRDefault="00D8098C" w:rsidP="009E033F">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 xml:space="preserve">Report MR estimates of the relationship between exposure and outcome, and the measures of uncertainty from the MR analysis, on an interpretable scale, such as odds ratio or relative risk per </w:t>
            </w:r>
            <w:r w:rsidR="009E033F">
              <w:rPr>
                <w:rFonts w:eastAsia="Times New Roman"/>
                <w:sz w:val="18"/>
                <w:szCs w:val="18"/>
                <w:lang w:val="en-GB" w:eastAsia="en-GB"/>
              </w:rPr>
              <w:t>SD</w:t>
            </w:r>
            <w:r w:rsidRPr="00A1236D">
              <w:rPr>
                <w:rFonts w:eastAsia="Times New Roman"/>
                <w:sz w:val="18"/>
                <w:szCs w:val="18"/>
                <w:lang w:val="en-GB" w:eastAsia="en-GB"/>
              </w:rPr>
              <w:t xml:space="preserve"> difference</w:t>
            </w:r>
          </w:p>
        </w:tc>
        <w:tc>
          <w:tcPr>
            <w:tcW w:w="720" w:type="dxa"/>
          </w:tcPr>
          <w:p w14:paraId="1AE680D9" w14:textId="23B7AAB6" w:rsidR="00772E1F" w:rsidRPr="00DE680B" w:rsidRDefault="00A0233E">
            <w:pPr>
              <w:rPr>
                <w:rFonts w:eastAsiaTheme="minorEastAsia" w:hint="eastAsia"/>
                <w:lang w:eastAsia="zh-CN"/>
              </w:rPr>
            </w:pPr>
            <w:r w:rsidRPr="00A0233E">
              <w:t>12–15; 21; 23–2</w:t>
            </w:r>
            <w:r w:rsidR="00DE680B">
              <w:rPr>
                <w:rFonts w:eastAsiaTheme="minorEastAsia" w:hint="eastAsia"/>
                <w:lang w:eastAsia="zh-CN"/>
              </w:rPr>
              <w:t>7</w:t>
            </w:r>
          </w:p>
        </w:tc>
        <w:tc>
          <w:tcPr>
            <w:tcW w:w="4320" w:type="dxa"/>
          </w:tcPr>
          <w:p w14:paraId="17E9CFC3" w14:textId="22496C86" w:rsidR="00772E1F" w:rsidRDefault="00A0233E">
            <w:r w:rsidRPr="00A0233E">
              <w:t>MR estimates are reported as beta coefficients or odds ratios with 95% confidence intervals and P values for the primary and replication analyses (Table 2, Figures 2–3, and Tables S3, S5, and S6)</w:t>
            </w:r>
            <w:r>
              <w:t>.</w:t>
            </w:r>
          </w:p>
        </w:tc>
      </w:tr>
      <w:tr w:rsidR="00D8098C" w:rsidRPr="00B853C6" w14:paraId="11E8C88F" w14:textId="77777777" w:rsidTr="003D447D">
        <w:tc>
          <w:tcPr>
            <w:tcW w:w="587" w:type="dxa"/>
            <w:shd w:val="clear" w:color="auto" w:fill="EEEEEE"/>
          </w:tcPr>
          <w:p w14:paraId="0B710DAF"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0B269CC3"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c)</w:t>
            </w:r>
          </w:p>
        </w:tc>
        <w:tc>
          <w:tcPr>
            <w:tcW w:w="7041" w:type="dxa"/>
            <w:shd w:val="clear" w:color="auto" w:fill="EEEEEE"/>
          </w:tcPr>
          <w:p w14:paraId="6358A26E"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If relevant, consider translating estimates of relative risk into absolute risk for a meaningful time period</w:t>
            </w:r>
          </w:p>
        </w:tc>
        <w:tc>
          <w:tcPr>
            <w:tcW w:w="720" w:type="dxa"/>
            <w:shd w:val="clear" w:color="auto" w:fill="EEEEEE"/>
          </w:tcPr>
          <w:p w14:paraId="5A5C3BA3" w14:textId="77777777" w:rsidR="00772E1F" w:rsidRDefault="00000000">
            <w:r>
              <w:t>NA</w:t>
            </w:r>
          </w:p>
        </w:tc>
        <w:tc>
          <w:tcPr>
            <w:tcW w:w="4320" w:type="dxa"/>
            <w:shd w:val="clear" w:color="auto" w:fill="EEEEEE"/>
          </w:tcPr>
          <w:p w14:paraId="1F68C8B7" w14:textId="0ED39EFA" w:rsidR="00772E1F" w:rsidRDefault="00A0233E">
            <w:r w:rsidRPr="00A0233E">
              <w:t>Absolute-risk translation was not applicable because the analyses used summary-level MR estimates for continuous aging traits and an extreme case-control longevity phenotype</w:t>
            </w:r>
            <w:r>
              <w:t>.</w:t>
            </w:r>
          </w:p>
        </w:tc>
      </w:tr>
      <w:tr w:rsidR="00D8098C" w:rsidRPr="00B853C6" w14:paraId="04F78048" w14:textId="77777777" w:rsidTr="003D447D">
        <w:tc>
          <w:tcPr>
            <w:tcW w:w="587" w:type="dxa"/>
          </w:tcPr>
          <w:p w14:paraId="2A62D2A5"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tcPr>
          <w:p w14:paraId="2C37BC5D"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d)</w:t>
            </w:r>
          </w:p>
        </w:tc>
        <w:tc>
          <w:tcPr>
            <w:tcW w:w="7041" w:type="dxa"/>
          </w:tcPr>
          <w:p w14:paraId="71420D01"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Consider plots to visualize results (e.g. forest plot, scatterplot of associations between genetic variants and outcome versus between genetic variants and exposure)</w:t>
            </w:r>
          </w:p>
        </w:tc>
        <w:tc>
          <w:tcPr>
            <w:tcW w:w="720" w:type="dxa"/>
          </w:tcPr>
          <w:p w14:paraId="0DF9DBAC" w14:textId="37EEB7E8" w:rsidR="00772E1F" w:rsidRPr="00DE680B" w:rsidRDefault="00000000">
            <w:pPr>
              <w:rPr>
                <w:rFonts w:eastAsiaTheme="minorEastAsia" w:hint="eastAsia"/>
                <w:lang w:eastAsia="zh-CN"/>
              </w:rPr>
            </w:pPr>
            <w:r>
              <w:t>2</w:t>
            </w:r>
            <w:r w:rsidR="00DE680B">
              <w:rPr>
                <w:rFonts w:eastAsiaTheme="minorEastAsia" w:hint="eastAsia"/>
                <w:lang w:eastAsia="zh-CN"/>
              </w:rPr>
              <w:t>6</w:t>
            </w:r>
            <w:r>
              <w:t>–2</w:t>
            </w:r>
            <w:r w:rsidR="00DE680B">
              <w:rPr>
                <w:rFonts w:eastAsiaTheme="minorEastAsia" w:hint="eastAsia"/>
                <w:lang w:eastAsia="zh-CN"/>
              </w:rPr>
              <w:t>7</w:t>
            </w:r>
          </w:p>
        </w:tc>
        <w:tc>
          <w:tcPr>
            <w:tcW w:w="4320" w:type="dxa"/>
          </w:tcPr>
          <w:p w14:paraId="456D1626" w14:textId="20FFC7D8" w:rsidR="00772E1F" w:rsidRPr="00A0233E" w:rsidRDefault="00A0233E">
            <w:pPr>
              <w:rPr>
                <w:rFonts w:eastAsiaTheme="minorEastAsia"/>
                <w:lang w:eastAsia="zh-CN"/>
              </w:rPr>
            </w:pPr>
            <w:r w:rsidRPr="00A0233E">
              <w:t>Absolute-risk translation was not applicable because the analyses used summary-level MR estimates for continuous aging traits and an extreme case-control longevity phenotype.</w:t>
            </w:r>
          </w:p>
        </w:tc>
      </w:tr>
      <w:tr w:rsidR="00D8098C" w:rsidRPr="00B853C6" w14:paraId="2D6CB60E" w14:textId="77777777" w:rsidTr="003D447D">
        <w:tc>
          <w:tcPr>
            <w:tcW w:w="587" w:type="dxa"/>
            <w:shd w:val="clear" w:color="auto" w:fill="EEEEEE"/>
          </w:tcPr>
          <w:p w14:paraId="260100C8"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12</w:t>
            </w:r>
          </w:p>
        </w:tc>
        <w:tc>
          <w:tcPr>
            <w:tcW w:w="1822" w:type="dxa"/>
            <w:shd w:val="clear" w:color="auto" w:fill="EEEEEE"/>
          </w:tcPr>
          <w:p w14:paraId="0F87BC18" w14:textId="77777777" w:rsidR="00D8098C" w:rsidRPr="00F0337F" w:rsidRDefault="00D8098C" w:rsidP="00426603">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Assessment of assumptions</w:t>
            </w:r>
          </w:p>
        </w:tc>
        <w:tc>
          <w:tcPr>
            <w:tcW w:w="7041" w:type="dxa"/>
            <w:shd w:val="clear" w:color="auto" w:fill="EEEEEE"/>
          </w:tcPr>
          <w:p w14:paraId="6547AA7A"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720" w:type="dxa"/>
            <w:shd w:val="clear" w:color="auto" w:fill="EEEEEE"/>
          </w:tcPr>
          <w:p w14:paraId="0963E849"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4320" w:type="dxa"/>
            <w:shd w:val="clear" w:color="auto" w:fill="EEEEEE"/>
          </w:tcPr>
          <w:p w14:paraId="58D2E374" w14:textId="77777777" w:rsidR="00D8098C" w:rsidRDefault="00D8098C" w:rsidP="00426603">
            <w:pPr>
              <w:spacing w:beforeLines="40" w:before="96" w:afterLines="40" w:after="96" w:line="24" w:lineRule="atLeast"/>
              <w:rPr>
                <w:rFonts w:eastAsia="Cambria"/>
                <w:sz w:val="18"/>
                <w:szCs w:val="18"/>
                <w:lang w:val="en-GB" w:eastAsia="en-US"/>
              </w:rPr>
            </w:pPr>
          </w:p>
        </w:tc>
      </w:tr>
      <w:tr w:rsidR="00D8098C" w:rsidRPr="00B853C6" w14:paraId="23963918" w14:textId="77777777" w:rsidTr="003D447D">
        <w:tc>
          <w:tcPr>
            <w:tcW w:w="587" w:type="dxa"/>
          </w:tcPr>
          <w:p w14:paraId="3E90F38E"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tcPr>
          <w:p w14:paraId="59DC5877"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a)</w:t>
            </w:r>
          </w:p>
        </w:tc>
        <w:tc>
          <w:tcPr>
            <w:tcW w:w="7041" w:type="dxa"/>
          </w:tcPr>
          <w:p w14:paraId="753AAAD0"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Report the assessment of the validity of the assumptions</w:t>
            </w:r>
          </w:p>
        </w:tc>
        <w:tc>
          <w:tcPr>
            <w:tcW w:w="720" w:type="dxa"/>
          </w:tcPr>
          <w:p w14:paraId="66B7E8BE" w14:textId="122B62EA" w:rsidR="00412A9B" w:rsidRPr="00412A9B" w:rsidRDefault="00DE680B">
            <w:pPr>
              <w:rPr>
                <w:rFonts w:eastAsiaTheme="minorEastAsia"/>
                <w:lang w:eastAsia="zh-CN"/>
              </w:rPr>
            </w:pPr>
            <w:r>
              <w:rPr>
                <w:rFonts w:eastAsiaTheme="minorEastAsia" w:hint="eastAsia"/>
                <w:lang w:eastAsia="zh-CN"/>
              </w:rPr>
              <w:t>10</w:t>
            </w:r>
            <w:r w:rsidR="00412A9B" w:rsidRPr="00412A9B">
              <w:t>; 1</w:t>
            </w:r>
            <w:r>
              <w:rPr>
                <w:rFonts w:eastAsiaTheme="minorEastAsia" w:hint="eastAsia"/>
                <w:lang w:eastAsia="zh-CN"/>
              </w:rPr>
              <w:t>2</w:t>
            </w:r>
            <w:r w:rsidR="00412A9B" w:rsidRPr="00412A9B">
              <w:t>–1</w:t>
            </w:r>
            <w:r>
              <w:rPr>
                <w:rFonts w:eastAsiaTheme="minorEastAsia" w:hint="eastAsia"/>
                <w:lang w:eastAsia="zh-CN"/>
              </w:rPr>
              <w:t>6</w:t>
            </w:r>
            <w:r w:rsidR="00412A9B">
              <w:rPr>
                <w:rFonts w:eastAsiaTheme="minorEastAsia" w:hint="eastAsia"/>
                <w:lang w:eastAsia="zh-CN"/>
              </w:rPr>
              <w:t>;</w:t>
            </w:r>
            <w:r w:rsidR="00412A9B" w:rsidRPr="00412A9B">
              <w:t xml:space="preserve"> Table S6</w:t>
            </w:r>
            <w:r w:rsidR="00412A9B">
              <w:rPr>
                <w:rFonts w:eastAsiaTheme="minorEastAsia" w:hint="eastAsia"/>
                <w:lang w:eastAsia="zh-CN"/>
              </w:rPr>
              <w:t>; Figures S1-S2</w:t>
            </w:r>
          </w:p>
        </w:tc>
        <w:tc>
          <w:tcPr>
            <w:tcW w:w="4320" w:type="dxa"/>
          </w:tcPr>
          <w:p w14:paraId="3868B28A" w14:textId="6331338E" w:rsidR="00772E1F" w:rsidRDefault="00412A9B">
            <w:r w:rsidRPr="00412A9B">
              <w:t>Validity assessment included the cis-instrument design, F-statistic evaluation, positive-control validation, Cochran’s Q, the MR-Egger intercept, Steiger directionality testing, replication analyses, and leave-one-out analyses</w:t>
            </w:r>
            <w:r>
              <w:t>.</w:t>
            </w:r>
          </w:p>
        </w:tc>
      </w:tr>
      <w:tr w:rsidR="00D8098C" w:rsidRPr="00B853C6" w14:paraId="3D2E47FA" w14:textId="77777777" w:rsidTr="003D447D">
        <w:tc>
          <w:tcPr>
            <w:tcW w:w="587" w:type="dxa"/>
            <w:shd w:val="clear" w:color="auto" w:fill="EEEEEE"/>
          </w:tcPr>
          <w:p w14:paraId="551902D8"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3B8EE9FE"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b)</w:t>
            </w:r>
          </w:p>
        </w:tc>
        <w:tc>
          <w:tcPr>
            <w:tcW w:w="7041" w:type="dxa"/>
            <w:shd w:val="clear" w:color="auto" w:fill="EEEEEE"/>
          </w:tcPr>
          <w:p w14:paraId="74B380B9"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 xml:space="preserve">Report any additional statistics (e.g., assessments of heterogeneity </w:t>
            </w:r>
            <w:r w:rsidRPr="00A1236D">
              <w:rPr>
                <w:rFonts w:eastAsia="Times New Roman"/>
                <w:sz w:val="18"/>
                <w:szCs w:val="18"/>
                <w:lang w:eastAsia="en-GB"/>
              </w:rPr>
              <w:t>across genetic variants</w:t>
            </w:r>
            <w:r w:rsidRPr="00A1236D">
              <w:rPr>
                <w:rFonts w:eastAsia="Times New Roman"/>
                <w:sz w:val="18"/>
                <w:szCs w:val="18"/>
                <w:lang w:val="en-GB" w:eastAsia="en-GB"/>
              </w:rPr>
              <w:t xml:space="preserve">, such as </w:t>
            </w:r>
            <w:r w:rsidRPr="005A0D0D">
              <w:rPr>
                <w:rFonts w:eastAsia="Times New Roman"/>
                <w:i/>
                <w:sz w:val="18"/>
                <w:szCs w:val="18"/>
                <w:lang w:val="en-GB" w:eastAsia="en-GB"/>
              </w:rPr>
              <w:t>I</w:t>
            </w:r>
            <w:r w:rsidRPr="005A0D0D">
              <w:rPr>
                <w:rFonts w:eastAsia="Times New Roman"/>
                <w:i/>
                <w:sz w:val="18"/>
                <w:szCs w:val="18"/>
                <w:vertAlign w:val="superscript"/>
                <w:lang w:val="en-GB" w:eastAsia="en-GB"/>
              </w:rPr>
              <w:t>2</w:t>
            </w:r>
            <w:r w:rsidRPr="00A1236D">
              <w:rPr>
                <w:rFonts w:eastAsia="Times New Roman"/>
                <w:sz w:val="18"/>
                <w:szCs w:val="18"/>
                <w:lang w:val="en-GB" w:eastAsia="en-GB"/>
              </w:rPr>
              <w:t>, Q statistic or E-value)</w:t>
            </w:r>
          </w:p>
        </w:tc>
        <w:tc>
          <w:tcPr>
            <w:tcW w:w="720" w:type="dxa"/>
            <w:shd w:val="clear" w:color="auto" w:fill="EEEEEE"/>
          </w:tcPr>
          <w:p w14:paraId="255E360A" w14:textId="0EF9EA4A" w:rsidR="00772E1F" w:rsidRDefault="00412A9B">
            <w:r w:rsidRPr="00412A9B">
              <w:t>1</w:t>
            </w:r>
            <w:r w:rsidR="00DE680B">
              <w:rPr>
                <w:rFonts w:eastAsiaTheme="minorEastAsia" w:hint="eastAsia"/>
                <w:lang w:eastAsia="zh-CN"/>
              </w:rPr>
              <w:t>2</w:t>
            </w:r>
            <w:r w:rsidRPr="00412A9B">
              <w:t>–1</w:t>
            </w:r>
            <w:r w:rsidR="00DE680B">
              <w:rPr>
                <w:rFonts w:eastAsiaTheme="minorEastAsia" w:hint="eastAsia"/>
                <w:lang w:eastAsia="zh-CN"/>
              </w:rPr>
              <w:t>6</w:t>
            </w:r>
            <w:r w:rsidRPr="00412A9B">
              <w:t>; Table S6</w:t>
            </w:r>
          </w:p>
        </w:tc>
        <w:tc>
          <w:tcPr>
            <w:tcW w:w="4320" w:type="dxa"/>
            <w:shd w:val="clear" w:color="auto" w:fill="EEEEEE"/>
          </w:tcPr>
          <w:p w14:paraId="2A4BE8CA" w14:textId="6A540D09" w:rsidR="00772E1F" w:rsidRDefault="00412A9B">
            <w:r w:rsidRPr="00412A9B">
              <w:t>The manuscript reports F-statistic ranges, Cochran’s Q testing, the MR-Egger intercept, and qualitative conclusions regarding heterogeneity and horizontal pleiotropy; detailed sensitivity statistics are provided in Table S6</w:t>
            </w:r>
          </w:p>
        </w:tc>
      </w:tr>
      <w:tr w:rsidR="00D8098C" w:rsidRPr="00B853C6" w14:paraId="69096C67" w14:textId="77777777" w:rsidTr="003D447D">
        <w:tc>
          <w:tcPr>
            <w:tcW w:w="587" w:type="dxa"/>
          </w:tcPr>
          <w:p w14:paraId="338C1D4F"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13</w:t>
            </w:r>
          </w:p>
        </w:tc>
        <w:tc>
          <w:tcPr>
            <w:tcW w:w="1822" w:type="dxa"/>
          </w:tcPr>
          <w:p w14:paraId="214D3139"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Sensitivity analyses and additional analyses</w:t>
            </w:r>
          </w:p>
        </w:tc>
        <w:tc>
          <w:tcPr>
            <w:tcW w:w="7041" w:type="dxa"/>
          </w:tcPr>
          <w:p w14:paraId="29662329"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720" w:type="dxa"/>
          </w:tcPr>
          <w:p w14:paraId="4E5FB25C"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4320" w:type="dxa"/>
          </w:tcPr>
          <w:p w14:paraId="484A64CA" w14:textId="77777777" w:rsidR="00D8098C" w:rsidRDefault="00D8098C" w:rsidP="00426603">
            <w:pPr>
              <w:spacing w:beforeLines="40" w:before="96" w:afterLines="40" w:after="96" w:line="24" w:lineRule="atLeast"/>
              <w:rPr>
                <w:rFonts w:eastAsia="Cambria"/>
                <w:sz w:val="18"/>
                <w:szCs w:val="18"/>
                <w:lang w:val="en-GB" w:eastAsia="en-US"/>
              </w:rPr>
            </w:pPr>
          </w:p>
        </w:tc>
      </w:tr>
      <w:tr w:rsidR="00D8098C" w:rsidRPr="00B853C6" w14:paraId="239A4AC2" w14:textId="77777777" w:rsidTr="003D447D">
        <w:tc>
          <w:tcPr>
            <w:tcW w:w="587" w:type="dxa"/>
            <w:shd w:val="clear" w:color="auto" w:fill="EEEEEE"/>
          </w:tcPr>
          <w:p w14:paraId="29908F26"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29D07594"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a)</w:t>
            </w:r>
          </w:p>
        </w:tc>
        <w:tc>
          <w:tcPr>
            <w:tcW w:w="7041" w:type="dxa"/>
            <w:shd w:val="clear" w:color="auto" w:fill="EEEEEE"/>
          </w:tcPr>
          <w:p w14:paraId="3D3B8143"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Report any sensitivity analyses to assess the robustness of the main results to violations of the assumptions</w:t>
            </w:r>
          </w:p>
        </w:tc>
        <w:tc>
          <w:tcPr>
            <w:tcW w:w="720" w:type="dxa"/>
            <w:shd w:val="clear" w:color="auto" w:fill="EEEEEE"/>
          </w:tcPr>
          <w:p w14:paraId="2EDAC0A8" w14:textId="5317C9B7" w:rsidR="00772E1F" w:rsidRDefault="00000000">
            <w:r>
              <w:t>1</w:t>
            </w:r>
            <w:r w:rsidR="00DE680B">
              <w:rPr>
                <w:rFonts w:eastAsiaTheme="minorEastAsia" w:hint="eastAsia"/>
                <w:lang w:eastAsia="zh-CN"/>
              </w:rPr>
              <w:t>6</w:t>
            </w:r>
            <w:r>
              <w:t>; Table S6</w:t>
            </w:r>
          </w:p>
        </w:tc>
        <w:tc>
          <w:tcPr>
            <w:tcW w:w="4320" w:type="dxa"/>
            <w:shd w:val="clear" w:color="auto" w:fill="EEEEEE"/>
          </w:tcPr>
          <w:p w14:paraId="191DB44A" w14:textId="0C12B0CF" w:rsidR="00772E1F" w:rsidRDefault="00412A9B">
            <w:r w:rsidRPr="00412A9B">
              <w:t>“Sensitivity analyses using complementary MR methods produced effect estimates aligned in magnitude and direction with the primary results (Table S6). No substantial heterogeneity or strong evidence of horizontal pleiotropy was detected.</w:t>
            </w:r>
          </w:p>
        </w:tc>
      </w:tr>
      <w:tr w:rsidR="00D8098C" w:rsidRPr="00B853C6" w14:paraId="0910C9C6" w14:textId="77777777" w:rsidTr="003D447D">
        <w:tc>
          <w:tcPr>
            <w:tcW w:w="587" w:type="dxa"/>
          </w:tcPr>
          <w:p w14:paraId="7132C014"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tcPr>
          <w:p w14:paraId="42FFA3AB"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b)</w:t>
            </w:r>
          </w:p>
        </w:tc>
        <w:tc>
          <w:tcPr>
            <w:tcW w:w="7041" w:type="dxa"/>
          </w:tcPr>
          <w:p w14:paraId="6436C03E"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Report results from other sensitivity analyses or additional analyses</w:t>
            </w:r>
          </w:p>
        </w:tc>
        <w:tc>
          <w:tcPr>
            <w:tcW w:w="720" w:type="dxa"/>
          </w:tcPr>
          <w:p w14:paraId="237A04A9" w14:textId="1570A766" w:rsidR="00772E1F" w:rsidRPr="00412A9B" w:rsidRDefault="00DE680B">
            <w:pPr>
              <w:rPr>
                <w:rFonts w:eastAsiaTheme="minorEastAsia"/>
                <w:lang w:eastAsia="zh-CN"/>
              </w:rPr>
            </w:pPr>
            <w:r>
              <w:rPr>
                <w:rFonts w:eastAsiaTheme="minorEastAsia" w:hint="eastAsia"/>
                <w:lang w:eastAsia="zh-CN"/>
              </w:rPr>
              <w:t>10</w:t>
            </w:r>
            <w:r w:rsidR="00412A9B" w:rsidRPr="00412A9B">
              <w:t>; 1</w:t>
            </w:r>
            <w:r>
              <w:rPr>
                <w:rFonts w:eastAsiaTheme="minorEastAsia" w:hint="eastAsia"/>
                <w:lang w:eastAsia="zh-CN"/>
              </w:rPr>
              <w:t>3</w:t>
            </w:r>
            <w:r w:rsidR="00412A9B" w:rsidRPr="00412A9B">
              <w:t>–1</w:t>
            </w:r>
            <w:r>
              <w:rPr>
                <w:rFonts w:eastAsiaTheme="minorEastAsia" w:hint="eastAsia"/>
                <w:lang w:eastAsia="zh-CN"/>
              </w:rPr>
              <w:t>6</w:t>
            </w:r>
            <w:r w:rsidR="00412A9B" w:rsidRPr="00412A9B">
              <w:t>; Tables S5–S7</w:t>
            </w:r>
            <w:r w:rsidR="00412A9B">
              <w:rPr>
                <w:rFonts w:eastAsiaTheme="minorEastAsia" w:hint="eastAsia"/>
                <w:lang w:eastAsia="zh-CN"/>
              </w:rPr>
              <w:t>; Figures S1-S2</w:t>
            </w:r>
          </w:p>
        </w:tc>
        <w:tc>
          <w:tcPr>
            <w:tcW w:w="4320" w:type="dxa"/>
          </w:tcPr>
          <w:p w14:paraId="1B117DB8" w14:textId="651D7945" w:rsidR="00772E1F" w:rsidRPr="00412A9B" w:rsidRDefault="00412A9B">
            <w:pPr>
              <w:rPr>
                <w:rFonts w:eastAsiaTheme="minorEastAsia"/>
                <w:lang w:eastAsia="zh-CN"/>
              </w:rPr>
            </w:pPr>
            <w:r w:rsidRPr="00412A9B">
              <w:t>Additional analyses included independent replication, positive-control validation, dual-target analyses, FDR correction, Steiger directionality testing, and leave-one-out analyses.</w:t>
            </w:r>
          </w:p>
        </w:tc>
      </w:tr>
      <w:tr w:rsidR="00D8098C" w:rsidRPr="00B853C6" w14:paraId="421DBDC7" w14:textId="77777777" w:rsidTr="003D447D">
        <w:tc>
          <w:tcPr>
            <w:tcW w:w="587" w:type="dxa"/>
            <w:shd w:val="clear" w:color="auto" w:fill="EEEEEE"/>
          </w:tcPr>
          <w:p w14:paraId="641960CF"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3CA3C1A9"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c)</w:t>
            </w:r>
          </w:p>
        </w:tc>
        <w:tc>
          <w:tcPr>
            <w:tcW w:w="7041" w:type="dxa"/>
            <w:shd w:val="clear" w:color="auto" w:fill="EEEEEE"/>
          </w:tcPr>
          <w:p w14:paraId="71494FC7" w14:textId="77777777" w:rsidR="00D8098C" w:rsidRPr="00A1236D" w:rsidRDefault="00D8098C" w:rsidP="00426603">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t>Report any assessment of direction of causal relationship (e.g., bidirectional MR)</w:t>
            </w:r>
          </w:p>
        </w:tc>
        <w:tc>
          <w:tcPr>
            <w:tcW w:w="720" w:type="dxa"/>
            <w:shd w:val="clear" w:color="auto" w:fill="EEEEEE"/>
          </w:tcPr>
          <w:p w14:paraId="248667E7" w14:textId="7A5260E7" w:rsidR="00772E1F" w:rsidRDefault="00412A9B">
            <w:r w:rsidRPr="00412A9B">
              <w:t>1</w:t>
            </w:r>
            <w:r w:rsidR="00DE680B">
              <w:rPr>
                <w:rFonts w:eastAsiaTheme="minorEastAsia" w:hint="eastAsia"/>
                <w:lang w:eastAsia="zh-CN"/>
              </w:rPr>
              <w:t>2</w:t>
            </w:r>
            <w:r w:rsidRPr="00412A9B">
              <w:t>; 1</w:t>
            </w:r>
            <w:r w:rsidR="00DE680B">
              <w:rPr>
                <w:rFonts w:eastAsiaTheme="minorEastAsia" w:hint="eastAsia"/>
                <w:lang w:eastAsia="zh-CN"/>
              </w:rPr>
              <w:t>6</w:t>
            </w:r>
            <w:r w:rsidRPr="00412A9B">
              <w:t>; Table S6</w:t>
            </w:r>
          </w:p>
        </w:tc>
        <w:tc>
          <w:tcPr>
            <w:tcW w:w="4320" w:type="dxa"/>
            <w:shd w:val="clear" w:color="auto" w:fill="EEEEEE"/>
          </w:tcPr>
          <w:p w14:paraId="534CBDE4" w14:textId="16A14FAB" w:rsidR="00772E1F" w:rsidRDefault="00412A9B">
            <w:r w:rsidRPr="00412A9B">
              <w:t>MR Steiger directionality testing was described in Methods. In Results, “the Steiger test indicated correct causal orientation (Table S6).</w:t>
            </w:r>
          </w:p>
        </w:tc>
      </w:tr>
      <w:tr w:rsidR="00D8098C" w:rsidRPr="00B853C6" w14:paraId="1A184F28" w14:textId="77777777" w:rsidTr="003D447D">
        <w:tc>
          <w:tcPr>
            <w:tcW w:w="587" w:type="dxa"/>
          </w:tcPr>
          <w:p w14:paraId="0A064EFE"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tcPr>
          <w:p w14:paraId="2F1115A1"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d)</w:t>
            </w:r>
          </w:p>
        </w:tc>
        <w:tc>
          <w:tcPr>
            <w:tcW w:w="7041" w:type="dxa"/>
          </w:tcPr>
          <w:p w14:paraId="3D779389"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When relevant, report and compare with estimates from non-MR analyses</w:t>
            </w:r>
          </w:p>
        </w:tc>
        <w:tc>
          <w:tcPr>
            <w:tcW w:w="720" w:type="dxa"/>
          </w:tcPr>
          <w:p w14:paraId="2F63C4A4" w14:textId="564EE970" w:rsidR="00772E1F" w:rsidRPr="00412A9B" w:rsidRDefault="00412A9B">
            <w:pPr>
              <w:rPr>
                <w:rFonts w:eastAsiaTheme="minorEastAsia"/>
                <w:lang w:eastAsia="zh-CN"/>
              </w:rPr>
            </w:pPr>
            <w:r>
              <w:rPr>
                <w:rFonts w:eastAsiaTheme="minorEastAsia" w:hint="eastAsia"/>
                <w:lang w:eastAsia="zh-CN"/>
              </w:rPr>
              <w:t>NA</w:t>
            </w:r>
          </w:p>
        </w:tc>
        <w:tc>
          <w:tcPr>
            <w:tcW w:w="4320" w:type="dxa"/>
          </w:tcPr>
          <w:p w14:paraId="217B8133" w14:textId="77777777" w:rsidR="00772E1F" w:rsidRDefault="00000000">
            <w:r>
              <w:t>Formal comparison with non-MR effect estimates is not presented.</w:t>
            </w:r>
          </w:p>
        </w:tc>
      </w:tr>
      <w:tr w:rsidR="00D8098C" w:rsidRPr="00B853C6" w14:paraId="040FFB54" w14:textId="77777777" w:rsidTr="003D447D">
        <w:tc>
          <w:tcPr>
            <w:tcW w:w="587" w:type="dxa"/>
            <w:tcBorders>
              <w:bottom w:val="single" w:sz="6" w:space="0" w:color="7F7F7F"/>
            </w:tcBorders>
            <w:shd w:val="clear" w:color="auto" w:fill="EEEEEE"/>
          </w:tcPr>
          <w:p w14:paraId="31A16BE7"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tcBorders>
              <w:bottom w:val="single" w:sz="6" w:space="0" w:color="7F7F7F"/>
            </w:tcBorders>
            <w:shd w:val="clear" w:color="auto" w:fill="EEEEEE"/>
          </w:tcPr>
          <w:p w14:paraId="18B54381"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e)</w:t>
            </w:r>
          </w:p>
        </w:tc>
        <w:tc>
          <w:tcPr>
            <w:tcW w:w="7041" w:type="dxa"/>
            <w:tcBorders>
              <w:bottom w:val="single" w:sz="6" w:space="0" w:color="7F7F7F"/>
            </w:tcBorders>
            <w:shd w:val="clear" w:color="auto" w:fill="EEEEEE"/>
          </w:tcPr>
          <w:p w14:paraId="7CEB6362" w14:textId="77777777" w:rsidR="00D8098C" w:rsidRPr="00A1236D" w:rsidRDefault="00D8098C" w:rsidP="00426603">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t>Consider additional plots to visualize results (e.g., leave-one-out analyses)</w:t>
            </w:r>
          </w:p>
        </w:tc>
        <w:tc>
          <w:tcPr>
            <w:tcW w:w="720" w:type="dxa"/>
            <w:tcBorders>
              <w:bottom w:val="single" w:sz="6" w:space="0" w:color="7F7F7F"/>
            </w:tcBorders>
            <w:shd w:val="clear" w:color="auto" w:fill="EEEEEE"/>
          </w:tcPr>
          <w:p w14:paraId="6D50974B" w14:textId="0DABD0AF" w:rsidR="00772E1F" w:rsidRDefault="00412A9B">
            <w:r w:rsidRPr="00412A9B">
              <w:t>1</w:t>
            </w:r>
            <w:r w:rsidR="00DE680B">
              <w:rPr>
                <w:rFonts w:eastAsiaTheme="minorEastAsia" w:hint="eastAsia"/>
                <w:lang w:eastAsia="zh-CN"/>
              </w:rPr>
              <w:t>2</w:t>
            </w:r>
            <w:r w:rsidRPr="00412A9B">
              <w:t>; 1</w:t>
            </w:r>
            <w:r w:rsidR="00DE680B">
              <w:rPr>
                <w:rFonts w:eastAsiaTheme="minorEastAsia" w:hint="eastAsia"/>
                <w:lang w:eastAsia="zh-CN"/>
              </w:rPr>
              <w:t>6</w:t>
            </w:r>
            <w:r w:rsidRPr="00412A9B">
              <w:t>; Figures S1–S2</w:t>
            </w:r>
          </w:p>
        </w:tc>
        <w:tc>
          <w:tcPr>
            <w:tcW w:w="4320" w:type="dxa"/>
            <w:tcBorders>
              <w:bottom w:val="single" w:sz="6" w:space="0" w:color="7F7F7F"/>
            </w:tcBorders>
            <w:shd w:val="clear" w:color="auto" w:fill="EEEEEE"/>
          </w:tcPr>
          <w:p w14:paraId="47C8F947" w14:textId="513FC673" w:rsidR="00772E1F" w:rsidRPr="00412A9B" w:rsidRDefault="00412A9B">
            <w:pPr>
              <w:rPr>
                <w:rFonts w:eastAsiaTheme="minorEastAsia"/>
                <w:lang w:eastAsia="zh-CN"/>
              </w:rPr>
            </w:pPr>
            <w:r w:rsidRPr="00412A9B">
              <w:t>Leave-one-out analyses were performed, and the pooled estimates were not materially affected by removal of any single SNP; the corresponding plots are provided in Figures S1 and S2.</w:t>
            </w:r>
          </w:p>
        </w:tc>
      </w:tr>
      <w:tr w:rsidR="00D8098C" w:rsidRPr="00B853C6" w14:paraId="63AC05F2" w14:textId="77777777" w:rsidTr="003D447D">
        <w:tc>
          <w:tcPr>
            <w:tcW w:w="587" w:type="dxa"/>
            <w:tcBorders>
              <w:top w:val="single" w:sz="6" w:space="0" w:color="7F7F7F"/>
            </w:tcBorders>
          </w:tcPr>
          <w:p w14:paraId="74297385"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p>
        </w:tc>
        <w:tc>
          <w:tcPr>
            <w:tcW w:w="1822" w:type="dxa"/>
            <w:tcBorders>
              <w:top w:val="single" w:sz="6" w:space="0" w:color="7F7F7F"/>
            </w:tcBorders>
          </w:tcPr>
          <w:p w14:paraId="7541A362" w14:textId="77777777" w:rsidR="00D8098C" w:rsidRPr="00F0337F" w:rsidRDefault="00D8098C" w:rsidP="00426603">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DISCUSSION</w:t>
            </w:r>
          </w:p>
        </w:tc>
        <w:tc>
          <w:tcPr>
            <w:tcW w:w="7041" w:type="dxa"/>
            <w:tcBorders>
              <w:top w:val="single" w:sz="6" w:space="0" w:color="7F7F7F"/>
            </w:tcBorders>
          </w:tcPr>
          <w:p w14:paraId="7225E05B"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720" w:type="dxa"/>
            <w:tcBorders>
              <w:top w:val="single" w:sz="6" w:space="0" w:color="7F7F7F"/>
            </w:tcBorders>
          </w:tcPr>
          <w:p w14:paraId="321D09B5"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4320" w:type="dxa"/>
            <w:tcBorders>
              <w:top w:val="single" w:sz="6" w:space="0" w:color="7F7F7F"/>
            </w:tcBorders>
          </w:tcPr>
          <w:p w14:paraId="1F0A27F8" w14:textId="77777777" w:rsidR="00D8098C" w:rsidRDefault="00D8098C" w:rsidP="00426603">
            <w:pPr>
              <w:spacing w:beforeLines="40" w:before="96" w:afterLines="40" w:after="96" w:line="24" w:lineRule="atLeast"/>
              <w:rPr>
                <w:rFonts w:eastAsia="Cambria"/>
                <w:sz w:val="18"/>
                <w:szCs w:val="18"/>
                <w:lang w:val="en-GB" w:eastAsia="en-US"/>
              </w:rPr>
            </w:pPr>
          </w:p>
        </w:tc>
      </w:tr>
      <w:tr w:rsidR="00D8098C" w:rsidRPr="00B853C6" w14:paraId="269A3919" w14:textId="77777777" w:rsidTr="003D447D">
        <w:tc>
          <w:tcPr>
            <w:tcW w:w="587" w:type="dxa"/>
            <w:shd w:val="clear" w:color="auto" w:fill="EEEEEE"/>
          </w:tcPr>
          <w:p w14:paraId="596CFF3C"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14</w:t>
            </w:r>
          </w:p>
        </w:tc>
        <w:tc>
          <w:tcPr>
            <w:tcW w:w="1822" w:type="dxa"/>
            <w:shd w:val="clear" w:color="auto" w:fill="EEEEEE"/>
          </w:tcPr>
          <w:p w14:paraId="45889755"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Key results </w:t>
            </w:r>
          </w:p>
        </w:tc>
        <w:tc>
          <w:tcPr>
            <w:tcW w:w="7041" w:type="dxa"/>
            <w:shd w:val="clear" w:color="auto" w:fill="EEEEEE"/>
          </w:tcPr>
          <w:p w14:paraId="24227F5B" w14:textId="77777777" w:rsidR="00D8098C" w:rsidRPr="00A1236D" w:rsidRDefault="00D8098C" w:rsidP="00426603">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t>Summarize key results with reference to study objectives</w:t>
            </w:r>
          </w:p>
        </w:tc>
        <w:tc>
          <w:tcPr>
            <w:tcW w:w="720" w:type="dxa"/>
            <w:shd w:val="clear" w:color="auto" w:fill="EEEEEE"/>
          </w:tcPr>
          <w:p w14:paraId="5A7C99FA" w14:textId="04A903F5" w:rsidR="00772E1F" w:rsidRPr="00412A9B" w:rsidRDefault="00000000">
            <w:pPr>
              <w:rPr>
                <w:rFonts w:eastAsiaTheme="minorEastAsia"/>
                <w:lang w:eastAsia="zh-CN"/>
              </w:rPr>
            </w:pPr>
            <w:r>
              <w:t>1</w:t>
            </w:r>
            <w:r w:rsidR="00DE680B">
              <w:rPr>
                <w:rFonts w:eastAsiaTheme="minorEastAsia" w:hint="eastAsia"/>
                <w:lang w:eastAsia="zh-CN"/>
              </w:rPr>
              <w:t>6</w:t>
            </w:r>
            <w:r>
              <w:t>–</w:t>
            </w:r>
            <w:r w:rsidR="00412A9B">
              <w:rPr>
                <w:rFonts w:eastAsiaTheme="minorEastAsia" w:hint="eastAsia"/>
                <w:lang w:eastAsia="zh-CN"/>
              </w:rPr>
              <w:t>20</w:t>
            </w:r>
          </w:p>
        </w:tc>
        <w:tc>
          <w:tcPr>
            <w:tcW w:w="4320" w:type="dxa"/>
            <w:shd w:val="clear" w:color="auto" w:fill="EEEEEE"/>
          </w:tcPr>
          <w:p w14:paraId="792BF671" w14:textId="7699BCA0" w:rsidR="00772E1F" w:rsidRDefault="00412A9B">
            <w:r w:rsidRPr="00412A9B">
              <w:t>The Discussion summarizes that GIPR-related modulation showed the most consistent favorable associations across aging phenotypes, dual GIPR/GLP1R showed favorable associations except for frailty index, and GLP1R-related findings were more limited and mainly involved longevity</w:t>
            </w:r>
            <w:r>
              <w:t>.</w:t>
            </w:r>
          </w:p>
        </w:tc>
      </w:tr>
      <w:tr w:rsidR="00D8098C" w:rsidRPr="00B853C6" w14:paraId="7A6CFFDB" w14:textId="77777777" w:rsidTr="003D447D">
        <w:tc>
          <w:tcPr>
            <w:tcW w:w="587" w:type="dxa"/>
          </w:tcPr>
          <w:p w14:paraId="058D4B3A"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15</w:t>
            </w:r>
          </w:p>
        </w:tc>
        <w:tc>
          <w:tcPr>
            <w:tcW w:w="1822" w:type="dxa"/>
          </w:tcPr>
          <w:p w14:paraId="188BAD11"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Limitations</w:t>
            </w:r>
          </w:p>
        </w:tc>
        <w:tc>
          <w:tcPr>
            <w:tcW w:w="7041" w:type="dxa"/>
          </w:tcPr>
          <w:p w14:paraId="417B131B" w14:textId="77777777" w:rsidR="00D8098C" w:rsidRPr="00A1236D" w:rsidRDefault="00D8098C" w:rsidP="00426603">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t>Discuss limitations of the study, taking into account the validity of the IV assumptions, other sources of potential bias, and imprecision. Discuss both direction and magnitude of any potential bias and any efforts to address them</w:t>
            </w:r>
            <w:r w:rsidRPr="00A1236D">
              <w:rPr>
                <w:rFonts w:eastAsia="Times New Roman"/>
                <w:sz w:val="18"/>
                <w:szCs w:val="18"/>
                <w:shd w:val="clear" w:color="auto" w:fill="FFFFFF"/>
                <w:lang w:val="en-GB" w:eastAsia="en-GB"/>
              </w:rPr>
              <w:t> </w:t>
            </w:r>
          </w:p>
        </w:tc>
        <w:tc>
          <w:tcPr>
            <w:tcW w:w="720" w:type="dxa"/>
          </w:tcPr>
          <w:p w14:paraId="2998D9E9" w14:textId="7AD1A1BA" w:rsidR="00772E1F" w:rsidRPr="00DE680B" w:rsidRDefault="00000000">
            <w:pPr>
              <w:rPr>
                <w:rFonts w:eastAsiaTheme="minorEastAsia" w:hint="eastAsia"/>
                <w:lang w:eastAsia="zh-CN"/>
              </w:rPr>
            </w:pPr>
            <w:r>
              <w:t>1</w:t>
            </w:r>
            <w:r w:rsidR="00DE680B">
              <w:rPr>
                <w:rFonts w:eastAsiaTheme="minorEastAsia" w:hint="eastAsia"/>
                <w:lang w:eastAsia="zh-CN"/>
              </w:rPr>
              <w:t>9</w:t>
            </w:r>
            <w:r>
              <w:t>–</w:t>
            </w:r>
            <w:r w:rsidR="00DE680B">
              <w:rPr>
                <w:rFonts w:eastAsiaTheme="minorEastAsia" w:hint="eastAsia"/>
                <w:lang w:eastAsia="zh-CN"/>
              </w:rPr>
              <w:t>20</w:t>
            </w:r>
          </w:p>
        </w:tc>
        <w:tc>
          <w:tcPr>
            <w:tcW w:w="4320" w:type="dxa"/>
          </w:tcPr>
          <w:p w14:paraId="67EC9715" w14:textId="1AFEC10D" w:rsidR="00772E1F" w:rsidRPr="00412A9B" w:rsidRDefault="00412A9B">
            <w:pPr>
              <w:rPr>
                <w:rFonts w:eastAsiaTheme="minorEastAsia"/>
                <w:lang w:eastAsia="zh-CN"/>
              </w:rPr>
            </w:pPr>
            <w:r w:rsidRPr="00412A9B">
              <w:t>Limitations include lifelong genetic perturbations not directly reproducing pharmacological effects; simplified proxying of dual modulation; HbA1c and BMI as downstream traits; possible nearby-gene or LD effects; wide confidence intervals for some replication estimates; imperfect aging measures; and limited generalizability beyond European ancestry.</w:t>
            </w:r>
          </w:p>
        </w:tc>
      </w:tr>
      <w:tr w:rsidR="00D8098C" w:rsidRPr="00B853C6" w14:paraId="22614269" w14:textId="77777777" w:rsidTr="003D447D">
        <w:tc>
          <w:tcPr>
            <w:tcW w:w="587" w:type="dxa"/>
            <w:shd w:val="clear" w:color="auto" w:fill="EEEEEE"/>
          </w:tcPr>
          <w:p w14:paraId="42A05EBB"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16</w:t>
            </w:r>
          </w:p>
        </w:tc>
        <w:tc>
          <w:tcPr>
            <w:tcW w:w="1822" w:type="dxa"/>
            <w:shd w:val="clear" w:color="auto" w:fill="EEEEEE"/>
          </w:tcPr>
          <w:p w14:paraId="1D5F149C"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Interpretation</w:t>
            </w:r>
          </w:p>
        </w:tc>
        <w:tc>
          <w:tcPr>
            <w:tcW w:w="7041" w:type="dxa"/>
            <w:shd w:val="clear" w:color="auto" w:fill="EEEEEE"/>
          </w:tcPr>
          <w:p w14:paraId="63A674FE"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720" w:type="dxa"/>
            <w:shd w:val="clear" w:color="auto" w:fill="EEEEEE"/>
          </w:tcPr>
          <w:p w14:paraId="03E329B1"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4320" w:type="dxa"/>
            <w:shd w:val="clear" w:color="auto" w:fill="EEEEEE"/>
          </w:tcPr>
          <w:p w14:paraId="3CC3109E" w14:textId="77777777" w:rsidR="00D8098C" w:rsidRDefault="00D8098C" w:rsidP="00426603">
            <w:pPr>
              <w:spacing w:beforeLines="40" w:before="96" w:afterLines="40" w:after="96" w:line="24" w:lineRule="atLeast"/>
              <w:rPr>
                <w:rFonts w:eastAsia="Cambria"/>
                <w:sz w:val="18"/>
                <w:szCs w:val="18"/>
                <w:lang w:val="en-GB" w:eastAsia="en-US"/>
              </w:rPr>
            </w:pPr>
          </w:p>
        </w:tc>
      </w:tr>
      <w:tr w:rsidR="00D8098C" w:rsidRPr="00B853C6" w14:paraId="645E7243" w14:textId="77777777" w:rsidTr="003D447D">
        <w:tc>
          <w:tcPr>
            <w:tcW w:w="587" w:type="dxa"/>
          </w:tcPr>
          <w:p w14:paraId="083D74CA"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tcPr>
          <w:p w14:paraId="38B6172A"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a)</w:t>
            </w:r>
          </w:p>
        </w:tc>
        <w:tc>
          <w:tcPr>
            <w:tcW w:w="7041" w:type="dxa"/>
          </w:tcPr>
          <w:p w14:paraId="3CA37F6C" w14:textId="77777777" w:rsidR="00D8098C" w:rsidRPr="00A1236D" w:rsidRDefault="00D8098C" w:rsidP="00685D31">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 xml:space="preserve">Meaning: Give a cautious overall interpretation of results in the context of their limitations and in comparison </w:t>
            </w:r>
            <w:r w:rsidR="00685D31">
              <w:rPr>
                <w:rFonts w:eastAsia="Times New Roman"/>
                <w:sz w:val="18"/>
                <w:szCs w:val="18"/>
                <w:lang w:val="en-GB" w:eastAsia="en-GB"/>
              </w:rPr>
              <w:t>with</w:t>
            </w:r>
            <w:r w:rsidRPr="00A1236D">
              <w:rPr>
                <w:rFonts w:eastAsia="Times New Roman"/>
                <w:sz w:val="18"/>
                <w:szCs w:val="18"/>
                <w:lang w:val="en-GB" w:eastAsia="en-GB"/>
              </w:rPr>
              <w:t xml:space="preserve"> other studies</w:t>
            </w:r>
          </w:p>
        </w:tc>
        <w:tc>
          <w:tcPr>
            <w:tcW w:w="720" w:type="dxa"/>
          </w:tcPr>
          <w:p w14:paraId="675C31EA" w14:textId="03243E14" w:rsidR="00772E1F" w:rsidRPr="00DE680B" w:rsidRDefault="00000000">
            <w:pPr>
              <w:rPr>
                <w:rFonts w:eastAsiaTheme="minorEastAsia" w:hint="eastAsia"/>
                <w:lang w:eastAsia="zh-CN"/>
              </w:rPr>
            </w:pPr>
            <w:r>
              <w:t>1</w:t>
            </w:r>
            <w:r w:rsidR="00DE680B">
              <w:rPr>
                <w:rFonts w:eastAsiaTheme="minorEastAsia" w:hint="eastAsia"/>
                <w:lang w:eastAsia="zh-CN"/>
              </w:rPr>
              <w:t>6</w:t>
            </w:r>
            <w:r>
              <w:t>–</w:t>
            </w:r>
            <w:r w:rsidR="00DE680B">
              <w:rPr>
                <w:rFonts w:eastAsiaTheme="minorEastAsia" w:hint="eastAsia"/>
                <w:lang w:eastAsia="zh-CN"/>
              </w:rPr>
              <w:t>20</w:t>
            </w:r>
          </w:p>
        </w:tc>
        <w:tc>
          <w:tcPr>
            <w:tcW w:w="4320" w:type="dxa"/>
          </w:tcPr>
          <w:p w14:paraId="56F3DC7C" w14:textId="39707C95" w:rsidR="00772E1F" w:rsidRDefault="00412A9B">
            <w:r w:rsidRPr="00412A9B">
              <w:t xml:space="preserve">Limitations include lifelong genetic perturbations not directly reproducing pharmacological effects; simplified proxying of dual modulation; HbA1c and BMI as downstream traits; possible nearby-gene or LD effects; wide </w:t>
            </w:r>
            <w:r w:rsidRPr="00412A9B">
              <w:lastRenderedPageBreak/>
              <w:t>confidence intervals for some replication estimates; imperfect aging measures; and limited generalizability beyond European ancestry</w:t>
            </w:r>
            <w:r>
              <w:t>.</w:t>
            </w:r>
          </w:p>
        </w:tc>
      </w:tr>
      <w:tr w:rsidR="00D8098C" w:rsidRPr="00B853C6" w14:paraId="401B889B" w14:textId="77777777" w:rsidTr="003D447D">
        <w:tc>
          <w:tcPr>
            <w:tcW w:w="587" w:type="dxa"/>
            <w:shd w:val="clear" w:color="auto" w:fill="EEEEEE"/>
          </w:tcPr>
          <w:p w14:paraId="16525FCA"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71318DFD"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b)</w:t>
            </w:r>
          </w:p>
        </w:tc>
        <w:tc>
          <w:tcPr>
            <w:tcW w:w="7041" w:type="dxa"/>
            <w:shd w:val="clear" w:color="auto" w:fill="EEEEEE"/>
          </w:tcPr>
          <w:p w14:paraId="1521194D" w14:textId="77777777" w:rsidR="00D8098C" w:rsidRPr="00A1236D" w:rsidRDefault="00D8098C" w:rsidP="00426603">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t xml:space="preserve">Mechanism: Discuss underlying biological mechanisms that could drive a potential causal relationship between the investigated exposure and the outcome, and whether the gene-environment equivalence assumption is reasonable. Use causal language carefully, clarifying that IV estimates may provide causal effects </w:t>
            </w:r>
            <w:r w:rsidR="00ED48A3">
              <w:rPr>
                <w:rFonts w:eastAsia="Times New Roman"/>
                <w:sz w:val="18"/>
                <w:szCs w:val="18"/>
                <w:lang w:val="en-GB" w:eastAsia="en-GB"/>
              </w:rPr>
              <w:t xml:space="preserve">only </w:t>
            </w:r>
            <w:r w:rsidRPr="00A1236D">
              <w:rPr>
                <w:rFonts w:eastAsia="Times New Roman"/>
                <w:sz w:val="18"/>
                <w:szCs w:val="18"/>
                <w:lang w:val="en-GB" w:eastAsia="en-GB"/>
              </w:rPr>
              <w:t xml:space="preserve">under certain assumptions </w:t>
            </w:r>
          </w:p>
        </w:tc>
        <w:tc>
          <w:tcPr>
            <w:tcW w:w="720" w:type="dxa"/>
            <w:shd w:val="clear" w:color="auto" w:fill="EEEEEE"/>
          </w:tcPr>
          <w:p w14:paraId="31D45226" w14:textId="3797847F" w:rsidR="00772E1F" w:rsidRPr="00DE680B" w:rsidRDefault="00000000">
            <w:pPr>
              <w:rPr>
                <w:rFonts w:eastAsiaTheme="minorEastAsia" w:hint="eastAsia"/>
                <w:lang w:eastAsia="zh-CN"/>
              </w:rPr>
            </w:pPr>
            <w:r>
              <w:t>1</w:t>
            </w:r>
            <w:r w:rsidR="00DE680B">
              <w:rPr>
                <w:rFonts w:eastAsiaTheme="minorEastAsia" w:hint="eastAsia"/>
                <w:lang w:eastAsia="zh-CN"/>
              </w:rPr>
              <w:t>6</w:t>
            </w:r>
            <w:r>
              <w:t>–1</w:t>
            </w:r>
            <w:r w:rsidR="00DE680B">
              <w:rPr>
                <w:rFonts w:eastAsiaTheme="minorEastAsia" w:hint="eastAsia"/>
                <w:lang w:eastAsia="zh-CN"/>
              </w:rPr>
              <w:t>8</w:t>
            </w:r>
          </w:p>
        </w:tc>
        <w:tc>
          <w:tcPr>
            <w:tcW w:w="4320" w:type="dxa"/>
            <w:shd w:val="clear" w:color="auto" w:fill="EEEEEE"/>
          </w:tcPr>
          <w:p w14:paraId="396057F8" w14:textId="67FEF7BE" w:rsidR="00772E1F" w:rsidRDefault="00412A9B">
            <w:r w:rsidRPr="00412A9B">
              <w:t>Potential mechanisms discussed include insulin sensitivity, lipid handling, energy balance, glucose homeostasis, metabolic stress, inflammation, nutrient sensing, mitochondrial dysfunction, endothelial dysfunction, vascular senescence, and arterial stiffening. The limitations clarify that genetic proxies may not recapitulate pharmacological interventions</w:t>
            </w:r>
            <w:r>
              <w:t>.</w:t>
            </w:r>
          </w:p>
        </w:tc>
      </w:tr>
      <w:tr w:rsidR="00D8098C" w:rsidRPr="00B853C6" w14:paraId="113DC9A7" w14:textId="77777777" w:rsidTr="003D447D">
        <w:tc>
          <w:tcPr>
            <w:tcW w:w="587" w:type="dxa"/>
          </w:tcPr>
          <w:p w14:paraId="7B546F08"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tcPr>
          <w:p w14:paraId="7134861B"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c)</w:t>
            </w:r>
          </w:p>
        </w:tc>
        <w:tc>
          <w:tcPr>
            <w:tcW w:w="7041" w:type="dxa"/>
          </w:tcPr>
          <w:p w14:paraId="0709B1EC" w14:textId="77777777" w:rsidR="00D8098C" w:rsidRPr="00A1236D" w:rsidRDefault="00D8098C" w:rsidP="00426603">
            <w:pPr>
              <w:tabs>
                <w:tab w:val="left" w:pos="1350"/>
              </w:tabs>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 xml:space="preserve">Clinical relevance: Discuss whether the results have clinical or public policy relevance, and </w:t>
            </w:r>
            <w:r w:rsidRPr="00A1236D">
              <w:rPr>
                <w:rFonts w:eastAsia="Times New Roman"/>
                <w:color w:val="000000"/>
                <w:sz w:val="18"/>
                <w:szCs w:val="18"/>
                <w:lang w:eastAsia="en-GB"/>
              </w:rPr>
              <w:t>to what extent they inform effect sizes of possible interventions</w:t>
            </w:r>
          </w:p>
        </w:tc>
        <w:tc>
          <w:tcPr>
            <w:tcW w:w="720" w:type="dxa"/>
          </w:tcPr>
          <w:p w14:paraId="19FB64CE" w14:textId="74053F3E" w:rsidR="00772E1F" w:rsidRPr="00412A9B" w:rsidRDefault="00000000">
            <w:pPr>
              <w:rPr>
                <w:rFonts w:eastAsiaTheme="minorEastAsia"/>
                <w:lang w:eastAsia="zh-CN"/>
              </w:rPr>
            </w:pPr>
            <w:r>
              <w:t>1</w:t>
            </w:r>
            <w:r w:rsidR="00DE680B">
              <w:rPr>
                <w:rFonts w:eastAsiaTheme="minorEastAsia" w:hint="eastAsia"/>
                <w:lang w:eastAsia="zh-CN"/>
              </w:rPr>
              <w:t>8</w:t>
            </w:r>
            <w:r w:rsidR="00412A9B">
              <w:rPr>
                <w:rFonts w:eastAsiaTheme="minorEastAsia" w:hint="eastAsia"/>
                <w:lang w:eastAsia="zh-CN"/>
              </w:rPr>
              <w:t>-19</w:t>
            </w:r>
          </w:p>
        </w:tc>
        <w:tc>
          <w:tcPr>
            <w:tcW w:w="4320" w:type="dxa"/>
          </w:tcPr>
          <w:p w14:paraId="5C5703E8" w14:textId="6206E7BD" w:rsidR="00772E1F" w:rsidRPr="00412A9B" w:rsidRDefault="00412A9B">
            <w:pPr>
              <w:rPr>
                <w:rFonts w:eastAsiaTheme="minorEastAsia"/>
                <w:lang w:eastAsia="zh-CN"/>
              </w:rPr>
            </w:pPr>
            <w:r w:rsidRPr="00412A9B">
              <w:t>The manuscript discusses implications for further mechanistic and clinical evaluation of GLP1R-, GIPR-, and dual-targeted therapies, potential development of selective GIPR agonists, and the need to assess muscle mass and function in older adults. It cautions against interpreting MR estimates as direct treatment effects.</w:t>
            </w:r>
          </w:p>
        </w:tc>
      </w:tr>
      <w:tr w:rsidR="00D8098C" w:rsidRPr="00B853C6" w14:paraId="07539299" w14:textId="77777777" w:rsidTr="003D447D">
        <w:tc>
          <w:tcPr>
            <w:tcW w:w="587" w:type="dxa"/>
            <w:tcBorders>
              <w:bottom w:val="single" w:sz="6" w:space="0" w:color="7F7F7F"/>
            </w:tcBorders>
            <w:shd w:val="clear" w:color="auto" w:fill="EEEEEE"/>
          </w:tcPr>
          <w:p w14:paraId="0A6DD480"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17</w:t>
            </w:r>
          </w:p>
        </w:tc>
        <w:tc>
          <w:tcPr>
            <w:tcW w:w="1822" w:type="dxa"/>
            <w:tcBorders>
              <w:bottom w:val="single" w:sz="6" w:space="0" w:color="7F7F7F"/>
            </w:tcBorders>
            <w:shd w:val="clear" w:color="auto" w:fill="EEEEEE"/>
          </w:tcPr>
          <w:p w14:paraId="327DFB42"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 xml:space="preserve">Generalizability  </w:t>
            </w:r>
            <w:r w:rsidRPr="00F0337F">
              <w:rPr>
                <w:rFonts w:eastAsia="Times New Roman"/>
                <w:sz w:val="18"/>
                <w:szCs w:val="18"/>
                <w:lang w:val="en-GB" w:eastAsia="en-GB"/>
              </w:rPr>
              <w:t> </w:t>
            </w:r>
          </w:p>
        </w:tc>
        <w:tc>
          <w:tcPr>
            <w:tcW w:w="7041" w:type="dxa"/>
            <w:tcBorders>
              <w:bottom w:val="single" w:sz="6" w:space="0" w:color="7F7F7F"/>
            </w:tcBorders>
            <w:shd w:val="clear" w:color="auto" w:fill="EEEEEE"/>
          </w:tcPr>
          <w:p w14:paraId="261CD4C4"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Discuss the generalizability of the study results (a) to other populations, (b) across other exposure periods/timings, and (c) across other levels of exposure</w:t>
            </w:r>
          </w:p>
        </w:tc>
        <w:tc>
          <w:tcPr>
            <w:tcW w:w="720" w:type="dxa"/>
            <w:tcBorders>
              <w:bottom w:val="single" w:sz="6" w:space="0" w:color="7F7F7F"/>
            </w:tcBorders>
            <w:shd w:val="clear" w:color="auto" w:fill="EEEEEE"/>
          </w:tcPr>
          <w:p w14:paraId="3B1B291D" w14:textId="2A0C5B42" w:rsidR="00772E1F" w:rsidRPr="00145FA6" w:rsidRDefault="00000000">
            <w:pPr>
              <w:rPr>
                <w:rFonts w:eastAsiaTheme="minorEastAsia" w:hint="eastAsia"/>
                <w:lang w:eastAsia="zh-CN"/>
              </w:rPr>
            </w:pPr>
            <w:r>
              <w:t>1</w:t>
            </w:r>
            <w:r w:rsidR="00DE680B">
              <w:rPr>
                <w:rFonts w:eastAsiaTheme="minorEastAsia" w:hint="eastAsia"/>
                <w:lang w:eastAsia="zh-CN"/>
              </w:rPr>
              <w:t>9</w:t>
            </w:r>
            <w:r w:rsidR="00145FA6">
              <w:rPr>
                <w:rFonts w:eastAsiaTheme="minorEastAsia" w:hint="eastAsia"/>
                <w:lang w:eastAsia="zh-CN"/>
              </w:rPr>
              <w:t>-</w:t>
            </w:r>
            <w:r w:rsidR="00DE680B">
              <w:rPr>
                <w:rFonts w:eastAsiaTheme="minorEastAsia" w:hint="eastAsia"/>
                <w:lang w:eastAsia="zh-CN"/>
              </w:rPr>
              <w:t>20</w:t>
            </w:r>
          </w:p>
        </w:tc>
        <w:tc>
          <w:tcPr>
            <w:tcW w:w="4320" w:type="dxa"/>
            <w:tcBorders>
              <w:bottom w:val="single" w:sz="6" w:space="0" w:color="7F7F7F"/>
            </w:tcBorders>
            <w:shd w:val="clear" w:color="auto" w:fill="EEEEEE"/>
          </w:tcPr>
          <w:p w14:paraId="1C050312" w14:textId="0A2D5D78" w:rsidR="00772E1F" w:rsidRDefault="00412A9B">
            <w:r w:rsidRPr="00412A9B">
              <w:t>Generalizability is discussed with respect to lifelong genetically proxied exposure versus the timing and duration of pharmacological treatment, and restriction of the GWAS datasets to individuals of European ancestry</w:t>
            </w:r>
            <w:r>
              <w:t>.</w:t>
            </w:r>
          </w:p>
        </w:tc>
      </w:tr>
      <w:tr w:rsidR="00D8098C" w:rsidRPr="00B853C6" w14:paraId="52F9AA1E" w14:textId="77777777" w:rsidTr="003D447D">
        <w:tc>
          <w:tcPr>
            <w:tcW w:w="587" w:type="dxa"/>
            <w:tcBorders>
              <w:top w:val="single" w:sz="6" w:space="0" w:color="7F7F7F"/>
            </w:tcBorders>
          </w:tcPr>
          <w:p w14:paraId="2C2BAEE1"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p>
        </w:tc>
        <w:tc>
          <w:tcPr>
            <w:tcW w:w="1822" w:type="dxa"/>
            <w:tcBorders>
              <w:top w:val="single" w:sz="6" w:space="0" w:color="7F7F7F"/>
            </w:tcBorders>
          </w:tcPr>
          <w:p w14:paraId="22E0C987"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OTHER INFORMATION</w:t>
            </w:r>
          </w:p>
        </w:tc>
        <w:tc>
          <w:tcPr>
            <w:tcW w:w="7041" w:type="dxa"/>
            <w:tcBorders>
              <w:top w:val="single" w:sz="6" w:space="0" w:color="7F7F7F"/>
            </w:tcBorders>
          </w:tcPr>
          <w:p w14:paraId="24A00714" w14:textId="77777777" w:rsidR="00D8098C" w:rsidRPr="00F0337F" w:rsidRDefault="00D8098C" w:rsidP="00426603">
            <w:pPr>
              <w:spacing w:beforeLines="40" w:before="96" w:afterLines="40" w:after="96" w:line="24" w:lineRule="atLeast"/>
              <w:rPr>
                <w:rFonts w:eastAsia="Cambria"/>
                <w:sz w:val="18"/>
                <w:szCs w:val="18"/>
                <w:lang w:val="en-GB" w:eastAsia="en-US"/>
              </w:rPr>
            </w:pPr>
          </w:p>
        </w:tc>
        <w:tc>
          <w:tcPr>
            <w:tcW w:w="720" w:type="dxa"/>
            <w:tcBorders>
              <w:top w:val="single" w:sz="6" w:space="0" w:color="7F7F7F"/>
            </w:tcBorders>
          </w:tcPr>
          <w:p w14:paraId="2A3C453C" w14:textId="77777777" w:rsidR="00D8098C" w:rsidRPr="00F0337F" w:rsidRDefault="00D8098C" w:rsidP="00426603">
            <w:pPr>
              <w:spacing w:beforeLines="40" w:before="96" w:afterLines="40" w:after="96" w:line="24" w:lineRule="atLeast"/>
              <w:rPr>
                <w:rFonts w:eastAsia="Cambria"/>
                <w:sz w:val="18"/>
                <w:szCs w:val="18"/>
                <w:lang w:val="en-GB" w:eastAsia="en-US"/>
              </w:rPr>
            </w:pPr>
          </w:p>
        </w:tc>
        <w:tc>
          <w:tcPr>
            <w:tcW w:w="4320" w:type="dxa"/>
            <w:tcBorders>
              <w:top w:val="single" w:sz="6" w:space="0" w:color="7F7F7F"/>
            </w:tcBorders>
          </w:tcPr>
          <w:p w14:paraId="6538E6C3" w14:textId="77777777" w:rsidR="00D8098C" w:rsidRDefault="00D8098C" w:rsidP="00426603">
            <w:pPr>
              <w:spacing w:beforeLines="40" w:before="96" w:afterLines="40" w:after="96" w:line="24" w:lineRule="atLeast"/>
              <w:rPr>
                <w:rFonts w:eastAsia="Cambria"/>
                <w:sz w:val="18"/>
                <w:szCs w:val="18"/>
                <w:lang w:val="en-GB" w:eastAsia="en-US"/>
              </w:rPr>
            </w:pPr>
          </w:p>
        </w:tc>
      </w:tr>
      <w:tr w:rsidR="00D8098C" w:rsidRPr="00B853C6" w14:paraId="4F5DACB3" w14:textId="77777777" w:rsidTr="003D447D">
        <w:tc>
          <w:tcPr>
            <w:tcW w:w="587" w:type="dxa"/>
            <w:shd w:val="clear" w:color="auto" w:fill="EEEEEE"/>
          </w:tcPr>
          <w:p w14:paraId="4F003496"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18</w:t>
            </w:r>
          </w:p>
        </w:tc>
        <w:tc>
          <w:tcPr>
            <w:tcW w:w="1822" w:type="dxa"/>
            <w:shd w:val="clear" w:color="auto" w:fill="EEEEEE"/>
          </w:tcPr>
          <w:p w14:paraId="55EE49B7" w14:textId="77777777" w:rsidR="00D8098C" w:rsidRPr="00F0337F" w:rsidRDefault="00D8098C" w:rsidP="00426603">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Funding</w:t>
            </w:r>
          </w:p>
        </w:tc>
        <w:tc>
          <w:tcPr>
            <w:tcW w:w="7041" w:type="dxa"/>
            <w:shd w:val="clear" w:color="auto" w:fill="EEEEEE"/>
          </w:tcPr>
          <w:p w14:paraId="318EC88C"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sz w:val="18"/>
                <w:szCs w:val="18"/>
                <w:lang w:val="en-GB" w:eastAsia="en-GB"/>
              </w:rPr>
              <w:t>Describe sources of funding and the role of funders in the present study and, if applicable, sources of funding for the databases and original study or studies on which the present study is based</w:t>
            </w:r>
          </w:p>
        </w:tc>
        <w:tc>
          <w:tcPr>
            <w:tcW w:w="720" w:type="dxa"/>
            <w:shd w:val="clear" w:color="auto" w:fill="EEEEEE"/>
          </w:tcPr>
          <w:p w14:paraId="4DB07F3F" w14:textId="5534FB16" w:rsidR="00772E1F" w:rsidRPr="00412A9B" w:rsidRDefault="00D4147B">
            <w:pPr>
              <w:rPr>
                <w:rFonts w:eastAsiaTheme="minorEastAsia"/>
                <w:lang w:eastAsia="zh-CN"/>
              </w:rPr>
            </w:pPr>
            <w:r>
              <w:rPr>
                <w:rFonts w:eastAsiaTheme="minorEastAsia" w:hint="eastAsia"/>
                <w:lang w:eastAsia="zh-CN"/>
              </w:rPr>
              <w:t>3</w:t>
            </w:r>
            <w:r w:rsidR="00DE680B">
              <w:rPr>
                <w:rFonts w:eastAsiaTheme="minorEastAsia" w:hint="eastAsia"/>
                <w:lang w:eastAsia="zh-CN"/>
              </w:rPr>
              <w:t>1</w:t>
            </w:r>
          </w:p>
        </w:tc>
        <w:tc>
          <w:tcPr>
            <w:tcW w:w="4320" w:type="dxa"/>
            <w:shd w:val="clear" w:color="auto" w:fill="EEEEEE"/>
          </w:tcPr>
          <w:p w14:paraId="070E6C4E" w14:textId="77777777" w:rsidR="00772E1F" w:rsidRDefault="00000000">
            <w:r>
              <w:t>Funding: National Natural Science Foundation of China (82404337, 82170870, and 82120108008).</w:t>
            </w:r>
          </w:p>
        </w:tc>
      </w:tr>
      <w:tr w:rsidR="00D8098C" w:rsidRPr="00B853C6" w14:paraId="76D1BE46" w14:textId="77777777" w:rsidTr="003D447D">
        <w:tc>
          <w:tcPr>
            <w:tcW w:w="587" w:type="dxa"/>
          </w:tcPr>
          <w:p w14:paraId="57B729FD"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lastRenderedPageBreak/>
              <w:t>19</w:t>
            </w:r>
          </w:p>
        </w:tc>
        <w:tc>
          <w:tcPr>
            <w:tcW w:w="1822" w:type="dxa"/>
          </w:tcPr>
          <w:p w14:paraId="28D2BC62"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Data and data sharing </w:t>
            </w:r>
          </w:p>
        </w:tc>
        <w:tc>
          <w:tcPr>
            <w:tcW w:w="7041" w:type="dxa"/>
          </w:tcPr>
          <w:p w14:paraId="3791BD8A"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sz w:val="18"/>
                <w:szCs w:val="18"/>
                <w:lang w:val="en-GB" w:eastAsia="en-GB"/>
              </w:rPr>
              <w:t xml:space="preserve">Provide the data used to perform all analyses or report where and how the data can be accessed, and reference these sources in the </w:t>
            </w:r>
            <w:r>
              <w:rPr>
                <w:rFonts w:eastAsia="Times New Roman"/>
                <w:sz w:val="18"/>
                <w:szCs w:val="18"/>
                <w:lang w:val="en-GB" w:eastAsia="en-GB"/>
              </w:rPr>
              <w:t>article</w:t>
            </w:r>
            <w:r w:rsidRPr="00F0337F">
              <w:rPr>
                <w:rFonts w:eastAsia="Times New Roman"/>
                <w:sz w:val="18"/>
                <w:szCs w:val="18"/>
                <w:lang w:val="en-GB" w:eastAsia="en-GB"/>
              </w:rPr>
              <w:t xml:space="preserve">. Provide the statistical code needed to </w:t>
            </w:r>
            <w:r>
              <w:rPr>
                <w:rFonts w:eastAsia="Times New Roman"/>
                <w:sz w:val="18"/>
                <w:szCs w:val="18"/>
                <w:lang w:val="en-GB" w:eastAsia="en-GB"/>
              </w:rPr>
              <w:t>reproduce the results</w:t>
            </w:r>
            <w:r w:rsidRPr="00F0337F">
              <w:rPr>
                <w:rFonts w:eastAsia="Times New Roman"/>
                <w:sz w:val="18"/>
                <w:szCs w:val="18"/>
                <w:lang w:val="en-GB" w:eastAsia="en-GB"/>
              </w:rPr>
              <w:t xml:space="preserve"> in the </w:t>
            </w:r>
            <w:r>
              <w:rPr>
                <w:rFonts w:eastAsia="Times New Roman"/>
                <w:sz w:val="18"/>
                <w:szCs w:val="18"/>
                <w:lang w:val="en-GB" w:eastAsia="en-GB"/>
              </w:rPr>
              <w:t>article</w:t>
            </w:r>
            <w:r w:rsidRPr="00F0337F">
              <w:rPr>
                <w:rFonts w:eastAsia="Times New Roman"/>
                <w:sz w:val="18"/>
                <w:szCs w:val="18"/>
                <w:lang w:val="en-GB" w:eastAsia="en-GB"/>
              </w:rPr>
              <w:t>, or report whether the code is publicly accessible and if so, where</w:t>
            </w:r>
          </w:p>
        </w:tc>
        <w:tc>
          <w:tcPr>
            <w:tcW w:w="720" w:type="dxa"/>
          </w:tcPr>
          <w:p w14:paraId="6D212AFA" w14:textId="20C06669" w:rsidR="00772E1F" w:rsidRPr="00412A9B" w:rsidRDefault="00D4147B">
            <w:pPr>
              <w:rPr>
                <w:rFonts w:eastAsiaTheme="minorEastAsia"/>
                <w:lang w:eastAsia="zh-CN"/>
              </w:rPr>
            </w:pPr>
            <w:r>
              <w:rPr>
                <w:rFonts w:eastAsiaTheme="minorEastAsia" w:hint="eastAsia"/>
                <w:lang w:eastAsia="zh-CN"/>
              </w:rPr>
              <w:t>3</w:t>
            </w:r>
            <w:r w:rsidR="00DE680B">
              <w:rPr>
                <w:rFonts w:eastAsiaTheme="minorEastAsia" w:hint="eastAsia"/>
                <w:lang w:eastAsia="zh-CN"/>
              </w:rPr>
              <w:t>1</w:t>
            </w:r>
          </w:p>
        </w:tc>
        <w:tc>
          <w:tcPr>
            <w:tcW w:w="4320" w:type="dxa"/>
          </w:tcPr>
          <w:p w14:paraId="2C7A9C7A" w14:textId="07E5FC6C" w:rsidR="00772E1F" w:rsidRPr="00606F79" w:rsidRDefault="00000000">
            <w:pPr>
              <w:rPr>
                <w:rFonts w:eastAsiaTheme="minorEastAsia"/>
                <w:lang w:eastAsia="zh-CN"/>
              </w:rPr>
            </w:pPr>
            <w:r>
              <w:t>This study used publicly available data. References and data links are available in Table S1.</w:t>
            </w:r>
            <w:r w:rsidR="00606F79">
              <w:rPr>
                <w:rFonts w:eastAsiaTheme="minorEastAsia" w:hint="eastAsia"/>
                <w:lang w:eastAsia="zh-CN"/>
              </w:rPr>
              <w:t xml:space="preserve"> </w:t>
            </w:r>
            <w:r w:rsidR="00606F79" w:rsidRPr="00606F79">
              <w:t>The analytic code used will be made available from the</w:t>
            </w:r>
            <w:r w:rsidR="00412A9B">
              <w:rPr>
                <w:rFonts w:eastAsiaTheme="minorEastAsia" w:hint="eastAsia"/>
                <w:lang w:eastAsia="zh-CN"/>
              </w:rPr>
              <w:t xml:space="preserve"> </w:t>
            </w:r>
            <w:r w:rsidR="00606F79" w:rsidRPr="00606F79">
              <w:t>corresponding author upon request.</w:t>
            </w:r>
            <w:r w:rsidR="00606F79">
              <w:rPr>
                <w:rFonts w:eastAsiaTheme="minorEastAsia"/>
                <w:lang w:eastAsia="zh-CN"/>
              </w:rPr>
              <w:t>”</w:t>
            </w:r>
          </w:p>
        </w:tc>
      </w:tr>
      <w:tr w:rsidR="00D8098C" w:rsidRPr="00B853C6" w14:paraId="2531083F" w14:textId="77777777" w:rsidTr="003D447D">
        <w:tc>
          <w:tcPr>
            <w:tcW w:w="587" w:type="dxa"/>
            <w:tcBorders>
              <w:bottom w:val="single" w:sz="6" w:space="0" w:color="7F7F7F"/>
            </w:tcBorders>
            <w:shd w:val="clear" w:color="auto" w:fill="EEEEEE"/>
          </w:tcPr>
          <w:p w14:paraId="677D67FB"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20</w:t>
            </w:r>
          </w:p>
        </w:tc>
        <w:tc>
          <w:tcPr>
            <w:tcW w:w="1822" w:type="dxa"/>
            <w:tcBorders>
              <w:bottom w:val="single" w:sz="6" w:space="0" w:color="7F7F7F"/>
            </w:tcBorders>
            <w:shd w:val="clear" w:color="auto" w:fill="EEEEEE"/>
          </w:tcPr>
          <w:p w14:paraId="510AFF65"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Conflicts of Interest  </w:t>
            </w:r>
          </w:p>
        </w:tc>
        <w:tc>
          <w:tcPr>
            <w:tcW w:w="7041" w:type="dxa"/>
            <w:tcBorders>
              <w:bottom w:val="single" w:sz="6" w:space="0" w:color="7F7F7F"/>
            </w:tcBorders>
            <w:shd w:val="clear" w:color="auto" w:fill="EEEEEE"/>
          </w:tcPr>
          <w:p w14:paraId="2DF49F28"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sz w:val="18"/>
                <w:szCs w:val="18"/>
                <w:lang w:val="en-GB" w:eastAsia="en-GB"/>
              </w:rPr>
              <w:t>All authors should declare all potential conflicts of interest</w:t>
            </w:r>
          </w:p>
        </w:tc>
        <w:tc>
          <w:tcPr>
            <w:tcW w:w="720" w:type="dxa"/>
            <w:tcBorders>
              <w:bottom w:val="single" w:sz="6" w:space="0" w:color="7F7F7F"/>
            </w:tcBorders>
            <w:shd w:val="clear" w:color="auto" w:fill="EEEEEE"/>
          </w:tcPr>
          <w:p w14:paraId="1C8A96BA" w14:textId="0E41D589" w:rsidR="00772E1F" w:rsidRPr="00412A9B" w:rsidRDefault="00D4147B">
            <w:pPr>
              <w:rPr>
                <w:rFonts w:eastAsiaTheme="minorEastAsia"/>
                <w:lang w:eastAsia="zh-CN"/>
              </w:rPr>
            </w:pPr>
            <w:r>
              <w:rPr>
                <w:rFonts w:eastAsiaTheme="minorEastAsia" w:hint="eastAsia"/>
                <w:lang w:eastAsia="zh-CN"/>
              </w:rPr>
              <w:t>3</w:t>
            </w:r>
            <w:r w:rsidR="00DE680B">
              <w:rPr>
                <w:rFonts w:eastAsiaTheme="minorEastAsia" w:hint="eastAsia"/>
                <w:lang w:eastAsia="zh-CN"/>
              </w:rPr>
              <w:t>2</w:t>
            </w:r>
          </w:p>
        </w:tc>
        <w:tc>
          <w:tcPr>
            <w:tcW w:w="4320" w:type="dxa"/>
            <w:tcBorders>
              <w:bottom w:val="single" w:sz="6" w:space="0" w:color="7F7F7F"/>
            </w:tcBorders>
            <w:shd w:val="clear" w:color="auto" w:fill="EEEEEE"/>
          </w:tcPr>
          <w:p w14:paraId="0BC52535" w14:textId="5F73935C" w:rsidR="00772E1F" w:rsidRPr="00412A9B" w:rsidRDefault="00000000">
            <w:pPr>
              <w:rPr>
                <w:rFonts w:eastAsiaTheme="minorEastAsia"/>
                <w:lang w:eastAsia="zh-CN"/>
              </w:rPr>
            </w:pPr>
            <w:r>
              <w:t>The authors declare no competing interests.</w:t>
            </w:r>
          </w:p>
        </w:tc>
      </w:tr>
    </w:tbl>
    <w:p w14:paraId="65160FE2" w14:textId="77777777" w:rsidR="00DD0F38" w:rsidRPr="009854A9" w:rsidRDefault="00D65199" w:rsidP="005520ED">
      <w:pPr>
        <w:spacing w:before="240" w:after="240"/>
        <w:rPr>
          <w:sz w:val="19"/>
          <w:szCs w:val="19"/>
        </w:rPr>
      </w:pPr>
      <w:r w:rsidRPr="009854A9">
        <w:rPr>
          <w:sz w:val="19"/>
          <w:szCs w:val="19"/>
        </w:rPr>
        <w:t>This checklist is copyrighted by the Equator Network under the Creative Commons Attribution 3.0 Unported (CC BY 3.0) license.</w:t>
      </w:r>
    </w:p>
    <w:p w14:paraId="1A6C3762" w14:textId="77777777" w:rsidR="009854A9" w:rsidRPr="009854A9" w:rsidRDefault="00804498" w:rsidP="009854A9">
      <w:pPr>
        <w:widowControl w:val="0"/>
        <w:autoSpaceDE w:val="0"/>
        <w:autoSpaceDN w:val="0"/>
        <w:adjustRightInd w:val="0"/>
        <w:spacing w:before="240" w:after="240" w:line="240" w:lineRule="auto"/>
        <w:ind w:left="640" w:hanging="640"/>
        <w:rPr>
          <w:noProof/>
          <w:sz w:val="19"/>
          <w:szCs w:val="19"/>
        </w:rPr>
      </w:pPr>
      <w:r w:rsidRPr="009854A9">
        <w:rPr>
          <w:sz w:val="19"/>
          <w:szCs w:val="19"/>
        </w:rPr>
        <w:fldChar w:fldCharType="begin" w:fldLock="1"/>
      </w:r>
      <w:r w:rsidRPr="009854A9">
        <w:rPr>
          <w:sz w:val="19"/>
          <w:szCs w:val="19"/>
        </w:rPr>
        <w:instrText xml:space="preserve">ADDIN Mendeley Bibliography CSL_BIBLIOGRAPHY </w:instrText>
      </w:r>
      <w:r w:rsidRPr="009854A9">
        <w:rPr>
          <w:sz w:val="19"/>
          <w:szCs w:val="19"/>
        </w:rPr>
        <w:fldChar w:fldCharType="separate"/>
      </w:r>
      <w:r w:rsidR="009854A9" w:rsidRPr="009854A9">
        <w:rPr>
          <w:noProof/>
          <w:sz w:val="19"/>
          <w:szCs w:val="19"/>
        </w:rPr>
        <w:t xml:space="preserve">1. </w:t>
      </w:r>
      <w:r w:rsidR="009854A9" w:rsidRPr="009854A9">
        <w:rPr>
          <w:noProof/>
          <w:sz w:val="19"/>
          <w:szCs w:val="19"/>
        </w:rPr>
        <w:tab/>
        <w:t xml:space="preserve">Skrivankova VW, Richmond RC, Woolf BAR, Yarmolinsky J, Davies NM, Swanson SA, et al. Strengthening the Reporting of Observational Studies in Epidemiology using Mendelian Randomization (STROBE-MR) Statement. JAMA. 2021;under review. </w:t>
      </w:r>
    </w:p>
    <w:p w14:paraId="44955BC1" w14:textId="77777777" w:rsidR="009854A9" w:rsidRPr="009854A9" w:rsidRDefault="009854A9" w:rsidP="009854A9">
      <w:pPr>
        <w:widowControl w:val="0"/>
        <w:autoSpaceDE w:val="0"/>
        <w:autoSpaceDN w:val="0"/>
        <w:adjustRightInd w:val="0"/>
        <w:spacing w:before="240" w:after="240" w:line="240" w:lineRule="auto"/>
        <w:ind w:left="640" w:hanging="640"/>
        <w:rPr>
          <w:noProof/>
          <w:sz w:val="19"/>
          <w:szCs w:val="19"/>
        </w:rPr>
      </w:pPr>
      <w:r w:rsidRPr="009854A9">
        <w:rPr>
          <w:noProof/>
          <w:sz w:val="19"/>
          <w:szCs w:val="19"/>
        </w:rPr>
        <w:t xml:space="preserve">2. </w:t>
      </w:r>
      <w:r w:rsidRPr="009854A9">
        <w:rPr>
          <w:noProof/>
          <w:sz w:val="19"/>
          <w:szCs w:val="19"/>
        </w:rPr>
        <w:tab/>
        <w:t xml:space="preserve">Skrivankova VW, Richmond RC, Woolf BAR, Davies NM, Swanson SA, VanderWeele TJ, et al. Strengthening the Reporting of Observational Studies in Epidemiology using Mendelian Randomisation (STROBE-MR): Explanation and Elaboration. BMJ. 2021;375:n2233. </w:t>
      </w:r>
    </w:p>
    <w:p w14:paraId="30EDDAF3" w14:textId="77777777" w:rsidR="00804498" w:rsidRDefault="00804498" w:rsidP="005520ED">
      <w:pPr>
        <w:spacing w:before="240" w:after="240"/>
      </w:pPr>
      <w:r w:rsidRPr="009854A9">
        <w:rPr>
          <w:sz w:val="19"/>
          <w:szCs w:val="19"/>
        </w:rPr>
        <w:fldChar w:fldCharType="end"/>
      </w:r>
    </w:p>
    <w:sectPr w:rsidR="00804498" w:rsidSect="003D447D">
      <w:footerReference w:type="even" r:id="rId10"/>
      <w:footerReference w:type="default" r:id="rId11"/>
      <w:pgSz w:w="15840" w:h="12240" w:orient="landscape"/>
      <w:pgMar w:top="1008" w:right="720" w:bottom="1008"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EFE5E" w14:textId="77777777" w:rsidR="00EA14BE" w:rsidRDefault="00EA14BE">
      <w:pPr>
        <w:spacing w:line="240" w:lineRule="auto"/>
      </w:pPr>
      <w:r>
        <w:separator/>
      </w:r>
    </w:p>
  </w:endnote>
  <w:endnote w:type="continuationSeparator" w:id="0">
    <w:p w14:paraId="31E789B9" w14:textId="77777777" w:rsidR="00EA14BE" w:rsidRDefault="00EA14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EE000" w14:textId="77777777" w:rsidR="00DD0F38" w:rsidRDefault="00DD0F38" w:rsidP="00A365E5">
    <w:pPr>
      <w:pStyle w:val="a3"/>
      <w:framePr w:wrap="none" w:vAnchor="text" w:hAnchor="margin" w:xAlign="right" w:y="1"/>
      <w:rPr>
        <w:rStyle w:val="a5"/>
      </w:rPr>
    </w:pPr>
  </w:p>
  <w:p w14:paraId="492423F6" w14:textId="77777777" w:rsidR="00DD0F38" w:rsidRDefault="00DD0F38" w:rsidP="00C141F7">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1E99D" w14:textId="77777777" w:rsidR="00DD0F38" w:rsidRDefault="003D447D">
    <w:pPr>
      <w:pStyle w:val="a3"/>
      <w:jc w:val="right"/>
    </w:pPr>
    <w:r>
      <w:fldChar w:fldCharType="begin"/>
    </w:r>
    <w:r>
      <w:instrText xml:space="preserve"> PAGE   \* MERGEFORMAT </w:instrText>
    </w:r>
    <w:r>
      <w:fldChar w:fldCharType="separate"/>
    </w:r>
    <w:r w:rsidR="00BB6328">
      <w:rPr>
        <w:noProof/>
      </w:rPr>
      <w:t>1</w:t>
    </w:r>
    <w:r>
      <w:rPr>
        <w:noProof/>
      </w:rPr>
      <w:fldChar w:fldCharType="end"/>
    </w:r>
  </w:p>
  <w:p w14:paraId="0E3BD998" w14:textId="77777777" w:rsidR="00DD0F38" w:rsidRDefault="00DD0F38" w:rsidP="00C141F7">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3AEAC" w14:textId="77777777" w:rsidR="00EA14BE" w:rsidRDefault="00EA14BE">
      <w:pPr>
        <w:spacing w:line="240" w:lineRule="auto"/>
      </w:pPr>
      <w:r>
        <w:separator/>
      </w:r>
    </w:p>
  </w:footnote>
  <w:footnote w:type="continuationSeparator" w:id="0">
    <w:p w14:paraId="73A8CC2A" w14:textId="77777777" w:rsidR="00EA14BE" w:rsidRDefault="00EA14B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je3NDc3s7A0NTI1MTNT0lEKTi0uzszPAykwqQUAUVoHRSwAAAA="/>
  </w:docVars>
  <w:rsids>
    <w:rsidRoot w:val="00914C56"/>
    <w:rsid w:val="000A4CE8"/>
    <w:rsid w:val="00145FA6"/>
    <w:rsid w:val="002663E6"/>
    <w:rsid w:val="002C1029"/>
    <w:rsid w:val="00375CA4"/>
    <w:rsid w:val="003933E5"/>
    <w:rsid w:val="003D447D"/>
    <w:rsid w:val="003D47DD"/>
    <w:rsid w:val="00412A9B"/>
    <w:rsid w:val="004B5CBB"/>
    <w:rsid w:val="004E11D4"/>
    <w:rsid w:val="00514462"/>
    <w:rsid w:val="005520ED"/>
    <w:rsid w:val="005A0D0D"/>
    <w:rsid w:val="005B06BE"/>
    <w:rsid w:val="00606F79"/>
    <w:rsid w:val="00685D31"/>
    <w:rsid w:val="006912BF"/>
    <w:rsid w:val="006A41D0"/>
    <w:rsid w:val="006B08D5"/>
    <w:rsid w:val="0073732C"/>
    <w:rsid w:val="00772E1F"/>
    <w:rsid w:val="00804498"/>
    <w:rsid w:val="00914C56"/>
    <w:rsid w:val="00950729"/>
    <w:rsid w:val="009854A9"/>
    <w:rsid w:val="0099795C"/>
    <w:rsid w:val="009E033F"/>
    <w:rsid w:val="00A0233E"/>
    <w:rsid w:val="00B81C5B"/>
    <w:rsid w:val="00B97568"/>
    <w:rsid w:val="00BB6328"/>
    <w:rsid w:val="00CE1B61"/>
    <w:rsid w:val="00D06528"/>
    <w:rsid w:val="00D4147B"/>
    <w:rsid w:val="00D65199"/>
    <w:rsid w:val="00D8098C"/>
    <w:rsid w:val="00DD0F38"/>
    <w:rsid w:val="00DE680B"/>
    <w:rsid w:val="00EA14BE"/>
    <w:rsid w:val="00EA5D82"/>
    <w:rsid w:val="00ED48A3"/>
    <w:rsid w:val="00EF4B9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A5CC0D"/>
  <w15:chartTrackingRefBased/>
  <w15:docId w15:val="{3C23E9FF-C4EB-475A-AABF-DB561B80E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914C56"/>
    <w:pPr>
      <w:spacing w:after="0" w:line="276" w:lineRule="auto"/>
    </w:pPr>
    <w:rPr>
      <w:rFonts w:ascii="Arial" w:eastAsia="Arial" w:hAnsi="Arial" w:cs="Arial"/>
      <w:lang w:val="en" w:eastAsia="de-CH"/>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914C56"/>
    <w:pPr>
      <w:tabs>
        <w:tab w:val="center" w:pos="4680"/>
        <w:tab w:val="right" w:pos="9360"/>
      </w:tabs>
      <w:spacing w:line="240" w:lineRule="auto"/>
    </w:pPr>
  </w:style>
  <w:style w:type="character" w:customStyle="1" w:styleId="a4">
    <w:name w:val="页脚 字符"/>
    <w:basedOn w:val="a0"/>
    <w:link w:val="a3"/>
    <w:uiPriority w:val="99"/>
    <w:rsid w:val="00914C56"/>
    <w:rPr>
      <w:rFonts w:ascii="Arial" w:eastAsia="Arial" w:hAnsi="Arial" w:cs="Arial"/>
      <w:lang w:val="en" w:eastAsia="de-CH"/>
    </w:rPr>
  </w:style>
  <w:style w:type="character" w:styleId="a5">
    <w:name w:val="page number"/>
    <w:basedOn w:val="a0"/>
    <w:uiPriority w:val="99"/>
    <w:semiHidden/>
    <w:unhideWhenUsed/>
    <w:rsid w:val="00914C56"/>
  </w:style>
  <w:style w:type="character" w:styleId="a6">
    <w:name w:val="line number"/>
    <w:basedOn w:val="a0"/>
    <w:uiPriority w:val="99"/>
    <w:semiHidden/>
    <w:unhideWhenUsed/>
    <w:rsid w:val="00914C56"/>
  </w:style>
  <w:style w:type="paragraph" w:styleId="a7">
    <w:name w:val="header"/>
    <w:basedOn w:val="a"/>
    <w:link w:val="a8"/>
    <w:uiPriority w:val="99"/>
    <w:unhideWhenUsed/>
    <w:rsid w:val="00EA5D82"/>
    <w:pPr>
      <w:tabs>
        <w:tab w:val="center" w:pos="4153"/>
        <w:tab w:val="right" w:pos="8306"/>
      </w:tabs>
      <w:snapToGrid w:val="0"/>
      <w:spacing w:line="240" w:lineRule="auto"/>
      <w:jc w:val="center"/>
    </w:pPr>
    <w:rPr>
      <w:sz w:val="18"/>
      <w:szCs w:val="18"/>
    </w:rPr>
  </w:style>
  <w:style w:type="character" w:customStyle="1" w:styleId="a8">
    <w:name w:val="页眉 字符"/>
    <w:basedOn w:val="a0"/>
    <w:link w:val="a7"/>
    <w:uiPriority w:val="99"/>
    <w:rsid w:val="00EA5D82"/>
    <w:rPr>
      <w:rFonts w:ascii="Arial" w:eastAsia="Arial" w:hAnsi="Arial" w:cs="Arial"/>
      <w:sz w:val="18"/>
      <w:szCs w:val="18"/>
      <w:lang w:val="en"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D76252F6EC97BD48BFC15397CDF87BCA" ma:contentTypeVersion="14" ma:contentTypeDescription="Ein neues Dokument erstellen." ma:contentTypeScope="" ma:versionID="99bba3a2774fdba6befc8d470ad041a8">
  <xsd:schema xmlns:xsd="http://www.w3.org/2001/XMLSchema" xmlns:xs="http://www.w3.org/2001/XMLSchema" xmlns:p="http://schemas.microsoft.com/office/2006/metadata/properties" xmlns:ns3="892d8916-a04a-483c-b38c-baf9957a1c5f" xmlns:ns4="697eed72-5420-4f01-93c1-7c9f4310e871" targetNamespace="http://schemas.microsoft.com/office/2006/metadata/properties" ma:root="true" ma:fieldsID="08b8b0ba8c484102a3bbe13611225d97" ns3:_="" ns4:_="">
    <xsd:import namespace="892d8916-a04a-483c-b38c-baf9957a1c5f"/>
    <xsd:import namespace="697eed72-5420-4f01-93c1-7c9f4310e87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2d8916-a04a-483c-b38c-baf9957a1c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97eed72-5420-4f01-93c1-7c9f4310e871"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SharingHintHash" ma:index="20"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DA32DB-E5B8-4E32-AD11-08F2E668867B}">
  <ds:schemaRefs>
    <ds:schemaRef ds:uri="http://schemas.openxmlformats.org/officeDocument/2006/bibliography"/>
  </ds:schemaRefs>
</ds:datastoreItem>
</file>

<file path=customXml/itemProps2.xml><?xml version="1.0" encoding="utf-8"?>
<ds:datastoreItem xmlns:ds="http://schemas.openxmlformats.org/officeDocument/2006/customXml" ds:itemID="{9FB0931C-FCE2-4CC4-80DE-15614B41F1F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DF20111-77FD-4F18-8E31-D737874646AB}">
  <ds:schemaRefs>
    <ds:schemaRef ds:uri="http://schemas.microsoft.com/sharepoint/v3/contenttype/forms"/>
  </ds:schemaRefs>
</ds:datastoreItem>
</file>

<file path=customXml/itemProps4.xml><?xml version="1.0" encoding="utf-8"?>
<ds:datastoreItem xmlns:ds="http://schemas.openxmlformats.org/officeDocument/2006/customXml" ds:itemID="{A9898B61-61B7-44F1-9388-8B27875B1E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2d8916-a04a-483c-b38c-baf9957a1c5f"/>
    <ds:schemaRef ds:uri="697eed72-5420-4f01-93c1-7c9f4310e8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10</Pages>
  <Words>3329</Words>
  <Characters>20146</Characters>
  <Application>Microsoft Office Word</Application>
  <DocSecurity>0</DocSecurity>
  <Lines>839</Lines>
  <Paragraphs>330</Paragraphs>
  <ScaleCrop>false</ScaleCrop>
  <HeadingPairs>
    <vt:vector size="2" baseType="variant">
      <vt:variant>
        <vt:lpstr>Title</vt:lpstr>
      </vt:variant>
      <vt:variant>
        <vt:i4>1</vt:i4>
      </vt:variant>
    </vt:vector>
  </HeadingPairs>
  <TitlesOfParts>
    <vt:vector size="1" baseType="lpstr">
      <vt:lpstr/>
    </vt:vector>
  </TitlesOfParts>
  <Company>University of Bern</Company>
  <LinksUpToDate>false</LinksUpToDate>
  <CharactersWithSpaces>23145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Whitesell, Veronika (ISPM)</dc:creator>
  <cp:keywords/>
  <dc:description/>
  <cp:lastModifiedBy>江 李</cp:lastModifiedBy>
  <cp:revision>11</cp:revision>
  <cp:lastPrinted>2021-09-28T07:08:00Z</cp:lastPrinted>
  <dcterms:created xsi:type="dcterms:W3CDTF">2022-04-07T08:09:00Z</dcterms:created>
  <dcterms:modified xsi:type="dcterms:W3CDTF">2026-07-18T10:15:00Z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0x010100D76252F6EC97BD48BFC15397CDF87BCA</vt:lpwstr>
  </property>
  <property fmtid="{D5CDD505-2E9C-101B-9397-08002B2CF9AE}" pid="3" name="Mendeley Document_1">
    <vt:lpwstr>True</vt:lpwstr>
  </property>
  <property fmtid="{D5CDD505-2E9C-101B-9397-08002B2CF9AE}" pid="4" name="Mendeley Unique User Id_1">
    <vt:lpwstr>54eed440-5ecd-3ecc-9960-859334ccb0da</vt:lpwstr>
  </property>
  <property fmtid="{D5CDD505-2E9C-101B-9397-08002B2CF9AE}" pid="5" name="Mendeley Citation Style_1">
    <vt:lpwstr>http://www.zotero.org/styles/vancouver-superscript</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6th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http://www.zotero.org/styles/vancouver-imperial-college-london</vt:lpwstr>
  </property>
  <property fmtid="{D5CDD505-2E9C-101B-9397-08002B2CF9AE}" pid="21" name="Mendeley Recent Style Name 7_1">
    <vt:lpwstr>Imperial College London - Vancouver</vt:lpwstr>
  </property>
  <property fmtid="{D5CDD505-2E9C-101B-9397-08002B2CF9AE}" pid="22" name="Mendeley Recent Style Id 8_1">
    <vt:lpwstr>http://www.zotero.org/styles/vancouver</vt:lpwstr>
  </property>
  <property fmtid="{D5CDD505-2E9C-101B-9397-08002B2CF9AE}" pid="23" name="Mendeley Recent Style Name 8_1">
    <vt:lpwstr>Vancouver</vt:lpwstr>
  </property>
  <property fmtid="{D5CDD505-2E9C-101B-9397-08002B2CF9AE}" pid="24" name="Mendeley Recent Style Id 9_1">
    <vt:lpwstr>http://www.zotero.org/styles/vancouver-superscript</vt:lpwstr>
  </property>
  <property fmtid="{D5CDD505-2E9C-101B-9397-08002B2CF9AE}" pid="25" name="Mendeley Recent Style Name 9_1">
    <vt:lpwstr>Vancouver (superscript)</vt:lpwstr>
  </property>
</Properties>
</file>