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999" w:rsidRPr="002561A8" w:rsidRDefault="00001999" w:rsidP="00001999">
      <w:pPr>
        <w:pStyle w:val="Heading2"/>
      </w:pPr>
      <w:r w:rsidRPr="002561A8">
        <w:t>Supplementary data:</w:t>
      </w:r>
    </w:p>
    <w:p w:rsidR="00001999" w:rsidRPr="002561A8" w:rsidRDefault="00001999" w:rsidP="000019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61A8">
        <w:rPr>
          <w:rFonts w:ascii="Times New Roman" w:hAnsi="Times New Roman" w:cs="Times New Roman"/>
          <w:sz w:val="24"/>
          <w:szCs w:val="24"/>
        </w:rPr>
        <w:t>Supplementary Figure 1: Flowchart of the study</w:t>
      </w:r>
    </w:p>
    <w:p w:rsidR="00001999" w:rsidRPr="002561A8" w:rsidRDefault="00001999" w:rsidP="00001999">
      <w:pPr>
        <w:rPr>
          <w:rFonts w:ascii="Times New Roman" w:hAnsi="Times New Roman" w:cs="Times New Roman"/>
          <w:sz w:val="24"/>
          <w:szCs w:val="24"/>
        </w:rPr>
      </w:pPr>
      <w:r w:rsidRPr="002561A8"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  <w:drawing>
          <wp:inline distT="0" distB="0" distL="0" distR="0" wp14:anchorId="22AB232C" wp14:editId="1A7126C4">
            <wp:extent cx="5742000" cy="4640400"/>
            <wp:effectExtent l="0" t="0" r="0" b="0"/>
            <wp:docPr id="6" name="image4.png" descr="Une image contenant texte, capture d’écran, diagramme, Police  Le contenu généré par l’IA peut êtr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Une image contenant texte, capture d’écran, diagramme, Police  Le contenu généré par l’IA peut être incorrect.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2000" cy="4640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2561A8">
        <w:rPr>
          <w:rFonts w:ascii="Times New Roman" w:hAnsi="Times New Roman" w:cs="Times New Roman"/>
          <w:sz w:val="24"/>
          <w:szCs w:val="24"/>
        </w:rPr>
        <w:br w:type="page"/>
      </w:r>
    </w:p>
    <w:p w:rsidR="00001999" w:rsidRPr="002561A8" w:rsidRDefault="00001999" w:rsidP="000019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61A8">
        <w:rPr>
          <w:rFonts w:ascii="Times New Roman" w:hAnsi="Times New Roman" w:cs="Times New Roman"/>
          <w:sz w:val="24"/>
          <w:szCs w:val="24"/>
        </w:rPr>
        <w:lastRenderedPageBreak/>
        <w:t>Supplementary Figure 2: Characterization of epicardial adipose tissue volume</w:t>
      </w:r>
    </w:p>
    <w:p w:rsidR="00001999" w:rsidRPr="002561A8" w:rsidRDefault="00001999" w:rsidP="0000199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61A8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01E8EBE2" wp14:editId="5FAE018C">
            <wp:extent cx="5314655" cy="7225048"/>
            <wp:effectExtent l="0" t="0" r="0" b="0"/>
            <wp:docPr id="2" name="image3.png" descr="Une image contenant texte, capture d’écran, art  Le contenu généré par l’IA peut êtr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Une image contenant texte, capture d’écran, art  Le contenu généré par l’IA peut être incorrect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4655" cy="72250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01999" w:rsidRDefault="00001999" w:rsidP="00001999">
      <w:pPr>
        <w:rPr>
          <w:rFonts w:ascii="Times New Roman" w:hAnsi="Times New Roman" w:cs="Times New Roman"/>
          <w:sz w:val="24"/>
          <w:szCs w:val="24"/>
        </w:rPr>
      </w:pPr>
      <w:r w:rsidRPr="002561A8">
        <w:rPr>
          <w:rFonts w:ascii="Times New Roman" w:hAnsi="Times New Roman" w:cs="Times New Roman"/>
          <w:sz w:val="24"/>
          <w:szCs w:val="24"/>
        </w:rPr>
        <w:t>a: three-dimension reconstitution of epicardial adipose tissue; example of axial image before (b) and after (c) epicardial adipose tissue identification; example of coronal image before (d) and after (e) epicardial adipose tissue identification</w:t>
      </w:r>
    </w:p>
    <w:p w:rsidR="00001999" w:rsidRDefault="00001999" w:rsidP="000019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01999" w:rsidRPr="002561A8" w:rsidRDefault="00001999" w:rsidP="000019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61A8">
        <w:rPr>
          <w:rFonts w:ascii="Times New Roman" w:hAnsi="Times New Roman" w:cs="Times New Roman"/>
          <w:sz w:val="24"/>
          <w:szCs w:val="24"/>
        </w:rPr>
        <w:lastRenderedPageBreak/>
        <w:t>Supplementary Figure 3: Correlation between EAT volume and C-reactive protein level</w:t>
      </w:r>
    </w:p>
    <w:p w:rsidR="00001999" w:rsidRDefault="00001999" w:rsidP="00001999">
      <w:pPr>
        <w:spacing w:line="480" w:lineRule="auto"/>
        <w:ind w:left="567"/>
        <w:jc w:val="both"/>
        <w:rPr>
          <w:rFonts w:ascii="Times New Roman" w:hAnsi="Times New Roman" w:cs="Times New Roman"/>
          <w:sz w:val="24"/>
          <w:szCs w:val="24"/>
        </w:rPr>
        <w:sectPr w:rsidR="00001999" w:rsidSect="00A51302">
          <w:pgSz w:w="11906" w:h="16838"/>
          <w:pgMar w:top="1418" w:right="1418" w:bottom="1418" w:left="1418" w:header="709" w:footer="709" w:gutter="0"/>
          <w:lnNumType w:countBy="1" w:restart="continuous"/>
          <w:cols w:space="720"/>
        </w:sectPr>
      </w:pPr>
      <w:r>
        <w:rPr>
          <w:noProof/>
          <w:lang w:eastAsia="en-IN"/>
        </w:rPr>
        <w:drawing>
          <wp:inline distT="0" distB="0" distL="0" distR="0" wp14:anchorId="317E4226" wp14:editId="53BC7C47">
            <wp:extent cx="5759450" cy="4037512"/>
            <wp:effectExtent l="0" t="0" r="0" b="1270"/>
            <wp:docPr id="1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037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1999" w:rsidRDefault="00001999" w:rsidP="000019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Supplementary Table 1: Comparison of patients with type 2 diabetes who were included and excluded in the study</w:t>
      </w:r>
    </w:p>
    <w:tbl>
      <w:tblPr>
        <w:tblStyle w:val="Table"/>
        <w:tblW w:w="10587" w:type="dxa"/>
        <w:jc w:val="center"/>
        <w:tblLayout w:type="fixed"/>
        <w:tblLook w:val="0420" w:firstRow="1" w:lastRow="0" w:firstColumn="0" w:lastColumn="0" w:noHBand="0" w:noVBand="1"/>
      </w:tblPr>
      <w:tblGrid>
        <w:gridCol w:w="4443"/>
        <w:gridCol w:w="2239"/>
        <w:gridCol w:w="2166"/>
        <w:gridCol w:w="961"/>
        <w:gridCol w:w="778"/>
      </w:tblGrid>
      <w:tr w:rsidR="00001999" w:rsidRPr="000957F3" w:rsidTr="005D7D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4443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239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Excluded (N=156) </w:t>
            </w:r>
          </w:p>
        </w:tc>
        <w:tc>
          <w:tcPr>
            <w:tcW w:w="2166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Included (N=700) </w:t>
            </w:r>
          </w:p>
        </w:tc>
        <w:tc>
          <w:tcPr>
            <w:tcW w:w="961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 p  </w:t>
            </w:r>
          </w:p>
        </w:tc>
        <w:tc>
          <w:tcPr>
            <w:tcW w:w="778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N 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Age (years)</w:t>
            </w:r>
          </w:p>
        </w:tc>
        <w:tc>
          <w:tcPr>
            <w:tcW w:w="2239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61.0 [55.0;66.5] </w:t>
            </w:r>
          </w:p>
        </w:tc>
        <w:tc>
          <w:tcPr>
            <w:tcW w:w="2166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61.0 [54.0;68.0] </w:t>
            </w:r>
          </w:p>
        </w:tc>
        <w:tc>
          <w:tcPr>
            <w:tcW w:w="961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0.886</w:t>
            </w:r>
          </w:p>
        </w:tc>
        <w:tc>
          <w:tcPr>
            <w:tcW w:w="778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856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Sex (Female):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73 (45.6%) 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332 (47.4%) 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0.746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856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Body mass index (kg/m²)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28.9 [26.0;33.0]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29.0 [26.0;33.6]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0.486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846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Ethnicity: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             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             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0.105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854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 Asiatic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22 (13.8%)  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94 (13.5%)  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  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 Caucasian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50 (31.4%)  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177 (25.4%)  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  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 North African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49 (30.8%)   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256 (36.7%)  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  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 Other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 0 (0.0%)    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 17 (2.4%)   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  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 Sub-Sahara African/Antilles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38 (23.9%)   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154 (22.1%)  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  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Diabetes duration (years)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13.0 [7.0;18.5]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14.0 [8.0;20.0]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0.289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850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HbA1c (%)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7.8 [7.0;9.6] 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8.3 [7.1;9.8] 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0.116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773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Epicardial adipose tissue volume (cm³)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88.4 [68.7;116.7]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92.6 [69.4;120.8]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0.201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856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Hypertension: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108 (67.5%)  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477 (68.4%)  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0.892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856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Dyslipidemia: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112 (70.4%)  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465 (66.7%)  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0.418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856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Diabetes related treatments: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             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             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 Sulfonylurea or glinides: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73 (45.6%)   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324 (46.4%)  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0.925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854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 Metformin: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124 (77.5%)  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562 (80.4%)  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0.474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855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 Glucagon-like peptide 1 receptor agonist: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57 (35.6%)   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171 (24.5%)  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855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 Sodium-glucose cotransporter-2 inhibitor: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 7 (4.4%)    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 17 (2.4%)   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0.185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855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Estimated glomerular filtration rate (mL/min/1.73m²)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90.9 [70.1;105.6]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94.0 [76.0;107.8]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0.201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848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Albumin-creatinine ratio (mg/mmol)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4.2 [1.4;20.2] 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1.6 [0.5;6.3] 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0.157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707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Neuropathy: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85 (53.8%)   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338 (49.0%)  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0.316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846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Retinopathy: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58 (36.9%)   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273 (39.7%)  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0.587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844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Macroangiopathy: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24 (15.0%)   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109 (15.6%)  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0.936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853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ACE inhibitor or ARB: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101 (63.1%)  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430 (61.6%)  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0.790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854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Current smoking: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17 (14.9%)   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73 (13.7%)   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0.860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645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C-reactive protein (mg/L)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3.0 [1.0;5.0] 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3.0 [1.0;5.0] 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0.947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826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Coronary artery calcium score (AU)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10.9 [0.0;150.5]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21.0 [0.0;196.5]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0.444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855</w:t>
            </w:r>
          </w:p>
        </w:tc>
      </w:tr>
      <w:tr w:rsidR="00001999" w:rsidRPr="000957F3" w:rsidTr="005D7D5A">
        <w:trPr>
          <w:jc w:val="center"/>
        </w:trPr>
        <w:tc>
          <w:tcPr>
            <w:tcW w:w="44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Coronary artery calcium score &gt; 100 AU: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49 (31.0%)    </w:t>
            </w: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 239 (34.3%)   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0.481</w:t>
            </w:r>
          </w:p>
        </w:tc>
        <w:tc>
          <w:tcPr>
            <w:tcW w:w="7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D2D2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Pr="000957F3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957F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852</w:t>
            </w:r>
          </w:p>
        </w:tc>
      </w:tr>
    </w:tbl>
    <w:p w:rsidR="00001999" w:rsidRPr="00250589" w:rsidRDefault="00001999" w:rsidP="0000199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  <w:sectPr w:rsidR="00001999" w:rsidRPr="00250589">
          <w:pgSz w:w="11906" w:h="16838"/>
          <w:pgMar w:top="1417" w:right="1417" w:bottom="1417" w:left="1417" w:header="708" w:footer="708" w:gutter="0"/>
          <w:lnNumType w:countBy="1" w:restart="continuous"/>
          <w:cols w:space="720"/>
        </w:sectPr>
      </w:pPr>
      <w:r w:rsidRPr="002561A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Data are presented as the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median +- </w:t>
      </w:r>
      <w:r w:rsidRPr="00452E7C">
        <w:rPr>
          <w:rFonts w:ascii="Times New Roman" w:eastAsia="Times New Roman" w:hAnsi="Times New Roman" w:cs="Times New Roman"/>
          <w:i/>
          <w:iCs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IQR25; IQR75</w:t>
      </w:r>
      <w:r w:rsidRPr="00452E7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] </w:t>
      </w:r>
      <w:r w:rsidRPr="002561A8">
        <w:rPr>
          <w:rFonts w:ascii="Times New Roman" w:eastAsia="Times New Roman" w:hAnsi="Times New Roman" w:cs="Times New Roman"/>
          <w:i/>
          <w:iCs/>
          <w:sz w:val="24"/>
          <w:szCs w:val="24"/>
        </w:rPr>
        <w:t>or n (%).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ACE: </w:t>
      </w:r>
      <w:r w:rsidRPr="002561A8">
        <w:rPr>
          <w:rFonts w:ascii="Times New Roman" w:eastAsia="Times New Roman" w:hAnsi="Times New Roman" w:cs="Times New Roman"/>
          <w:i/>
          <w:iCs/>
          <w:sz w:val="24"/>
          <w:szCs w:val="24"/>
        </w:rPr>
        <w:t>Angiotensin-converting-enzyme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ARB: </w:t>
      </w:r>
      <w:r w:rsidRPr="00933D06">
        <w:rPr>
          <w:rFonts w:ascii="Times New Roman" w:eastAsia="Times New Roman" w:hAnsi="Times New Roman" w:cs="Times New Roman"/>
          <w:i/>
          <w:iCs/>
          <w:sz w:val="24"/>
          <w:szCs w:val="24"/>
        </w:rPr>
        <w:t>angiotensin II receptor blocker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r w:rsidRPr="002561A8">
        <w:rPr>
          <w:rFonts w:ascii="Times New Roman" w:eastAsia="Times New Roman" w:hAnsi="Times New Roman" w:cs="Times New Roman"/>
          <w:i/>
          <w:iCs/>
          <w:sz w:val="24"/>
          <w:szCs w:val="24"/>
        </w:rPr>
        <w:t>AU: Agatston unit.</w:t>
      </w:r>
    </w:p>
    <w:p w:rsidR="00001999" w:rsidRPr="002561A8" w:rsidRDefault="00001999" w:rsidP="000019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61A8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561A8">
        <w:rPr>
          <w:rFonts w:ascii="Times New Roman" w:hAnsi="Times New Roman" w:cs="Times New Roman"/>
          <w:sz w:val="24"/>
          <w:szCs w:val="24"/>
        </w:rPr>
        <w:t>: Patient characteristics according to glomerular filtration rate classes</w:t>
      </w:r>
    </w:p>
    <w:tbl>
      <w:tblPr>
        <w:tblW w:w="12195" w:type="dxa"/>
        <w:jc w:val="center"/>
        <w:tblLayout w:type="fixed"/>
        <w:tblLook w:val="0000" w:firstRow="0" w:lastRow="0" w:firstColumn="0" w:lastColumn="0" w:noHBand="0" w:noVBand="0"/>
      </w:tblPr>
      <w:tblGrid>
        <w:gridCol w:w="3827"/>
        <w:gridCol w:w="1985"/>
        <w:gridCol w:w="1985"/>
        <w:gridCol w:w="2126"/>
        <w:gridCol w:w="911"/>
        <w:gridCol w:w="365"/>
        <w:gridCol w:w="853"/>
        <w:gridCol w:w="143"/>
      </w:tblGrid>
      <w:tr w:rsidR="00001999" w:rsidRPr="00664EF5" w:rsidTr="005D7D5A">
        <w:trPr>
          <w:trHeight w:val="568"/>
          <w:jc w:val="center"/>
        </w:trPr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bookmarkStart w:id="0" w:name="_uf6zv62j1bsv" w:colFirst="0" w:colLast="0"/>
            <w:bookmarkEnd w:id="0"/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Total</w:t>
            </w:r>
          </w:p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=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1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  <w:t xml:space="preserve">≥ 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60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mL/min/1.73m²</w:t>
            </w:r>
          </w:p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2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=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613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2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&lt; 60 mL/min/1.73m²</w:t>
            </w:r>
          </w:p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2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=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87</w:t>
            </w:r>
          </w:p>
        </w:tc>
        <w:tc>
          <w:tcPr>
            <w:tcW w:w="911" w:type="dxa"/>
            <w:tcBorders>
              <w:top w:val="single" w:sz="4" w:space="0" w:color="000000"/>
              <w:bottom w:val="single" w:sz="4" w:space="0" w:color="000000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/>
              <w:ind w:left="4"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/>
              <w:ind w:left="36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Available data</w:t>
            </w:r>
          </w:p>
        </w:tc>
      </w:tr>
      <w:tr w:rsidR="00001999" w:rsidRPr="00664EF5" w:rsidTr="005D7D5A">
        <w:trPr>
          <w:trHeight w:val="216"/>
          <w:jc w:val="center"/>
        </w:trPr>
        <w:tc>
          <w:tcPr>
            <w:tcW w:w="3827" w:type="dxa"/>
            <w:tcBorders>
              <w:top w:val="single" w:sz="4" w:space="0" w:color="000000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6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Age (years)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60.3 ±10.4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"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59.3 ±10.1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67.0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±9.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11" w:type="dxa"/>
            <w:tcBorders>
              <w:top w:val="single" w:sz="4" w:space="0" w:color="000000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&lt;0.001 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36"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700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Sex (F)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332 (47.4%)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283 (46.2%)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9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(5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097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36"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700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Body mass index (kg/m²)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30.2 ±6.0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29.8 ±5.8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32.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±7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.2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0.00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36"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690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  <w:vAlign w:val="center"/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Body mass index status: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178" w:lineRule="auto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056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178" w:lineRule="auto"/>
              <w:ind w:left="4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690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19" w:right="-2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  <w:t xml:space="preserve">&lt; 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25 kg/m²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123 (17.8%)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114 (18.9%)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9 (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10.3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178" w:lineRule="auto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178" w:lineRule="auto"/>
              <w:ind w:left="4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19"/>
              <w:jc w:val="right"/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25–29.9 kg/m²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258 (37.4%)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228 (37.8%)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30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34.5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178" w:lineRule="auto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178" w:lineRule="auto"/>
              <w:ind w:left="4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518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  <w:t xml:space="preserve">≥ 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30 kg/m²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309 (44.8%)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261 (43.3%)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48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(5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5.2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220" w:right="2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220" w:right="2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01999" w:rsidRPr="00664EF5" w:rsidTr="005D7D5A">
        <w:trPr>
          <w:trHeight w:val="217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78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Origin: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78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 0.022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78" w:lineRule="auto"/>
              <w:ind w:left="36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 698</w:t>
            </w:r>
          </w:p>
        </w:tc>
      </w:tr>
      <w:tr w:rsidR="00001999" w:rsidRPr="00664EF5" w:rsidTr="005D7D5A">
        <w:trPr>
          <w:trHeight w:val="217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78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North African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256 (36.7%)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223 (36.5%)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37.9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78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78" w:lineRule="auto"/>
              <w:ind w:left="36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01999" w:rsidRPr="00664EF5" w:rsidTr="005D7D5A">
        <w:trPr>
          <w:trHeight w:val="217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78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Caucasian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177 (25.4%)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151 (24.7%)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26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29.9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78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78" w:lineRule="auto"/>
              <w:ind w:left="36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01999" w:rsidRPr="00664EF5" w:rsidTr="005D7D5A">
        <w:trPr>
          <w:trHeight w:val="217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78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Sub-Sahara African/Antilles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154 (22.1%)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130 (21.3%)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27.6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78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78" w:lineRule="auto"/>
              <w:ind w:left="36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01999" w:rsidRPr="00664EF5" w:rsidTr="005D7D5A">
        <w:trPr>
          <w:trHeight w:val="217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78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Asiatic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94 (13.5%)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90 (14.7%)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4.6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78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78" w:lineRule="auto"/>
              <w:ind w:left="36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01999" w:rsidRPr="00664EF5" w:rsidTr="005D7D5A">
        <w:trPr>
          <w:trHeight w:val="217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78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17 (2.4%)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17 (2.8%)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 (0.0%)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78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78" w:lineRule="auto"/>
              <w:ind w:left="36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01999" w:rsidRPr="00664EF5" w:rsidTr="005D7D5A">
        <w:trPr>
          <w:trHeight w:val="260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line="200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Diabetes duration (years)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14.6 ±9.6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"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14.0 ±9.3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9.3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±10.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17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&lt;0.001  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20"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693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Hemoglobin A1c (%)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8.7 ±2.1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"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8.7 ±2.1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8.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±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028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20"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41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Diabetes-related treatments: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20"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Sulfonylurea or glinides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324 (46.4%)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295 (48.3%)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9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33.3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012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698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Metformin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562 (80.4%)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505 (82.5%)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65.5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17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  <w:t>&lt;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699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Di-peptidyl-peptidase 4 inhibitor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202 (28.9%)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181 (29.6%)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21 (2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4.1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357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20"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699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lastRenderedPageBreak/>
              <w:t>Alpha-glucosidase inhibitor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17 (2.4%)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16 (2.6%)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1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 (1.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1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0.710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20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699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Glucagon-like peptide 1 receptor agonists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1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171 (24.5%)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158 (25.8%)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1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(14.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9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20" w:right="1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699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Sodium-glucose cotransporter-2 inhibitor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17 (2.4%)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12 (2.0%)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 (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5.7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699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Insulin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379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(5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.1%)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327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(5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52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(5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9.8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312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20"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700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Estimated glomerular filtration rate (mL/min/1.73m²)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91.7 ±26.5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"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98.2 ±21.1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±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11.3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17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&lt;0.001  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20"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700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19" w:right="242"/>
              <w:rPr>
                <w:rFonts w:ascii="Times New Roman" w:eastAsia="Cambria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  <w:lang w:val="it-IT"/>
              </w:rPr>
              <w:t>Albuminuria / creatininuria ratio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  <w:lang w:val="it-IT"/>
              </w:rPr>
              <w:t xml:space="preserve"> 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  <w:lang w:val="it-IT"/>
              </w:rPr>
              <w:t>(mg/mmol)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13.3 ±43.8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"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8.5 ±29.8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47.1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±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89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00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&lt;0.001  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20"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700</w:t>
            </w:r>
          </w:p>
        </w:tc>
      </w:tr>
      <w:tr w:rsidR="00001999" w:rsidRPr="00664EF5" w:rsidTr="005D7D5A">
        <w:trPr>
          <w:trHeight w:val="217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78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Retinopathy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78" w:lineRule="auto"/>
              <w:ind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273 (39.7%)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78" w:lineRule="auto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233 (38.6%)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78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40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(47.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688</w:t>
            </w:r>
          </w:p>
        </w:tc>
      </w:tr>
      <w:tr w:rsidR="00001999" w:rsidRPr="00664EF5" w:rsidTr="005D7D5A">
        <w:trPr>
          <w:trHeight w:val="260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line="200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Neuropathy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line="200" w:lineRule="auto"/>
              <w:ind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338 (49.0%)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line="200" w:lineRule="auto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290 (48.1%)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line="200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8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(5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line="200" w:lineRule="auto"/>
              <w:ind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263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line="200" w:lineRule="auto"/>
              <w:ind w:left="220"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690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Macroangiopathy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5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109 (15.6%)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88 (14.4%)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21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(24.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right="5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20" w:right="5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697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Family history of premature coronary artery disease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53 (10.8%)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48 (11.2%)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 (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8.3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657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489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477 (68.4%)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392 (64.3%)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85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(97.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  <w:t>&lt;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697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Systolic blood pressure (mmHg)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135.2 ±17.1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134.7 ±16.7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138.9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±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19.3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64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654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Diastolic blood pressure (mmHg)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76.9 ±12.5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77.4 ±12.4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73.2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±12.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05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654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Hypertension-related treatments: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ACE inhibitor or 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ARB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430 (61.6%)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353 (57.8%)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77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(8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8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  <w:t>&lt;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698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Beta blocker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115 (16.5%)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79 (12.9%)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(41.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  <w:t>&lt;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698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Calcium channel inhibitor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203 (29.1%)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156 (25.5%)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47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54.0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  <w:t>&lt;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698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Furosemide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24 (4.5%)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13 (2.8%)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11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18.3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  <w:t>&lt;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531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Spironolactone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15 (2.8%)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8 (1.7%)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 (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11.7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531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Other diuretics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271 (38.8%)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215 (35.2%)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56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(64.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  <w:t>&lt;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698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Other antihypertensives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108 (15.5%)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74 (12.1%)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34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39.1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  <w:t>&lt;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698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lastRenderedPageBreak/>
              <w:t>Dyslipidemia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465 (66.7%)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394 (64.6%)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71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81.6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0.00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697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Total cholesterol (mmol/L)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4.2 ±1.1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4.2 ±1.2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4.2 ±1.1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789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690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HDL cholesterol (mmol/L)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1.2 ±0.3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1.2 ±0.3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1.2 ±0.4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414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693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Triglycerides (mmol/L)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1.7 ±1.1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1.7 ±1.1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1.8 ±1.0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46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5  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693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LDL cholesterol (mmol/L)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2.3 ±0.9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2.3 ±1.0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2.1 ±0.9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129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685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Dyslipidemia-related treatments: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Statin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437 (62.6%)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371 (60.7%)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66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75.9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698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Fibrate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23 (3.3%)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20 (3.3%)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3.4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698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Ezetimibe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31 (4.4%)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23 (3.8%)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(9.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0.04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698</w:t>
            </w:r>
          </w:p>
        </w:tc>
      </w:tr>
      <w:tr w:rsidR="00001999" w:rsidRPr="007A67DC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7A67DC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 w:rsidRPr="007A67DC">
              <w:rPr>
                <w:rFonts w:ascii="Times New Roman" w:eastAsia="Cambria" w:hAnsi="Times New Roman" w:cs="Times New Roman"/>
                <w:sz w:val="18"/>
                <w:szCs w:val="18"/>
              </w:rPr>
              <w:t>Current smoking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7A67DC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 w:rsidRPr="007A67DC">
              <w:rPr>
                <w:rFonts w:ascii="Times New Roman" w:eastAsia="Cambria" w:hAnsi="Times New Roman" w:cs="Times New Roman"/>
                <w:sz w:val="18"/>
                <w:szCs w:val="18"/>
              </w:rPr>
              <w:t>103 (14.8%)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7A67DC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 w:rsidRPr="007A67DC">
              <w:rPr>
                <w:rFonts w:ascii="Times New Roman" w:eastAsia="Cambria" w:hAnsi="Times New Roman" w:cs="Times New Roman"/>
                <w:sz w:val="18"/>
                <w:szCs w:val="18"/>
              </w:rPr>
              <w:t>100 (16.4%)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7A67DC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 w:rsidRPr="007A67DC">
              <w:rPr>
                <w:rFonts w:ascii="Times New Roman" w:eastAsia="Cambria" w:hAnsi="Times New Roman" w:cs="Times New Roman"/>
                <w:sz w:val="18"/>
                <w:szCs w:val="18"/>
              </w:rPr>
              <w:t>2 (2.7%)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7A67DC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 w:rsidRPr="007A67DC">
              <w:rPr>
                <w:rFonts w:ascii="Times New Roman" w:eastAsia="Cambria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7A67DC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 w:rsidRPr="007A67DC">
              <w:rPr>
                <w:rFonts w:ascii="Times New Roman" w:eastAsia="Cambria" w:hAnsi="Times New Roman" w:cs="Times New Roman"/>
                <w:sz w:val="18"/>
                <w:szCs w:val="18"/>
              </w:rPr>
              <w:t>694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C-reactive protein (mg/L)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6.5 ±19.4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6.7 ±20.6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.1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±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7.1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173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675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Epicardial adipose tissue (cm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  <w:vertAlign w:val="superscript"/>
              </w:rPr>
              <w:t>3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98.0 ±38.4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96.6 ±38.1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107.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±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39.2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012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700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Coronary artery calcium score (AU)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193.4 ±438.6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173.4 ±394.4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33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±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658.0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28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699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7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Coronary artery calcium score &gt; 100 AU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239 (34.3%)</w:t>
            </w:r>
          </w:p>
        </w:tc>
        <w:tc>
          <w:tcPr>
            <w:tcW w:w="1985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195 (32.0%)</w:t>
            </w:r>
          </w:p>
        </w:tc>
        <w:tc>
          <w:tcPr>
            <w:tcW w:w="2126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44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50.6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1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0.00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61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220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696</w:t>
            </w:r>
          </w:p>
        </w:tc>
      </w:tr>
      <w:tr w:rsidR="00001999" w:rsidRPr="00664EF5" w:rsidTr="005D7D5A">
        <w:trPr>
          <w:gridAfter w:val="1"/>
          <w:wAfter w:w="143" w:type="dxa"/>
          <w:trHeight w:val="279"/>
          <w:jc w:val="center"/>
        </w:trPr>
        <w:tc>
          <w:tcPr>
            <w:tcW w:w="3827" w:type="dxa"/>
            <w:tcBorders>
              <w:top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41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65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1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7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86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001999" w:rsidRPr="002561A8" w:rsidRDefault="00001999" w:rsidP="0000199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561A8">
        <w:rPr>
          <w:rFonts w:ascii="Times New Roman" w:eastAsia="Times New Roman" w:hAnsi="Times New Roman" w:cs="Times New Roman"/>
          <w:i/>
          <w:iCs/>
          <w:sz w:val="24"/>
          <w:szCs w:val="24"/>
        </w:rPr>
        <w:t>Data are presented as the mean ± standard deviation or n (%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). </w:t>
      </w:r>
      <w:r w:rsidRPr="002561A8">
        <w:rPr>
          <w:rFonts w:ascii="Times New Roman" w:eastAsia="Times New Roman" w:hAnsi="Times New Roman" w:cs="Times New Roman"/>
          <w:i/>
          <w:iCs/>
          <w:sz w:val="24"/>
          <w:szCs w:val="24"/>
        </w:rPr>
        <w:t>ACE: Angiotensin-converting-enzyme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ARB: </w:t>
      </w:r>
      <w:r w:rsidRPr="00466D0A">
        <w:rPr>
          <w:rFonts w:ascii="Times New Roman" w:eastAsia="Times New Roman" w:hAnsi="Times New Roman" w:cs="Times New Roman"/>
          <w:i/>
          <w:iCs/>
          <w:sz w:val="24"/>
          <w:szCs w:val="24"/>
        </w:rPr>
        <w:t>angiotensin II receptor blocker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r w:rsidRPr="002561A8">
        <w:rPr>
          <w:rFonts w:ascii="Times New Roman" w:eastAsia="Times New Roman" w:hAnsi="Times New Roman" w:cs="Times New Roman"/>
          <w:i/>
          <w:iCs/>
          <w:sz w:val="24"/>
          <w:szCs w:val="24"/>
        </w:rPr>
        <w:t>AU: Agatston unit</w:t>
      </w:r>
    </w:p>
    <w:p w:rsidR="00001999" w:rsidRDefault="00001999" w:rsidP="0000199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561A8">
        <w:rPr>
          <w:rFonts w:ascii="Times New Roman" w:eastAsia="Times New Roman" w:hAnsi="Times New Roman" w:cs="Times New Roman"/>
          <w:i/>
          <w:iCs/>
          <w:sz w:val="24"/>
          <w:szCs w:val="24"/>
        </w:rPr>
        <w:t>p-value: comparison between the three classes</w:t>
      </w:r>
    </w:p>
    <w:p w:rsidR="00001999" w:rsidRPr="002561A8" w:rsidRDefault="00001999" w:rsidP="0000199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  <w:sectPr w:rsidR="00001999" w:rsidRPr="002561A8">
          <w:pgSz w:w="16838" w:h="11906" w:orient="landscape"/>
          <w:pgMar w:top="1418" w:right="1418" w:bottom="1418" w:left="1418" w:header="709" w:footer="709" w:gutter="0"/>
          <w:lnNumType w:countBy="1" w:restart="continuous"/>
          <w:cols w:space="720"/>
        </w:sectPr>
      </w:pPr>
    </w:p>
    <w:p w:rsidR="00001999" w:rsidRPr="002561A8" w:rsidRDefault="00001999" w:rsidP="000019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61A8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561A8">
        <w:rPr>
          <w:rFonts w:ascii="Times New Roman" w:hAnsi="Times New Roman" w:cs="Times New Roman"/>
          <w:sz w:val="24"/>
          <w:szCs w:val="24"/>
        </w:rPr>
        <w:t>: Patient characteristics according to albuminuria/creatininuria ratio classes</w:t>
      </w:r>
    </w:p>
    <w:tbl>
      <w:tblPr>
        <w:tblW w:w="12333" w:type="dxa"/>
        <w:jc w:val="center"/>
        <w:tblLayout w:type="fixed"/>
        <w:tblLook w:val="0000" w:firstRow="0" w:lastRow="0" w:firstColumn="0" w:lastColumn="0" w:noHBand="0" w:noVBand="0"/>
      </w:tblPr>
      <w:tblGrid>
        <w:gridCol w:w="3828"/>
        <w:gridCol w:w="1984"/>
        <w:gridCol w:w="1560"/>
        <w:gridCol w:w="1559"/>
        <w:gridCol w:w="1559"/>
        <w:gridCol w:w="910"/>
        <w:gridCol w:w="933"/>
      </w:tblGrid>
      <w:tr w:rsidR="00001999" w:rsidRPr="00664EF5" w:rsidTr="005D7D5A">
        <w:trPr>
          <w:trHeight w:val="460"/>
          <w:jc w:val="center"/>
        </w:trPr>
        <w:tc>
          <w:tcPr>
            <w:tcW w:w="3828" w:type="dxa"/>
            <w:tcBorders>
              <w:top w:val="single" w:sz="4" w:space="0" w:color="000000"/>
              <w:bottom w:val="single" w:sz="4" w:space="0" w:color="000000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10" w:lineRule="auto"/>
              <w:ind w:left="-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Total</w:t>
            </w:r>
          </w:p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after="120"/>
              <w:ind w:left="-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N=700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10" w:lineRule="auto"/>
              <w:ind w:left="1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&lt;3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mg/mmol</w:t>
            </w:r>
          </w:p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after="120"/>
              <w:ind w:left="2" w:right="2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N=442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10" w:lineRule="auto"/>
              <w:ind w:left="79" w:right="5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 – 29.9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mg/mmol</w:t>
            </w:r>
          </w:p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after="120"/>
              <w:ind w:left="79"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N=197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10" w:lineRule="auto"/>
              <w:ind w:right="175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≥ 30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mg/mmol</w:t>
            </w:r>
          </w:p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10" w:lineRule="auto"/>
              <w:ind w:right="175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N=61</w:t>
            </w:r>
          </w:p>
        </w:tc>
        <w:tc>
          <w:tcPr>
            <w:tcW w:w="910" w:type="dxa"/>
            <w:tcBorders>
              <w:top w:val="single" w:sz="4" w:space="0" w:color="000000"/>
              <w:bottom w:val="single" w:sz="4" w:space="0" w:color="000000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 w:after="120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933" w:type="dxa"/>
            <w:tcBorders>
              <w:top w:val="single" w:sz="4" w:space="0" w:color="000000"/>
              <w:bottom w:val="single" w:sz="4" w:space="0" w:color="000000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 w:after="120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Available data</w:t>
            </w:r>
          </w:p>
        </w:tc>
      </w:tr>
      <w:tr w:rsidR="00001999" w:rsidRPr="00664EF5" w:rsidTr="005D7D5A">
        <w:trPr>
          <w:trHeight w:val="245"/>
          <w:jc w:val="center"/>
        </w:trPr>
        <w:tc>
          <w:tcPr>
            <w:tcW w:w="3828" w:type="dxa"/>
            <w:tcBorders>
              <w:top w:val="single" w:sz="4" w:space="0" w:color="000000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6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Age (years)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60.3 ±10.4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59.5 ±10.5    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61.6 ±9.8   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 w:right="197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61.6 ±11.5   </w:t>
            </w:r>
          </w:p>
        </w:tc>
        <w:tc>
          <w:tcPr>
            <w:tcW w:w="910" w:type="dxa"/>
            <w:tcBorders>
              <w:top w:val="single" w:sz="4" w:space="0" w:color="000000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8"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0.04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933" w:type="dxa"/>
            <w:tcBorders>
              <w:top w:val="single" w:sz="4" w:space="0" w:color="000000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3"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700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Sex (F)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332 (47.4%)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228 (51.6%)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79 (40.1%)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25 (41.0%)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8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700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19" w:right="1381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Body mass index (kg/m²) 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30.2 ±6.0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30.3±6.2  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29.9 ±5.7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30.4 ±6.1   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8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686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690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19" w:right="1381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Body mass index status: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00" w:lineRule="auto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0.746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00" w:lineRule="auto"/>
              <w:ind w:left="3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690</w:t>
            </w:r>
          </w:p>
        </w:tc>
      </w:tr>
      <w:tr w:rsidR="00001999" w:rsidRPr="00664EF5" w:rsidTr="005D7D5A">
        <w:trPr>
          <w:trHeight w:val="237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left="518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  <w:t xml:space="preserve">&lt; 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25 kg/m²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123 (17.8%)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76 (17.4%)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36 (18.7%)</w:t>
            </w:r>
          </w:p>
        </w:tc>
        <w:tc>
          <w:tcPr>
            <w:tcW w:w="3402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11 (18.6%)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518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25–29.9 kg/m²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258 (37.4%)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164 (37.4%)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76 (39.4%)</w:t>
            </w:r>
          </w:p>
        </w:tc>
        <w:tc>
          <w:tcPr>
            <w:tcW w:w="3402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18 (30.5%)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518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  <w:t xml:space="preserve">≥ 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30 kg/m²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309 (44.8%)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198 (45.2%)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81 (42.0%)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30 (50.8%)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98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Origin: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98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98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698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518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North African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256 (36.7%)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162 (36.8%)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68 (34.5%)</w:t>
            </w:r>
          </w:p>
        </w:tc>
        <w:tc>
          <w:tcPr>
            <w:tcW w:w="3402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26 (42.6%)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518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Caucasian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177 (25.4%)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107 (24.3%)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57 (28.9%)</w:t>
            </w:r>
          </w:p>
        </w:tc>
        <w:tc>
          <w:tcPr>
            <w:tcW w:w="3402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13 (21.3%)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518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Sub-Sahara African/Antilles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 w:right="5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154 (22.1%)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114 (25.9%)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 w:right="5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29 (14.7%)</w:t>
            </w:r>
          </w:p>
        </w:tc>
        <w:tc>
          <w:tcPr>
            <w:tcW w:w="3402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11 (18.0%)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518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Asiatic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 w:right="5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94 (13.5%)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49 (11.1%)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 w:right="5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34 (17.3%)</w:t>
            </w:r>
          </w:p>
        </w:tc>
        <w:tc>
          <w:tcPr>
            <w:tcW w:w="3402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11 (18.0%)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518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17 (2.4%)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8 (1.8%)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 w:right="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9 (4.6%)</w:t>
            </w:r>
          </w:p>
        </w:tc>
        <w:tc>
          <w:tcPr>
            <w:tcW w:w="3402" w:type="dxa"/>
            <w:gridSpan w:val="3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 (0.0%)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Diabetes duration (years)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14.6 ±9.6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13.7 ±9.3  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15.4 ±9.2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19.0 ±11.3   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17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&lt;0.001  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693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Hemoglobin A1c (%)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8.7 ±2.1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8.5 ±2.0  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9.0 ±2.2 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8.8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±2.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   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C97F5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8" w:right="4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 w:rsidRPr="00C97F5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0.012  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3"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41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Diabetes-related treatment: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8"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3"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Sulfonylurea or glinides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324 (46.4%)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206 (46.7%)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100 (51.0%)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18 (29.5%)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698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Metformin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562 (80.4%)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362 (82.1%)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 w:right="5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160 (81.2%)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40 (65.6%)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8"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3"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699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Di-peptidyl-peptidase 4 inhibitor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202 (28.9%)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125 (28.3%)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 w:right="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67 (34.0%)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10 (16.4%)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8"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3" w:right="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699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Alpha-glucosidase inhibitor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17 (2.4%)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11 (2.5%)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 (2.5%)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 (1.6%)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8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3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699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lastRenderedPageBreak/>
              <w:t>Glucagon-like peptide 1 receptor agonists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 w:right="1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171 (24.5%)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119 (27.0%)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 w:right="2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45 (22.8%)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 (11.5%)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8" w:right="1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0.025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699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Sodium-glucose cotransporter-2 inhibitor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17 (2.4%)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8 (1.8%)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 (3.0%)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 (4.9%)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0.179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699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Insulin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379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(5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234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52.9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 w:right="5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102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(5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.8%)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43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70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8"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026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3"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700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Estimated glomerular filtration rate (mL/min/1.73m²)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91.7 ±26.5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94.4 ±24.4 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90.9 ±27.1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 w:right="248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74.8 ±32.3   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17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&lt;0.001  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700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  <w:lang w:val="it-IT"/>
              </w:rPr>
              <w:t>Albuminuria / creatininuria ratio (mg/mmol)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13.3 ±43.8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0.9 ±0.8  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8.9 ±6.0 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 w:right="248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117.5 ±100.1  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17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&lt;0.001  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700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98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Retinopathy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98" w:lineRule="auto"/>
              <w:ind w:left="-2"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273 (39.7%)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98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154 (35.3%)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98" w:lineRule="auto"/>
              <w:ind w:left="219" w:right="5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81 (42.4%)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98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38 (62.3%)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  <w:t>&lt;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688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Neuropathy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338 (49.0%)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204 (46.5%)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 w:right="5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104 (54.7%)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30 (49.2%)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8"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0.163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3" w:right="4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690</w:t>
            </w:r>
          </w:p>
        </w:tc>
      </w:tr>
      <w:tr w:rsidR="00001999" w:rsidRPr="00664EF5" w:rsidTr="005D7D5A">
        <w:trPr>
          <w:trHeight w:val="239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Macroangiopathy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-2" w:right="5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109 (15.6%)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57 (12.9%)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219" w:right="5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41 (21.0%)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11 (18.0%)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8" w:right="5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0.030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00" w:lineRule="auto"/>
              <w:ind w:left="43" w:right="5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697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Family history of premature coronary artery disease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-2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53 (10.8%)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36 (11.5%)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14 (10.2%)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 (7.5%)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0.803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489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477 (68.4%)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270 (61.5%)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155 (78.7%)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52 (85.2%)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  <w:t>&lt;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697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Systolic blood pressure (mmHg)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135.2 ±17.1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133.4 ±16.9 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137.6 ±17.5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140.0 ±15.5  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0.002  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654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Diastolic blood pressure (mmHg)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76.9 ±12.5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77.0 ±12.6 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77.2 ±12.4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74.9 ±11.7   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0.453  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654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Hypertension-related treatment: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ACE inhibitor or 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ARB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430 (61.6%)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236 (53.6%)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144 (73.1%)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50 (82.0%)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  <w:t>&lt;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698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Beta blocker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115 (16.5%)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56 (12.7%)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37 (18.8%)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22 (36.1%)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  <w:t>&lt;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698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Calcium channel inhibitor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203 (29.1%)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107 (24.3%)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67 (34.0%)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29 (47.5%)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  <w:t>&lt;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698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Furosemide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24 (4.5%)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10 (2.9%)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 (3.4%)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9 (22.0%)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  <w:t>&lt;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531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Spironolactone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15 (2.8%)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10 (2.9%)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 (2.1%)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 (4.9%)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0.530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531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Other diuretics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271 (38.8%)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154 (35.0%)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90 (45.7%)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27 (44.3%)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0.025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698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Other antihypertensives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108 (15.5%)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59 (13.4%)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32 (16.2%)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17 (27.9%)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698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Dyslipidemia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465 (66.7%)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274 (62.4%)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146 (74.1%)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45 (73.8%)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697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Total cholesterol (mmol/L)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4.2 ±1.1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4.1 ±1.1  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4.2 ±1.3 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4.3 ±1.2    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0.443  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690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HDL cholesterol (mmol/L)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1.2 ±0.3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1.2 ±0.4  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1.1 ±0.3 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1.2 ±0.4    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&lt;0.001  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693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lastRenderedPageBreak/>
              <w:t>Triglycerides (mmol/L)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1.7 ±1.1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1.6 ±1.0  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2.0 ±1.3 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1.9 ±1.2    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&lt;0.001  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693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LDL cholesterol (mmol/L)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2.3 ±0.9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2.2 ±0.9  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2.2 ±1.0 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2.4 ±1.0    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0.708  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685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Dyslipidemia-related treatment: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Statin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437 (62.6%)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266 (60.5%)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132 (67.0%)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39 (63.9%)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0.280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698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Fibrate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23 (3.3%)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11 (2.5%)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8 (4.1%)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 (6.6%)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0.147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698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jc w:val="right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Ezetimibe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31 (4.4%)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19 (4.3%)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10 (5.1%)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 (3.3%)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0.843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698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Current smoking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103 (14.8%)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61 (13.9%)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37 (19.0%)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 (8.2%)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0.080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694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Sleep apnea syndrome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88 (16.8%)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55 (16.1%)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24 (16.8%)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9 (22.0%)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0.641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525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C-reactive protein (mg/L)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6.5 ±19.4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5.5 ±14.6  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9.0 ±29.0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5.9 ±8.8    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294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675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Epicardial adipose tissue (cm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  <w:vertAlign w:val="superscript"/>
              </w:rPr>
              <w:t>3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98.0 ±38.4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94.7 ±36.9 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106.0 ±40.2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95.7 ±39.8   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0.00</w:t>
            </w:r>
            <w:r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4</w:t>
            </w: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700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Coronary artery calcium score (AU)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193.4 ±438.6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141.8 ±317.3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228.0 ±395.2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456.7 ±946.4  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&lt;0.001  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A6A6A6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699</w:t>
            </w:r>
          </w:p>
        </w:tc>
      </w:tr>
      <w:tr w:rsidR="00001999" w:rsidRPr="00664EF5" w:rsidTr="005D7D5A">
        <w:trPr>
          <w:trHeight w:val="238"/>
          <w:jc w:val="center"/>
        </w:trPr>
        <w:tc>
          <w:tcPr>
            <w:tcW w:w="3828" w:type="dxa"/>
            <w:tcBorders>
              <w:top w:val="single" w:sz="4" w:space="0" w:color="A6A6A6"/>
              <w:bottom w:val="single" w:sz="4" w:space="0" w:color="000000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19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Coronary artery calcium score &gt; 100 AU</w:t>
            </w:r>
          </w:p>
        </w:tc>
        <w:tc>
          <w:tcPr>
            <w:tcW w:w="1984" w:type="dxa"/>
            <w:tcBorders>
              <w:top w:val="single" w:sz="4" w:space="0" w:color="A6A6A6"/>
              <w:bottom w:val="single" w:sz="4" w:space="0" w:color="000000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239 (34.3%)</w:t>
            </w:r>
          </w:p>
        </w:tc>
        <w:tc>
          <w:tcPr>
            <w:tcW w:w="1560" w:type="dxa"/>
            <w:tcBorders>
              <w:top w:val="single" w:sz="4" w:space="0" w:color="A6A6A6"/>
              <w:bottom w:val="single" w:sz="4" w:space="0" w:color="000000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44" w:right="24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121 (27.6%) 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000000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219" w:right="3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92 (46.9%)     </w:t>
            </w:r>
          </w:p>
        </w:tc>
        <w:tc>
          <w:tcPr>
            <w:tcW w:w="1559" w:type="dxa"/>
            <w:tcBorders>
              <w:top w:val="single" w:sz="4" w:space="0" w:color="A6A6A6"/>
              <w:bottom w:val="single" w:sz="4" w:space="0" w:color="000000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140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26 (42.6%)     </w:t>
            </w:r>
          </w:p>
        </w:tc>
        <w:tc>
          <w:tcPr>
            <w:tcW w:w="910" w:type="dxa"/>
            <w:tcBorders>
              <w:top w:val="single" w:sz="4" w:space="0" w:color="A6A6A6"/>
              <w:bottom w:val="single" w:sz="4" w:space="0" w:color="000000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8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 xml:space="preserve">&lt;0.001  </w:t>
            </w:r>
          </w:p>
        </w:tc>
        <w:tc>
          <w:tcPr>
            <w:tcW w:w="933" w:type="dxa"/>
            <w:tcBorders>
              <w:top w:val="single" w:sz="4" w:space="0" w:color="A6A6A6"/>
              <w:bottom w:val="single" w:sz="4" w:space="0" w:color="000000"/>
            </w:tcBorders>
          </w:tcPr>
          <w:p w:rsidR="00001999" w:rsidRPr="00664EF5" w:rsidRDefault="00001999" w:rsidP="005D7D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24" w:lineRule="auto"/>
              <w:ind w:left="43" w:right="2"/>
              <w:jc w:val="center"/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  <w:sz w:val="18"/>
                <w:szCs w:val="18"/>
              </w:rPr>
              <w:t>696</w:t>
            </w:r>
          </w:p>
        </w:tc>
      </w:tr>
    </w:tbl>
    <w:p w:rsidR="00001999" w:rsidRPr="002561A8" w:rsidRDefault="00001999" w:rsidP="0000199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561A8">
        <w:rPr>
          <w:rFonts w:ascii="Times New Roman" w:eastAsia="Times New Roman" w:hAnsi="Times New Roman" w:cs="Times New Roman"/>
          <w:i/>
          <w:iCs/>
          <w:sz w:val="24"/>
          <w:szCs w:val="24"/>
        </w:rPr>
        <w:t>Data are presented as the mean ± standard deviation or n (%). ACE: Angiotensin-converting-enzyme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ARB: </w:t>
      </w:r>
      <w:r w:rsidRPr="00466D0A">
        <w:rPr>
          <w:rFonts w:ascii="Times New Roman" w:eastAsia="Times New Roman" w:hAnsi="Times New Roman" w:cs="Times New Roman"/>
          <w:i/>
          <w:iCs/>
          <w:sz w:val="24"/>
          <w:szCs w:val="24"/>
        </w:rPr>
        <w:t>angiotensin II receptor blocker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AU: </w:t>
      </w:r>
      <w:r w:rsidRPr="002561A8">
        <w:rPr>
          <w:rFonts w:ascii="Times New Roman" w:eastAsia="Times New Roman" w:hAnsi="Times New Roman" w:cs="Times New Roman"/>
          <w:i/>
          <w:iCs/>
          <w:sz w:val="24"/>
          <w:szCs w:val="24"/>
        </w:rPr>
        <w:t>Agatston unit.</w:t>
      </w:r>
    </w:p>
    <w:p w:rsidR="00001999" w:rsidRPr="002561A8" w:rsidRDefault="00001999" w:rsidP="00001999">
      <w:pPr>
        <w:spacing w:line="48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  <w:sectPr w:rsidR="00001999" w:rsidRPr="002561A8">
          <w:pgSz w:w="16838" w:h="11906" w:orient="landscape"/>
          <w:pgMar w:top="1418" w:right="1418" w:bottom="1418" w:left="1418" w:header="709" w:footer="709" w:gutter="0"/>
          <w:lnNumType w:countBy="1" w:restart="continuous"/>
          <w:cols w:space="720"/>
        </w:sectPr>
      </w:pPr>
      <w:r w:rsidRPr="002561A8">
        <w:rPr>
          <w:rFonts w:ascii="Times New Roman" w:eastAsia="Times New Roman" w:hAnsi="Times New Roman" w:cs="Times New Roman"/>
          <w:i/>
          <w:iCs/>
          <w:sz w:val="24"/>
          <w:szCs w:val="24"/>
        </w:rPr>
        <w:t>p-value: comparison between the three classes</w:t>
      </w:r>
    </w:p>
    <w:p w:rsidR="00001999" w:rsidRPr="002561A8" w:rsidRDefault="00001999" w:rsidP="00001999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Supplementary T</w:t>
      </w:r>
      <w:r w:rsidRPr="002561A8">
        <w:rPr>
          <w:rFonts w:ascii="Times New Roman" w:eastAsia="Times New Roman" w:hAnsi="Times New Roman" w:cs="Times New Roman"/>
          <w:sz w:val="24"/>
          <w:szCs w:val="24"/>
        </w:rPr>
        <w:t xml:space="preserve">able 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2561A8">
        <w:rPr>
          <w:rFonts w:ascii="Times New Roman" w:eastAsia="Times New Roman" w:hAnsi="Times New Roman" w:cs="Times New Roman"/>
          <w:sz w:val="24"/>
          <w:szCs w:val="24"/>
        </w:rPr>
        <w:t>: Association between epicardial adipose tissue volume and nephropathy and components in multivariable analyses</w:t>
      </w:r>
    </w:p>
    <w:tbl>
      <w:tblPr>
        <w:tblW w:w="122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60"/>
        <w:gridCol w:w="2835"/>
        <w:gridCol w:w="2130"/>
        <w:gridCol w:w="1980"/>
        <w:gridCol w:w="1065"/>
      </w:tblGrid>
      <w:tr w:rsidR="00001999" w:rsidRPr="00664EF5" w:rsidTr="005D7D5A">
        <w:trPr>
          <w:jc w:val="center"/>
        </w:trPr>
        <w:tc>
          <w:tcPr>
            <w:tcW w:w="4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01999" w:rsidRPr="00664EF5" w:rsidRDefault="00001999" w:rsidP="005D7D5A">
            <w:pPr>
              <w:spacing w:after="0" w:line="240" w:lineRule="auto"/>
              <w:rPr>
                <w:rFonts w:ascii="Times New Roman" w:eastAsia="Cambria" w:hAnsi="Times New Roman" w:cs="Times New Roman"/>
                <w:b/>
                <w:bCs/>
              </w:rPr>
            </w:pPr>
            <w:r w:rsidRPr="00664EF5">
              <w:rPr>
                <w:rFonts w:ascii="Times New Roman" w:eastAsia="Cambria" w:hAnsi="Times New Roman" w:cs="Times New Roman"/>
                <w:b/>
                <w:bCs/>
              </w:rPr>
              <w:t>Adjustment for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01999" w:rsidRPr="00664EF5" w:rsidRDefault="00001999" w:rsidP="005D7D5A">
            <w:pPr>
              <w:spacing w:after="0" w:line="240" w:lineRule="auto"/>
              <w:rPr>
                <w:rFonts w:ascii="Times New Roman" w:eastAsia="Cambria" w:hAnsi="Times New Roman" w:cs="Times New Roman"/>
                <w:b/>
                <w:bCs/>
              </w:rPr>
            </w:pPr>
            <w:r w:rsidRPr="00664EF5">
              <w:rPr>
                <w:rFonts w:ascii="Times New Roman" w:eastAsia="Cambria" w:hAnsi="Times New Roman" w:cs="Times New Roman"/>
                <w:b/>
                <w:bCs/>
              </w:rPr>
              <w:t>Outcomes</w:t>
            </w:r>
          </w:p>
        </w:tc>
        <w:tc>
          <w:tcPr>
            <w:tcW w:w="213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01999" w:rsidRPr="00664EF5" w:rsidRDefault="00001999" w:rsidP="005D7D5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664EF5">
              <w:rPr>
                <w:rFonts w:ascii="Times New Roman" w:eastAsia="Cambria" w:hAnsi="Times New Roman" w:cs="Times New Roman"/>
                <w:b/>
                <w:bCs/>
              </w:rPr>
              <w:t>Odds ratio</w:t>
            </w:r>
          </w:p>
          <w:p w:rsidR="00001999" w:rsidRPr="00664EF5" w:rsidRDefault="00001999" w:rsidP="005D7D5A">
            <w:pPr>
              <w:spacing w:line="240" w:lineRule="auto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664EF5">
              <w:rPr>
                <w:rFonts w:ascii="Times New Roman" w:eastAsia="Cambria" w:hAnsi="Times New Roman" w:cs="Times New Roman"/>
                <w:b/>
                <w:bCs/>
              </w:rPr>
              <w:t>(by 10 cm</w:t>
            </w:r>
            <w:r w:rsidRPr="00664EF5">
              <w:rPr>
                <w:rFonts w:ascii="Times New Roman" w:eastAsia="Cambria" w:hAnsi="Times New Roman" w:cs="Times New Roman"/>
                <w:b/>
                <w:bCs/>
                <w:vertAlign w:val="superscript"/>
              </w:rPr>
              <w:t>3</w:t>
            </w:r>
            <w:r w:rsidRPr="00664EF5">
              <w:rPr>
                <w:rFonts w:ascii="Times New Roman" w:eastAsia="Cambria" w:hAnsi="Times New Roman" w:cs="Times New Roman"/>
                <w:b/>
                <w:bCs/>
              </w:rPr>
              <w:t xml:space="preserve"> of EAT)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01999" w:rsidRPr="00664EF5" w:rsidRDefault="00001999" w:rsidP="005D7D5A">
            <w:pPr>
              <w:spacing w:line="240" w:lineRule="auto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664EF5">
              <w:rPr>
                <w:rFonts w:ascii="Times New Roman" w:eastAsia="Cambria" w:hAnsi="Times New Roman" w:cs="Times New Roman"/>
                <w:b/>
                <w:bCs/>
              </w:rPr>
              <w:t>[95% CI]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1999" w:rsidRPr="00664EF5" w:rsidRDefault="00001999" w:rsidP="005D7D5A">
            <w:pPr>
              <w:spacing w:line="240" w:lineRule="auto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664EF5">
              <w:rPr>
                <w:rFonts w:ascii="Times New Roman" w:eastAsia="Cambria" w:hAnsi="Times New Roman" w:cs="Times New Roman"/>
                <w:b/>
                <w:bCs/>
              </w:rPr>
              <w:t>p-value</w:t>
            </w:r>
          </w:p>
        </w:tc>
      </w:tr>
      <w:tr w:rsidR="00001999" w:rsidRPr="00664EF5" w:rsidTr="005D7D5A">
        <w:trPr>
          <w:trHeight w:val="1624"/>
          <w:jc w:val="center"/>
        </w:trPr>
        <w:tc>
          <w:tcPr>
            <w:tcW w:w="42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001999" w:rsidRPr="004D0353" w:rsidRDefault="00001999" w:rsidP="005D7D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Age (per year)</w:t>
            </w:r>
          </w:p>
          <w:p w:rsidR="00001999" w:rsidRPr="00664EF5" w:rsidRDefault="00001999" w:rsidP="005D7D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</w:rPr>
              <w:t xml:space="preserve">Gender </w:t>
            </w:r>
            <w:r>
              <w:rPr>
                <w:rFonts w:ascii="Times New Roman" w:eastAsia="Cambria" w:hAnsi="Times New Roman" w:cs="Times New Roman"/>
                <w:color w:val="000000"/>
              </w:rPr>
              <w:t>(Ref: Female)</w:t>
            </w:r>
          </w:p>
          <w:p w:rsidR="00001999" w:rsidRPr="00664EF5" w:rsidRDefault="00001999" w:rsidP="005D7D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</w:rPr>
              <w:t>Ethnicity</w:t>
            </w:r>
            <w:r>
              <w:rPr>
                <w:rFonts w:ascii="Times New Roman" w:eastAsia="Cambria" w:hAnsi="Times New Roman" w:cs="Times New Roman"/>
                <w:color w:val="000000"/>
              </w:rPr>
              <w:t xml:space="preserve"> (Ref: Caucasian)</w:t>
            </w:r>
          </w:p>
          <w:p w:rsidR="00001999" w:rsidRPr="00664EF5" w:rsidRDefault="00001999" w:rsidP="005D7D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</w:rPr>
              <w:t xml:space="preserve">Diabetes duration </w:t>
            </w:r>
            <w:r>
              <w:rPr>
                <w:rFonts w:ascii="Times New Roman" w:eastAsia="Cambria" w:hAnsi="Times New Roman" w:cs="Times New Roman"/>
                <w:color w:val="000000"/>
              </w:rPr>
              <w:t>(per year)</w:t>
            </w:r>
          </w:p>
          <w:p w:rsidR="00001999" w:rsidRPr="00664EF5" w:rsidRDefault="00001999" w:rsidP="005D7D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</w:rPr>
              <w:t xml:space="preserve">HbA1c level </w:t>
            </w:r>
            <w:r>
              <w:rPr>
                <w:rFonts w:ascii="Times New Roman" w:eastAsia="Cambria" w:hAnsi="Times New Roman" w:cs="Times New Roman"/>
                <w:color w:val="000000"/>
              </w:rPr>
              <w:t>(per %)</w:t>
            </w:r>
          </w:p>
          <w:p w:rsidR="00001999" w:rsidRPr="00664EF5" w:rsidRDefault="00001999" w:rsidP="005D7D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</w:rPr>
              <w:t>Hypertension</w:t>
            </w:r>
          </w:p>
          <w:p w:rsidR="00001999" w:rsidRPr="00664EF5" w:rsidRDefault="00001999" w:rsidP="005D7D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</w:rPr>
              <w:t>Dyslipidaemia</w:t>
            </w:r>
          </w:p>
          <w:p w:rsidR="00001999" w:rsidRPr="004D0353" w:rsidRDefault="00001999" w:rsidP="005D7D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</w:rPr>
              <w:t xml:space="preserve">Body mass index </w:t>
            </w:r>
            <w:r>
              <w:rPr>
                <w:rFonts w:ascii="Times New Roman" w:eastAsia="Cambria" w:hAnsi="Times New Roman" w:cs="Times New Roman"/>
                <w:color w:val="000000"/>
              </w:rPr>
              <w:t>(kg/m²)</w:t>
            </w:r>
          </w:p>
          <w:p w:rsidR="00001999" w:rsidRPr="00C9395B" w:rsidRDefault="00001999" w:rsidP="005D7D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Cambria" w:hAnsi="Times New Roman" w:cs="Times New Roman"/>
                <w:color w:val="000000"/>
              </w:rPr>
            </w:pPr>
            <w:r w:rsidRPr="00C9395B">
              <w:rPr>
                <w:rFonts w:ascii="Times New Roman" w:eastAsia="Cambria" w:hAnsi="Times New Roman" w:cs="Times New Roman"/>
                <w:color w:val="000000"/>
              </w:rPr>
              <w:t>GLP1-RA</w:t>
            </w:r>
            <w:r>
              <w:rPr>
                <w:rFonts w:ascii="Times New Roman" w:eastAsia="Cambria" w:hAnsi="Times New Roman" w:cs="Times New Roman"/>
                <w:color w:val="000000"/>
              </w:rPr>
              <w:t xml:space="preserve"> </w:t>
            </w:r>
          </w:p>
          <w:p w:rsidR="00001999" w:rsidRPr="004D0353" w:rsidRDefault="00001999" w:rsidP="005D7D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mbria" w:hAnsi="Times New Roman" w:cs="Times New Roman"/>
                <w:color w:val="000000"/>
              </w:rPr>
              <w:t>SGLT2i</w:t>
            </w:r>
          </w:p>
          <w:p w:rsidR="00001999" w:rsidRPr="004D0353" w:rsidRDefault="00001999" w:rsidP="005D7D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mbria" w:hAnsi="Times New Roman" w:cs="Times New Roman"/>
                <w:color w:val="000000"/>
              </w:rPr>
              <w:t>Diuretic use</w:t>
            </w:r>
          </w:p>
          <w:p w:rsidR="00001999" w:rsidRPr="00DE2629" w:rsidRDefault="00001999" w:rsidP="005D7D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hAnsi="Times New Roman" w:cs="Times New Roman"/>
              </w:rPr>
            </w:pPr>
            <w:r w:rsidRPr="00DE2629">
              <w:rPr>
                <w:rFonts w:ascii="Times New Roman" w:eastAsia="Cambria" w:hAnsi="Times New Roman" w:cs="Times New Roman"/>
              </w:rPr>
              <w:t>A</w:t>
            </w:r>
            <w:r w:rsidRPr="00926445">
              <w:rPr>
                <w:rFonts w:ascii="Times New Roman" w:eastAsia="Cambria" w:hAnsi="Times New Roman" w:cs="Times New Roman"/>
                <w:color w:val="000000"/>
              </w:rPr>
              <w:t xml:space="preserve">CE </w:t>
            </w:r>
            <w:r w:rsidRPr="00DE2629">
              <w:rPr>
                <w:rFonts w:ascii="Times New Roman" w:eastAsia="Cambria" w:hAnsi="Times New Roman" w:cs="Times New Roman"/>
              </w:rPr>
              <w:t xml:space="preserve">inhibitor or </w:t>
            </w:r>
            <w:r>
              <w:rPr>
                <w:rFonts w:ascii="Times New Roman" w:eastAsia="Cambria" w:hAnsi="Times New Roman" w:cs="Times New Roman"/>
              </w:rPr>
              <w:t>ARB</w:t>
            </w:r>
          </w:p>
          <w:p w:rsidR="00001999" w:rsidRPr="00664EF5" w:rsidRDefault="00001999" w:rsidP="005D7D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mbria" w:hAnsi="Times New Roman" w:cs="Times New Roman"/>
                <w:color w:val="000000"/>
              </w:rPr>
              <w:t>C-reactive protein (mg/L)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999" w:rsidRPr="00664EF5" w:rsidRDefault="00001999" w:rsidP="005D7D5A">
            <w:pPr>
              <w:spacing w:after="0" w:line="276" w:lineRule="auto"/>
              <w:rPr>
                <w:rFonts w:ascii="Times New Roman" w:eastAsia="Cambria" w:hAnsi="Times New Roman" w:cs="Times New Roman"/>
              </w:rPr>
            </w:pPr>
            <w:r w:rsidRPr="00664EF5">
              <w:rPr>
                <w:rFonts w:ascii="Times New Roman" w:eastAsia="Cambria" w:hAnsi="Times New Roman" w:cs="Times New Roman"/>
              </w:rPr>
              <w:t>Nephropathy</w:t>
            </w:r>
          </w:p>
        </w:tc>
        <w:tc>
          <w:tcPr>
            <w:tcW w:w="21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999" w:rsidRPr="00664EF5" w:rsidRDefault="00001999" w:rsidP="005D7D5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664EF5">
              <w:rPr>
                <w:rFonts w:ascii="Times New Roman" w:eastAsia="Cambria" w:hAnsi="Times New Roman" w:cs="Times New Roman"/>
              </w:rPr>
              <w:t>1.05</w:t>
            </w:r>
            <w:r>
              <w:rPr>
                <w:rFonts w:ascii="Times New Roman" w:eastAsia="Cambria" w:hAnsi="Times New Roman" w:cs="Times New Roman"/>
              </w:rPr>
              <w:t>8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999" w:rsidRPr="00664EF5" w:rsidRDefault="00001999" w:rsidP="005D7D5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664EF5">
              <w:rPr>
                <w:rFonts w:ascii="Times New Roman" w:eastAsia="Cambria" w:hAnsi="Times New Roman" w:cs="Times New Roman"/>
              </w:rPr>
              <w:t>[1.00</w:t>
            </w:r>
            <w:r>
              <w:rPr>
                <w:rFonts w:ascii="Times New Roman" w:eastAsia="Cambria" w:hAnsi="Times New Roman" w:cs="Times New Roman"/>
              </w:rPr>
              <w:t>7</w:t>
            </w:r>
            <w:r w:rsidRPr="00664EF5">
              <w:rPr>
                <w:rFonts w:ascii="Times New Roman" w:eastAsia="Cambria" w:hAnsi="Times New Roman" w:cs="Times New Roman"/>
              </w:rPr>
              <w:t>–1.1</w:t>
            </w:r>
            <w:r>
              <w:rPr>
                <w:rFonts w:ascii="Times New Roman" w:eastAsia="Cambria" w:hAnsi="Times New Roman" w:cs="Times New Roman"/>
              </w:rPr>
              <w:t>12</w:t>
            </w:r>
            <w:r w:rsidRPr="00664EF5">
              <w:rPr>
                <w:rFonts w:ascii="Times New Roman" w:eastAsia="Cambria" w:hAnsi="Times New Roman" w:cs="Times New Roman"/>
              </w:rPr>
              <w:t>]</w:t>
            </w:r>
          </w:p>
        </w:tc>
        <w:tc>
          <w:tcPr>
            <w:tcW w:w="10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01999" w:rsidRPr="00664EF5" w:rsidRDefault="00001999" w:rsidP="005D7D5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664EF5">
              <w:rPr>
                <w:rFonts w:ascii="Times New Roman" w:eastAsia="Cambria" w:hAnsi="Times New Roman" w:cs="Times New Roman"/>
                <w:b/>
                <w:bCs/>
              </w:rPr>
              <w:t>0.0</w:t>
            </w:r>
            <w:r>
              <w:rPr>
                <w:rFonts w:ascii="Times New Roman" w:eastAsia="Cambria" w:hAnsi="Times New Roman" w:cs="Times New Roman"/>
                <w:b/>
                <w:bCs/>
              </w:rPr>
              <w:t>27</w:t>
            </w:r>
          </w:p>
        </w:tc>
      </w:tr>
      <w:tr w:rsidR="00001999" w:rsidRPr="00664EF5" w:rsidTr="005D7D5A">
        <w:trPr>
          <w:trHeight w:val="1624"/>
          <w:jc w:val="center"/>
        </w:trPr>
        <w:tc>
          <w:tcPr>
            <w:tcW w:w="4260" w:type="dxa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001999" w:rsidRPr="00664EF5" w:rsidRDefault="00001999" w:rsidP="005D7D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Cambria" w:hAnsi="Times New Roman" w:cs="Times New Roman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999" w:rsidRPr="00664EF5" w:rsidRDefault="00001999" w:rsidP="005D7D5A">
            <w:pPr>
              <w:spacing w:after="0" w:line="276" w:lineRule="auto"/>
              <w:rPr>
                <w:rFonts w:ascii="Times New Roman" w:eastAsia="Cambria" w:hAnsi="Times New Roman" w:cs="Times New Roman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</w:rPr>
              <w:t>eGFR &lt; 60 mL/min/1.73m²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999" w:rsidRPr="00664EF5" w:rsidRDefault="00001999" w:rsidP="005D7D5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664EF5">
              <w:rPr>
                <w:rFonts w:ascii="Times New Roman" w:eastAsia="Cambria" w:hAnsi="Times New Roman" w:cs="Times New Roman"/>
              </w:rPr>
              <w:t>1.0</w:t>
            </w:r>
            <w:r>
              <w:rPr>
                <w:rFonts w:ascii="Times New Roman" w:eastAsia="Cambria" w:hAnsi="Times New Roman" w:cs="Times New Roman"/>
              </w:rPr>
              <w:t>53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999" w:rsidRPr="00664EF5" w:rsidRDefault="00001999" w:rsidP="005D7D5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664EF5">
              <w:rPr>
                <w:rFonts w:ascii="Times New Roman" w:eastAsia="Cambria" w:hAnsi="Times New Roman" w:cs="Times New Roman"/>
              </w:rPr>
              <w:t>[</w:t>
            </w:r>
            <w:r>
              <w:rPr>
                <w:rFonts w:ascii="Times New Roman" w:eastAsia="Cambria" w:hAnsi="Times New Roman" w:cs="Times New Roman"/>
              </w:rPr>
              <w:t>0.981</w:t>
            </w:r>
            <w:r w:rsidRPr="00664EF5">
              <w:rPr>
                <w:rFonts w:ascii="Times New Roman" w:eastAsia="Cambria" w:hAnsi="Times New Roman" w:cs="Times New Roman"/>
              </w:rPr>
              <w:t>–1.</w:t>
            </w:r>
            <w:r>
              <w:rPr>
                <w:rFonts w:ascii="Times New Roman" w:eastAsia="Cambria" w:hAnsi="Times New Roman" w:cs="Times New Roman"/>
              </w:rPr>
              <w:t>131</w:t>
            </w:r>
            <w:r w:rsidRPr="00664EF5">
              <w:rPr>
                <w:rFonts w:ascii="Times New Roman" w:eastAsia="Cambria" w:hAnsi="Times New Roman" w:cs="Times New Roman"/>
              </w:rPr>
              <w:t>]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01999" w:rsidRPr="004D0353" w:rsidRDefault="00001999" w:rsidP="005D7D5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</w:rPr>
            </w:pPr>
            <w:r w:rsidRPr="004D0353">
              <w:rPr>
                <w:rFonts w:ascii="Times New Roman" w:eastAsia="Cambria" w:hAnsi="Times New Roman" w:cs="Times New Roman"/>
              </w:rPr>
              <w:t>0.153</w:t>
            </w:r>
          </w:p>
        </w:tc>
      </w:tr>
      <w:tr w:rsidR="00001999" w:rsidRPr="00664EF5" w:rsidTr="005D7D5A">
        <w:trPr>
          <w:trHeight w:val="1625"/>
          <w:jc w:val="center"/>
        </w:trPr>
        <w:tc>
          <w:tcPr>
            <w:tcW w:w="426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01999" w:rsidRPr="00664EF5" w:rsidRDefault="00001999" w:rsidP="005D7D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Cambria" w:hAnsi="Times New Roman" w:cs="Times New Roman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01999" w:rsidRPr="00664EF5" w:rsidRDefault="00001999" w:rsidP="005D7D5A">
            <w:pPr>
              <w:spacing w:after="0" w:line="276" w:lineRule="auto"/>
              <w:rPr>
                <w:rFonts w:ascii="Times New Roman" w:eastAsia="Cambria" w:hAnsi="Times New Roman" w:cs="Times New Roman"/>
              </w:rPr>
            </w:pPr>
            <w:r w:rsidRPr="00664EF5">
              <w:rPr>
                <w:rFonts w:ascii="Times New Roman" w:eastAsia="Cambria" w:hAnsi="Times New Roman" w:cs="Times New Roman"/>
                <w:color w:val="000000"/>
              </w:rPr>
              <w:t xml:space="preserve">ACR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≥</w:t>
            </w:r>
            <w:r w:rsidRPr="00664EF5">
              <w:rPr>
                <w:rFonts w:ascii="Times New Roman" w:eastAsia="Cambria" w:hAnsi="Times New Roman" w:cs="Times New Roman"/>
                <w:color w:val="000000"/>
              </w:rPr>
              <w:t xml:space="preserve"> 3 mg/mmol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01999" w:rsidRPr="00664EF5" w:rsidRDefault="00001999" w:rsidP="005D7D5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</w:rPr>
            </w:pPr>
            <w:r w:rsidRPr="00664EF5">
              <w:rPr>
                <w:rFonts w:ascii="Times New Roman" w:eastAsia="Cambria" w:hAnsi="Times New Roman" w:cs="Times New Roman"/>
              </w:rPr>
              <w:t>1.0</w:t>
            </w:r>
            <w:r>
              <w:rPr>
                <w:rFonts w:ascii="Times New Roman" w:eastAsia="Cambria" w:hAnsi="Times New Roman" w:cs="Times New Roman"/>
              </w:rPr>
              <w:t>59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01999" w:rsidRPr="00664EF5" w:rsidRDefault="00001999" w:rsidP="005D7D5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</w:rPr>
            </w:pPr>
            <w:r w:rsidRPr="00664EF5">
              <w:rPr>
                <w:rFonts w:ascii="Times New Roman" w:eastAsia="Cambria" w:hAnsi="Times New Roman" w:cs="Times New Roman"/>
              </w:rPr>
              <w:t>[</w:t>
            </w:r>
            <w:r>
              <w:rPr>
                <w:rFonts w:ascii="Times New Roman" w:eastAsia="Cambria" w:hAnsi="Times New Roman" w:cs="Times New Roman"/>
              </w:rPr>
              <w:t>1.007</w:t>
            </w:r>
            <w:r w:rsidRPr="00664EF5">
              <w:rPr>
                <w:rFonts w:ascii="Times New Roman" w:eastAsia="Cambria" w:hAnsi="Times New Roman" w:cs="Times New Roman"/>
              </w:rPr>
              <w:t>–1.1</w:t>
            </w:r>
            <w:r>
              <w:rPr>
                <w:rFonts w:ascii="Times New Roman" w:eastAsia="Cambria" w:hAnsi="Times New Roman" w:cs="Times New Roman"/>
              </w:rPr>
              <w:t>13</w:t>
            </w:r>
            <w:r w:rsidRPr="00664EF5">
              <w:rPr>
                <w:rFonts w:ascii="Times New Roman" w:eastAsia="Cambria" w:hAnsi="Times New Roman" w:cs="Times New Roman"/>
              </w:rPr>
              <w:t>]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1999" w:rsidRPr="004D0353" w:rsidRDefault="00001999" w:rsidP="005D7D5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bCs/>
              </w:rPr>
            </w:pPr>
            <w:r w:rsidRPr="004D0353">
              <w:rPr>
                <w:rFonts w:ascii="Times New Roman" w:eastAsia="Cambria" w:hAnsi="Times New Roman" w:cs="Times New Roman"/>
                <w:b/>
                <w:bCs/>
              </w:rPr>
              <w:t>0.026</w:t>
            </w:r>
          </w:p>
        </w:tc>
      </w:tr>
    </w:tbl>
    <w:p w:rsidR="00001999" w:rsidRPr="002561A8" w:rsidRDefault="00001999" w:rsidP="00001999">
      <w:pPr>
        <w:spacing w:after="0" w:line="240" w:lineRule="auto"/>
        <w:ind w:left="851" w:firstLine="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  <w:sectPr w:rsidR="00001999" w:rsidRPr="002561A8" w:rsidSect="00A51302">
          <w:pgSz w:w="16838" w:h="11906" w:orient="landscape"/>
          <w:pgMar w:top="1418" w:right="1418" w:bottom="1418" w:left="1418" w:header="709" w:footer="709" w:gutter="0"/>
          <w:lnNumType w:countBy="1" w:restart="continuous"/>
          <w:cols w:space="720"/>
        </w:sectPr>
      </w:pPr>
      <w:r w:rsidRPr="002561A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ACR: albuminuria/creatininuria ratio,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ACE: </w:t>
      </w:r>
      <w:r w:rsidRPr="00C9664E">
        <w:rPr>
          <w:rFonts w:ascii="Times New Roman" w:eastAsia="Times New Roman" w:hAnsi="Times New Roman" w:cs="Times New Roman"/>
          <w:i/>
          <w:iCs/>
          <w:sz w:val="24"/>
          <w:szCs w:val="24"/>
        </w:rPr>
        <w:t>Angiotensin-converting enzyme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ARB: </w:t>
      </w:r>
      <w:r w:rsidRPr="00466D0A">
        <w:rPr>
          <w:rFonts w:ascii="Times New Roman" w:eastAsia="Times New Roman" w:hAnsi="Times New Roman" w:cs="Times New Roman"/>
          <w:i/>
          <w:iCs/>
          <w:sz w:val="24"/>
          <w:szCs w:val="24"/>
        </w:rPr>
        <w:t>angiotensin II receptor blocker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r w:rsidRPr="002561A8">
        <w:rPr>
          <w:rFonts w:ascii="Times New Roman" w:eastAsia="Times New Roman" w:hAnsi="Times New Roman" w:cs="Times New Roman"/>
          <w:i/>
          <w:iCs/>
          <w:sz w:val="24"/>
          <w:szCs w:val="24"/>
        </w:rPr>
        <w:t>CI: confidence interval, EAT: epicardial adipose tissue; eGFR: estimated glomerular filtration rate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r w:rsidRPr="00C9395B">
        <w:rPr>
          <w:rFonts w:ascii="Times New Roman" w:eastAsia="Times New Roman" w:hAnsi="Times New Roman" w:cs="Times New Roman"/>
          <w:i/>
          <w:iCs/>
          <w:sz w:val="24"/>
          <w:szCs w:val="24"/>
        </w:rPr>
        <w:t>GLP1-RA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: Glucagon-like peptide-1 receptor agonist, SGLT2i: Sodium</w:t>
      </w:r>
      <w:r w:rsidRPr="00C9664E">
        <w:rPr>
          <w:rFonts w:ascii="Times New Roman" w:eastAsia="Times New Roman" w:hAnsi="Times New Roman" w:cs="Times New Roman"/>
          <w:i/>
          <w:iCs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G</w:t>
      </w:r>
      <w:r w:rsidRPr="00C9664E">
        <w:rPr>
          <w:rFonts w:ascii="Times New Roman" w:eastAsia="Times New Roman" w:hAnsi="Times New Roman" w:cs="Times New Roman"/>
          <w:i/>
          <w:iCs/>
          <w:sz w:val="24"/>
          <w:szCs w:val="24"/>
        </w:rPr>
        <w:t>lucose cotransporter 2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inhibitor</w:t>
      </w:r>
    </w:p>
    <w:p w:rsidR="00001999" w:rsidRDefault="00001999" w:rsidP="00001999">
      <w:p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66A5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Supplementary Table 5: </w:t>
      </w:r>
      <w:r w:rsidRPr="00566A58">
        <w:rPr>
          <w:rFonts w:ascii="Times New Roman" w:eastAsia="Times New Roman" w:hAnsi="Times New Roman" w:cs="Times New Roman"/>
          <w:sz w:val="24"/>
          <w:szCs w:val="24"/>
          <w:lang w:val="en-US"/>
        </w:rPr>
        <w:t>Sensitivity analysis. M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ultivariable analysis considering the same parameters as in table 2 and </w:t>
      </w:r>
      <w:r w:rsidRPr="00566A58">
        <w:rPr>
          <w:rFonts w:ascii="Times New Roman" w:eastAsia="Times New Roman" w:hAnsi="Times New Roman" w:cs="Times New Roman"/>
          <w:sz w:val="24"/>
          <w:szCs w:val="24"/>
          <w:lang w:val="en-US"/>
        </w:rPr>
        <w:t>source study as a fixed effect (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7; 8; 13)</w:t>
      </w:r>
      <w:r w:rsidRPr="00566A5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:rsidR="00001999" w:rsidRDefault="00001999" w:rsidP="00001999">
      <w:pPr>
        <w:spacing w:after="0" w:line="240" w:lineRule="auto"/>
        <w:ind w:left="851" w:firstLine="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F36B2">
        <w:rPr>
          <w:noProof/>
          <w:color w:val="222222"/>
          <w:spacing w:val="2"/>
          <w:lang w:eastAsia="en-IN"/>
        </w:rPr>
        <w:drawing>
          <wp:inline distT="0" distB="0" distL="0" distR="0" wp14:anchorId="00F88CC8" wp14:editId="5A3D9817">
            <wp:extent cx="4314824" cy="1270000"/>
            <wp:effectExtent l="0" t="0" r="3810" b="0"/>
            <wp:docPr id="24170820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708208" name=""/>
                    <pic:cNvPicPr/>
                  </pic:nvPicPr>
                  <pic:blipFill rotWithShape="1">
                    <a:blip r:embed="rId8"/>
                    <a:srcRect t="1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5047" cy="12700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1999" w:rsidRDefault="00001999" w:rsidP="0000199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OR: Odds Ratio; CI: Confidence Interval; ACR: Albuminuria/Creatininuria Ratio; eGFR: estimated Glomerular Filtration Rate</w:t>
      </w:r>
    </w:p>
    <w:p w:rsidR="00001999" w:rsidRDefault="00001999" w:rsidP="00001999">
      <w:pPr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001999" w:rsidRDefault="00001999" w:rsidP="00001999">
      <w:pPr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001999" w:rsidRDefault="00001999" w:rsidP="00001999">
      <w:pPr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001999" w:rsidRPr="00566A58" w:rsidRDefault="00001999" w:rsidP="00001999">
      <w:pPr>
        <w:rPr>
          <w:rFonts w:ascii="Times New Roman" w:eastAsia="Times New Roman" w:hAnsi="Times New Roman" w:cs="Times New Roman"/>
          <w:sz w:val="24"/>
          <w:szCs w:val="24"/>
        </w:rPr>
      </w:pPr>
      <w:r w:rsidRPr="00566A58">
        <w:rPr>
          <w:rFonts w:ascii="Times New Roman" w:eastAsia="Times New Roman" w:hAnsi="Times New Roman" w:cs="Times New Roman"/>
          <w:sz w:val="24"/>
          <w:szCs w:val="24"/>
        </w:rPr>
        <w:t xml:space="preserve">Supplementary Table 6: </w:t>
      </w:r>
      <w:r w:rsidRPr="00566A58">
        <w:rPr>
          <w:rFonts w:ascii="Times New Roman" w:eastAsia="Times New Roman" w:hAnsi="Times New Roman" w:cs="Times New Roman"/>
          <w:sz w:val="24"/>
          <w:szCs w:val="24"/>
          <w:lang w:val="en-US"/>
        </w:rPr>
        <w:t>Sensitivity analysis. M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ultivariable analysis considering the same parameters as in table 2 with multiple imputation or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66A58">
        <w:rPr>
          <w:rFonts w:ascii="Times New Roman" w:eastAsia="Times New Roman" w:hAnsi="Times New Roman" w:cs="Times New Roman"/>
          <w:sz w:val="24"/>
          <w:szCs w:val="24"/>
        </w:rPr>
        <w:t>omplete case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01999" w:rsidRDefault="00001999" w:rsidP="00001999">
      <w:pPr>
        <w:pStyle w:val="TableCaption"/>
        <w:keepNext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right="60"/>
      </w:pPr>
      <w:r>
        <w:t>EAT volume — Imputation vs Complete-case — Nephropathy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534"/>
        <w:gridCol w:w="911"/>
        <w:gridCol w:w="1523"/>
        <w:gridCol w:w="1111"/>
      </w:tblGrid>
      <w:tr w:rsidR="00001999" w:rsidTr="005D7D5A">
        <w:trPr>
          <w:tblHeader/>
          <w:jc w:val="center"/>
        </w:trPr>
        <w:tc>
          <w:tcPr>
            <w:tcW w:w="253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Method</w:t>
            </w:r>
          </w:p>
        </w:tc>
        <w:tc>
          <w:tcPr>
            <w:tcW w:w="91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OR</w:t>
            </w:r>
          </w:p>
        </w:tc>
        <w:tc>
          <w:tcPr>
            <w:tcW w:w="152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11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p-value</w:t>
            </w:r>
          </w:p>
        </w:tc>
      </w:tr>
      <w:tr w:rsidR="00001999" w:rsidTr="005D7D5A">
        <w:trPr>
          <w:jc w:val="center"/>
        </w:trPr>
        <w:tc>
          <w:tcPr>
            <w:tcW w:w="25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Multiple imputation</w:t>
            </w:r>
          </w:p>
        </w:tc>
        <w:tc>
          <w:tcPr>
            <w:tcW w:w="91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1.058</w:t>
            </w:r>
          </w:p>
        </w:tc>
        <w:tc>
          <w:tcPr>
            <w:tcW w:w="1523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1.007–1.112</w:t>
            </w:r>
          </w:p>
        </w:tc>
        <w:tc>
          <w:tcPr>
            <w:tcW w:w="111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0.026</w:t>
            </w:r>
          </w:p>
        </w:tc>
      </w:tr>
      <w:tr w:rsidR="00001999" w:rsidTr="005D7D5A">
        <w:trPr>
          <w:jc w:val="center"/>
        </w:trPr>
        <w:tc>
          <w:tcPr>
            <w:tcW w:w="25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Complete-case analysis</w:t>
            </w:r>
          </w:p>
        </w:tc>
        <w:tc>
          <w:tcPr>
            <w:tcW w:w="91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1.046</w:t>
            </w:r>
          </w:p>
        </w:tc>
        <w:tc>
          <w:tcPr>
            <w:tcW w:w="1523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0.993–1.104</w:t>
            </w:r>
          </w:p>
        </w:tc>
        <w:tc>
          <w:tcPr>
            <w:tcW w:w="111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0.094</w:t>
            </w:r>
          </w:p>
        </w:tc>
      </w:tr>
    </w:tbl>
    <w:p w:rsidR="00001999" w:rsidRDefault="00001999" w:rsidP="00001999"/>
    <w:p w:rsidR="00001999" w:rsidRDefault="00001999" w:rsidP="00001999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</w:pPr>
      <w:r>
        <w:t>B) EAT volume — Imputation vs Complete-case — eGFR &lt; 60 mL/min/1.73m</w:t>
      </w:r>
      <w:r w:rsidRPr="00B966F0">
        <w:rPr>
          <w:vertAlign w:val="superscript"/>
        </w:rPr>
        <w:t>2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534"/>
        <w:gridCol w:w="911"/>
        <w:gridCol w:w="1523"/>
        <w:gridCol w:w="1111"/>
      </w:tblGrid>
      <w:tr w:rsidR="00001999" w:rsidTr="005D7D5A">
        <w:trPr>
          <w:tblHeader/>
          <w:jc w:val="center"/>
        </w:trPr>
        <w:tc>
          <w:tcPr>
            <w:tcW w:w="253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Method</w:t>
            </w:r>
          </w:p>
        </w:tc>
        <w:tc>
          <w:tcPr>
            <w:tcW w:w="91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OR</w:t>
            </w:r>
          </w:p>
        </w:tc>
        <w:tc>
          <w:tcPr>
            <w:tcW w:w="152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11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p-value</w:t>
            </w:r>
          </w:p>
        </w:tc>
      </w:tr>
      <w:tr w:rsidR="00001999" w:rsidTr="005D7D5A">
        <w:trPr>
          <w:jc w:val="center"/>
        </w:trPr>
        <w:tc>
          <w:tcPr>
            <w:tcW w:w="25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Multiple imputation</w:t>
            </w:r>
          </w:p>
        </w:tc>
        <w:tc>
          <w:tcPr>
            <w:tcW w:w="91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1.047</w:t>
            </w:r>
          </w:p>
        </w:tc>
        <w:tc>
          <w:tcPr>
            <w:tcW w:w="1523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0.975–1.123</w:t>
            </w:r>
          </w:p>
        </w:tc>
        <w:tc>
          <w:tcPr>
            <w:tcW w:w="111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0.204</w:t>
            </w:r>
          </w:p>
        </w:tc>
      </w:tr>
      <w:tr w:rsidR="00001999" w:rsidTr="005D7D5A">
        <w:trPr>
          <w:jc w:val="center"/>
        </w:trPr>
        <w:tc>
          <w:tcPr>
            <w:tcW w:w="25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Complete-case analysis</w:t>
            </w:r>
          </w:p>
        </w:tc>
        <w:tc>
          <w:tcPr>
            <w:tcW w:w="91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1.040</w:t>
            </w:r>
          </w:p>
        </w:tc>
        <w:tc>
          <w:tcPr>
            <w:tcW w:w="1523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0.962–1.124</w:t>
            </w:r>
          </w:p>
        </w:tc>
        <w:tc>
          <w:tcPr>
            <w:tcW w:w="111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0.324</w:t>
            </w:r>
          </w:p>
        </w:tc>
      </w:tr>
    </w:tbl>
    <w:p w:rsidR="00001999" w:rsidRDefault="00001999" w:rsidP="00001999"/>
    <w:p w:rsidR="00001999" w:rsidRDefault="00001999" w:rsidP="00001999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</w:pPr>
      <w:r w:rsidRPr="00566A58">
        <w:rPr>
          <w:b w:val="0"/>
          <w:i w:val="0"/>
        </w:rPr>
        <w:t>C)</w:t>
      </w:r>
      <w:r>
        <w:t xml:space="preserve"> EAT volume — Imputation vs Complete-case — ACR ≥ 3 mg/mmol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534"/>
        <w:gridCol w:w="911"/>
        <w:gridCol w:w="1523"/>
        <w:gridCol w:w="1111"/>
      </w:tblGrid>
      <w:tr w:rsidR="00001999" w:rsidTr="005D7D5A">
        <w:trPr>
          <w:tblHeader/>
          <w:jc w:val="center"/>
        </w:trPr>
        <w:tc>
          <w:tcPr>
            <w:tcW w:w="253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Method</w:t>
            </w:r>
          </w:p>
        </w:tc>
        <w:tc>
          <w:tcPr>
            <w:tcW w:w="91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OR</w:t>
            </w:r>
          </w:p>
        </w:tc>
        <w:tc>
          <w:tcPr>
            <w:tcW w:w="152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95% C</w:t>
            </w:r>
            <w:bookmarkStart w:id="1" w:name="_GoBack"/>
            <w:bookmarkEnd w:id="1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</w:t>
            </w:r>
          </w:p>
        </w:tc>
        <w:tc>
          <w:tcPr>
            <w:tcW w:w="111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p-value</w:t>
            </w:r>
          </w:p>
        </w:tc>
      </w:tr>
      <w:tr w:rsidR="00001999" w:rsidTr="005D7D5A">
        <w:trPr>
          <w:jc w:val="center"/>
        </w:trPr>
        <w:tc>
          <w:tcPr>
            <w:tcW w:w="25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Multiple imputation</w:t>
            </w:r>
          </w:p>
        </w:tc>
        <w:tc>
          <w:tcPr>
            <w:tcW w:w="91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1.059</w:t>
            </w:r>
          </w:p>
        </w:tc>
        <w:tc>
          <w:tcPr>
            <w:tcW w:w="1523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1.008–1.114</w:t>
            </w:r>
          </w:p>
        </w:tc>
        <w:tc>
          <w:tcPr>
            <w:tcW w:w="111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0.024</w:t>
            </w:r>
          </w:p>
        </w:tc>
      </w:tr>
      <w:tr w:rsidR="00001999" w:rsidTr="005D7D5A">
        <w:trPr>
          <w:jc w:val="center"/>
        </w:trPr>
        <w:tc>
          <w:tcPr>
            <w:tcW w:w="25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Complete-case analysis</w:t>
            </w:r>
          </w:p>
        </w:tc>
        <w:tc>
          <w:tcPr>
            <w:tcW w:w="91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1.054</w:t>
            </w:r>
          </w:p>
        </w:tc>
        <w:tc>
          <w:tcPr>
            <w:tcW w:w="1523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0.999–1.112</w:t>
            </w:r>
          </w:p>
        </w:tc>
        <w:tc>
          <w:tcPr>
            <w:tcW w:w="1111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1999" w:rsidRDefault="00001999" w:rsidP="005D7D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0.053</w:t>
            </w:r>
          </w:p>
        </w:tc>
      </w:tr>
    </w:tbl>
    <w:p w:rsidR="00001999" w:rsidRDefault="00001999" w:rsidP="00001999">
      <w:p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OR: Odds Ratio; CI: Confidence Interval; ACR: Albuminuria/Creatininuria Ratio; eGFR: estimated Glomerular Filtration Rate</w:t>
      </w:r>
    </w:p>
    <w:p w:rsidR="00001999" w:rsidRDefault="00001999" w:rsidP="0000199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01999" w:rsidRDefault="00001999" w:rsidP="00001999">
      <w:pPr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7B79" w:rsidRDefault="00F07B79"/>
    <w:sectPr w:rsidR="00F07B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lay">
    <w:altName w:val="Calibri"/>
    <w:charset w:val="00"/>
    <w:family w:val="auto"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5719BD"/>
    <w:multiLevelType w:val="multilevel"/>
    <w:tmpl w:val="3976D8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7FF5081"/>
    <w:multiLevelType w:val="hybridMultilevel"/>
    <w:tmpl w:val="D908A4AE"/>
    <w:lvl w:ilvl="0" w:tplc="0568C038">
      <w:start w:val="1"/>
      <w:numFmt w:val="upperLetter"/>
      <w:lvlText w:val="%1)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9A17587"/>
    <w:multiLevelType w:val="multilevel"/>
    <w:tmpl w:val="1A1636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999"/>
    <w:rsid w:val="0000166C"/>
    <w:rsid w:val="00001999"/>
    <w:rsid w:val="00001F60"/>
    <w:rsid w:val="00012920"/>
    <w:rsid w:val="000204C0"/>
    <w:rsid w:val="000310BB"/>
    <w:rsid w:val="00032956"/>
    <w:rsid w:val="00036EB7"/>
    <w:rsid w:val="0004442A"/>
    <w:rsid w:val="00046C7F"/>
    <w:rsid w:val="000501C0"/>
    <w:rsid w:val="0005082C"/>
    <w:rsid w:val="00052874"/>
    <w:rsid w:val="00063A61"/>
    <w:rsid w:val="0006653C"/>
    <w:rsid w:val="000675BD"/>
    <w:rsid w:val="00080C2F"/>
    <w:rsid w:val="00081455"/>
    <w:rsid w:val="00084974"/>
    <w:rsid w:val="00090C4D"/>
    <w:rsid w:val="000938CA"/>
    <w:rsid w:val="00095E25"/>
    <w:rsid w:val="00097E65"/>
    <w:rsid w:val="000A526E"/>
    <w:rsid w:val="000B23E3"/>
    <w:rsid w:val="000B50F0"/>
    <w:rsid w:val="000B6B81"/>
    <w:rsid w:val="000C01DD"/>
    <w:rsid w:val="000C7394"/>
    <w:rsid w:val="000D24B3"/>
    <w:rsid w:val="000E01AE"/>
    <w:rsid w:val="000F5E67"/>
    <w:rsid w:val="000F695F"/>
    <w:rsid w:val="000F6BBA"/>
    <w:rsid w:val="00100860"/>
    <w:rsid w:val="00106265"/>
    <w:rsid w:val="00111A7B"/>
    <w:rsid w:val="001133F7"/>
    <w:rsid w:val="00120DD5"/>
    <w:rsid w:val="00133253"/>
    <w:rsid w:val="00147B5A"/>
    <w:rsid w:val="001543A0"/>
    <w:rsid w:val="00156F19"/>
    <w:rsid w:val="00160BB7"/>
    <w:rsid w:val="0016352C"/>
    <w:rsid w:val="001668FA"/>
    <w:rsid w:val="00176294"/>
    <w:rsid w:val="0019104C"/>
    <w:rsid w:val="001929D4"/>
    <w:rsid w:val="001B0EEF"/>
    <w:rsid w:val="001B500C"/>
    <w:rsid w:val="001C0668"/>
    <w:rsid w:val="001D034A"/>
    <w:rsid w:val="001D533F"/>
    <w:rsid w:val="001D5630"/>
    <w:rsid w:val="001E09FA"/>
    <w:rsid w:val="001E1AA8"/>
    <w:rsid w:val="001E3802"/>
    <w:rsid w:val="001F117A"/>
    <w:rsid w:val="00204242"/>
    <w:rsid w:val="00205728"/>
    <w:rsid w:val="002148BF"/>
    <w:rsid w:val="00216C01"/>
    <w:rsid w:val="002232FE"/>
    <w:rsid w:val="00230F74"/>
    <w:rsid w:val="0023236B"/>
    <w:rsid w:val="0023396B"/>
    <w:rsid w:val="00242307"/>
    <w:rsid w:val="00247F52"/>
    <w:rsid w:val="0025327E"/>
    <w:rsid w:val="00255773"/>
    <w:rsid w:val="00260129"/>
    <w:rsid w:val="00261A48"/>
    <w:rsid w:val="0026350F"/>
    <w:rsid w:val="0027010F"/>
    <w:rsid w:val="002706F9"/>
    <w:rsid w:val="00275B0A"/>
    <w:rsid w:val="00276D61"/>
    <w:rsid w:val="00284510"/>
    <w:rsid w:val="00286CDB"/>
    <w:rsid w:val="00287AEE"/>
    <w:rsid w:val="002912BC"/>
    <w:rsid w:val="00292581"/>
    <w:rsid w:val="002945ED"/>
    <w:rsid w:val="002948BD"/>
    <w:rsid w:val="00295193"/>
    <w:rsid w:val="00296A16"/>
    <w:rsid w:val="002A7BF6"/>
    <w:rsid w:val="002B0B22"/>
    <w:rsid w:val="002B0B87"/>
    <w:rsid w:val="002B64E4"/>
    <w:rsid w:val="002B6527"/>
    <w:rsid w:val="002C0987"/>
    <w:rsid w:val="002C1885"/>
    <w:rsid w:val="002C2BFC"/>
    <w:rsid w:val="002C4756"/>
    <w:rsid w:val="002C6794"/>
    <w:rsid w:val="002C689A"/>
    <w:rsid w:val="002D00CC"/>
    <w:rsid w:val="002D0A88"/>
    <w:rsid w:val="002E08CD"/>
    <w:rsid w:val="002E18AD"/>
    <w:rsid w:val="002F2950"/>
    <w:rsid w:val="002F4BFF"/>
    <w:rsid w:val="002F5014"/>
    <w:rsid w:val="002F60BE"/>
    <w:rsid w:val="0030763C"/>
    <w:rsid w:val="00311BEE"/>
    <w:rsid w:val="003133A9"/>
    <w:rsid w:val="003359CD"/>
    <w:rsid w:val="00340681"/>
    <w:rsid w:val="00340D95"/>
    <w:rsid w:val="00341C39"/>
    <w:rsid w:val="00344A72"/>
    <w:rsid w:val="0034635E"/>
    <w:rsid w:val="00362978"/>
    <w:rsid w:val="003736FC"/>
    <w:rsid w:val="00382CA3"/>
    <w:rsid w:val="00383B9A"/>
    <w:rsid w:val="003958C7"/>
    <w:rsid w:val="003A04D0"/>
    <w:rsid w:val="003A6383"/>
    <w:rsid w:val="003B062E"/>
    <w:rsid w:val="003B1F54"/>
    <w:rsid w:val="003B4A33"/>
    <w:rsid w:val="003C1098"/>
    <w:rsid w:val="003C3645"/>
    <w:rsid w:val="003C45AA"/>
    <w:rsid w:val="003C500F"/>
    <w:rsid w:val="003D13E6"/>
    <w:rsid w:val="003D19CC"/>
    <w:rsid w:val="003D1BEC"/>
    <w:rsid w:val="003D331F"/>
    <w:rsid w:val="003E0C73"/>
    <w:rsid w:val="003E321D"/>
    <w:rsid w:val="003E3612"/>
    <w:rsid w:val="003E7A46"/>
    <w:rsid w:val="004000ED"/>
    <w:rsid w:val="004048F1"/>
    <w:rsid w:val="00406EC1"/>
    <w:rsid w:val="00412C10"/>
    <w:rsid w:val="0041781C"/>
    <w:rsid w:val="00421208"/>
    <w:rsid w:val="00421BC2"/>
    <w:rsid w:val="004234BF"/>
    <w:rsid w:val="004249D1"/>
    <w:rsid w:val="00426BAB"/>
    <w:rsid w:val="00433E0E"/>
    <w:rsid w:val="00434776"/>
    <w:rsid w:val="0044217D"/>
    <w:rsid w:val="004437D8"/>
    <w:rsid w:val="004453EF"/>
    <w:rsid w:val="0044774E"/>
    <w:rsid w:val="00451755"/>
    <w:rsid w:val="00454A0F"/>
    <w:rsid w:val="004568F8"/>
    <w:rsid w:val="004650FD"/>
    <w:rsid w:val="00470C4A"/>
    <w:rsid w:val="0047296C"/>
    <w:rsid w:val="00474AB4"/>
    <w:rsid w:val="0047702D"/>
    <w:rsid w:val="00481049"/>
    <w:rsid w:val="00484A7A"/>
    <w:rsid w:val="00485F64"/>
    <w:rsid w:val="004865F1"/>
    <w:rsid w:val="00487B0F"/>
    <w:rsid w:val="004910A5"/>
    <w:rsid w:val="0049374D"/>
    <w:rsid w:val="00493D67"/>
    <w:rsid w:val="00494C50"/>
    <w:rsid w:val="00495AFD"/>
    <w:rsid w:val="004A42A5"/>
    <w:rsid w:val="004A73A2"/>
    <w:rsid w:val="004A7750"/>
    <w:rsid w:val="004B09C1"/>
    <w:rsid w:val="004B4D5C"/>
    <w:rsid w:val="004B4FD0"/>
    <w:rsid w:val="004B65FA"/>
    <w:rsid w:val="004C05DC"/>
    <w:rsid w:val="004C597F"/>
    <w:rsid w:val="004D0CFE"/>
    <w:rsid w:val="004D0FFA"/>
    <w:rsid w:val="004D5FFB"/>
    <w:rsid w:val="004F5112"/>
    <w:rsid w:val="00500A51"/>
    <w:rsid w:val="005050E1"/>
    <w:rsid w:val="0050626E"/>
    <w:rsid w:val="005156CB"/>
    <w:rsid w:val="005169C5"/>
    <w:rsid w:val="00524794"/>
    <w:rsid w:val="00530B58"/>
    <w:rsid w:val="00531C08"/>
    <w:rsid w:val="0053209C"/>
    <w:rsid w:val="00536BCD"/>
    <w:rsid w:val="0054159F"/>
    <w:rsid w:val="005431C1"/>
    <w:rsid w:val="005535A6"/>
    <w:rsid w:val="00554CF2"/>
    <w:rsid w:val="00567001"/>
    <w:rsid w:val="0057566C"/>
    <w:rsid w:val="0058057F"/>
    <w:rsid w:val="00587DC9"/>
    <w:rsid w:val="00593711"/>
    <w:rsid w:val="005A0BA9"/>
    <w:rsid w:val="005A2C8C"/>
    <w:rsid w:val="005A4C81"/>
    <w:rsid w:val="005B130B"/>
    <w:rsid w:val="005B46BF"/>
    <w:rsid w:val="005C3041"/>
    <w:rsid w:val="005C581C"/>
    <w:rsid w:val="005C5B72"/>
    <w:rsid w:val="005C6010"/>
    <w:rsid w:val="005C6D27"/>
    <w:rsid w:val="005E0DB3"/>
    <w:rsid w:val="005E121C"/>
    <w:rsid w:val="005E1381"/>
    <w:rsid w:val="005E1643"/>
    <w:rsid w:val="005E265D"/>
    <w:rsid w:val="005E4C3B"/>
    <w:rsid w:val="005E7597"/>
    <w:rsid w:val="005F0973"/>
    <w:rsid w:val="005F11DC"/>
    <w:rsid w:val="005F3781"/>
    <w:rsid w:val="005F6D4C"/>
    <w:rsid w:val="0061058B"/>
    <w:rsid w:val="0062187E"/>
    <w:rsid w:val="0062496E"/>
    <w:rsid w:val="0062581F"/>
    <w:rsid w:val="00630CDA"/>
    <w:rsid w:val="00631BD5"/>
    <w:rsid w:val="00633DE1"/>
    <w:rsid w:val="00643B25"/>
    <w:rsid w:val="006477AD"/>
    <w:rsid w:val="00647AED"/>
    <w:rsid w:val="00661FB9"/>
    <w:rsid w:val="00671839"/>
    <w:rsid w:val="00677452"/>
    <w:rsid w:val="0068084F"/>
    <w:rsid w:val="00684772"/>
    <w:rsid w:val="006918FD"/>
    <w:rsid w:val="0069310A"/>
    <w:rsid w:val="00697A16"/>
    <w:rsid w:val="006A1FAC"/>
    <w:rsid w:val="006B5589"/>
    <w:rsid w:val="006B64D5"/>
    <w:rsid w:val="006B745A"/>
    <w:rsid w:val="006C0E66"/>
    <w:rsid w:val="006C2831"/>
    <w:rsid w:val="006C3B5E"/>
    <w:rsid w:val="006C566A"/>
    <w:rsid w:val="006D11D9"/>
    <w:rsid w:val="006D2B64"/>
    <w:rsid w:val="006D6C80"/>
    <w:rsid w:val="006D7D30"/>
    <w:rsid w:val="006E0AAB"/>
    <w:rsid w:val="006F2F88"/>
    <w:rsid w:val="006F4E58"/>
    <w:rsid w:val="00703261"/>
    <w:rsid w:val="00712287"/>
    <w:rsid w:val="00715BA8"/>
    <w:rsid w:val="00716A82"/>
    <w:rsid w:val="007179DB"/>
    <w:rsid w:val="00723349"/>
    <w:rsid w:val="00726FE5"/>
    <w:rsid w:val="00730B30"/>
    <w:rsid w:val="007344F0"/>
    <w:rsid w:val="007537D6"/>
    <w:rsid w:val="00754AE3"/>
    <w:rsid w:val="00760EE4"/>
    <w:rsid w:val="00764420"/>
    <w:rsid w:val="007668E2"/>
    <w:rsid w:val="00767624"/>
    <w:rsid w:val="00771BA7"/>
    <w:rsid w:val="007722BE"/>
    <w:rsid w:val="0077566F"/>
    <w:rsid w:val="00775B02"/>
    <w:rsid w:val="007822E7"/>
    <w:rsid w:val="00783984"/>
    <w:rsid w:val="00794B77"/>
    <w:rsid w:val="0079598C"/>
    <w:rsid w:val="00797E44"/>
    <w:rsid w:val="007A0446"/>
    <w:rsid w:val="007A68A6"/>
    <w:rsid w:val="007A7A31"/>
    <w:rsid w:val="007B2214"/>
    <w:rsid w:val="007B45FC"/>
    <w:rsid w:val="007B56AC"/>
    <w:rsid w:val="007B7FB2"/>
    <w:rsid w:val="007C053F"/>
    <w:rsid w:val="007C286C"/>
    <w:rsid w:val="007C56CE"/>
    <w:rsid w:val="007C5961"/>
    <w:rsid w:val="007D053E"/>
    <w:rsid w:val="007D0702"/>
    <w:rsid w:val="007D10F2"/>
    <w:rsid w:val="007D360C"/>
    <w:rsid w:val="007D4E59"/>
    <w:rsid w:val="007E62FB"/>
    <w:rsid w:val="00803A4C"/>
    <w:rsid w:val="00805400"/>
    <w:rsid w:val="00806740"/>
    <w:rsid w:val="00806EFB"/>
    <w:rsid w:val="0081587C"/>
    <w:rsid w:val="008202BF"/>
    <w:rsid w:val="00824FEE"/>
    <w:rsid w:val="008304EB"/>
    <w:rsid w:val="00841F51"/>
    <w:rsid w:val="00850CFA"/>
    <w:rsid w:val="00850EAA"/>
    <w:rsid w:val="00851AA0"/>
    <w:rsid w:val="00854496"/>
    <w:rsid w:val="00861A7A"/>
    <w:rsid w:val="00863742"/>
    <w:rsid w:val="00863BDB"/>
    <w:rsid w:val="00866E1E"/>
    <w:rsid w:val="00871075"/>
    <w:rsid w:val="008729AE"/>
    <w:rsid w:val="00874229"/>
    <w:rsid w:val="00882C67"/>
    <w:rsid w:val="00883720"/>
    <w:rsid w:val="008911F6"/>
    <w:rsid w:val="008926E4"/>
    <w:rsid w:val="0089494A"/>
    <w:rsid w:val="0089662D"/>
    <w:rsid w:val="008A65F0"/>
    <w:rsid w:val="008A75DE"/>
    <w:rsid w:val="008B22DE"/>
    <w:rsid w:val="008B45C5"/>
    <w:rsid w:val="008C0E24"/>
    <w:rsid w:val="008C45D4"/>
    <w:rsid w:val="008D0640"/>
    <w:rsid w:val="008D72B5"/>
    <w:rsid w:val="008E136D"/>
    <w:rsid w:val="008E16B0"/>
    <w:rsid w:val="008E4D9C"/>
    <w:rsid w:val="008F076D"/>
    <w:rsid w:val="0090709E"/>
    <w:rsid w:val="00907F37"/>
    <w:rsid w:val="009135BA"/>
    <w:rsid w:val="00915B4C"/>
    <w:rsid w:val="00915C47"/>
    <w:rsid w:val="00920C41"/>
    <w:rsid w:val="00921379"/>
    <w:rsid w:val="00922D37"/>
    <w:rsid w:val="00923ED8"/>
    <w:rsid w:val="009249FA"/>
    <w:rsid w:val="0092726A"/>
    <w:rsid w:val="00927B17"/>
    <w:rsid w:val="00930F00"/>
    <w:rsid w:val="00945004"/>
    <w:rsid w:val="00945AD1"/>
    <w:rsid w:val="0094663D"/>
    <w:rsid w:val="00947752"/>
    <w:rsid w:val="00951C00"/>
    <w:rsid w:val="00954E77"/>
    <w:rsid w:val="00961F8D"/>
    <w:rsid w:val="00963460"/>
    <w:rsid w:val="00966978"/>
    <w:rsid w:val="0096715B"/>
    <w:rsid w:val="009757DD"/>
    <w:rsid w:val="00977F16"/>
    <w:rsid w:val="009824D3"/>
    <w:rsid w:val="00983702"/>
    <w:rsid w:val="00997733"/>
    <w:rsid w:val="009A6FCC"/>
    <w:rsid w:val="009B4088"/>
    <w:rsid w:val="009B63BF"/>
    <w:rsid w:val="009B6E12"/>
    <w:rsid w:val="009B7301"/>
    <w:rsid w:val="009C069E"/>
    <w:rsid w:val="009D2118"/>
    <w:rsid w:val="009D3F72"/>
    <w:rsid w:val="009D74D4"/>
    <w:rsid w:val="009E452A"/>
    <w:rsid w:val="009E5E1B"/>
    <w:rsid w:val="009E60BC"/>
    <w:rsid w:val="009F5C9D"/>
    <w:rsid w:val="00A052CD"/>
    <w:rsid w:val="00A074FF"/>
    <w:rsid w:val="00A25015"/>
    <w:rsid w:val="00A25F84"/>
    <w:rsid w:val="00A27712"/>
    <w:rsid w:val="00A31A0D"/>
    <w:rsid w:val="00A330ED"/>
    <w:rsid w:val="00A33DA4"/>
    <w:rsid w:val="00A41F50"/>
    <w:rsid w:val="00A46378"/>
    <w:rsid w:val="00A50225"/>
    <w:rsid w:val="00A56B9B"/>
    <w:rsid w:val="00A61E97"/>
    <w:rsid w:val="00A63AF3"/>
    <w:rsid w:val="00A8457B"/>
    <w:rsid w:val="00A869EB"/>
    <w:rsid w:val="00A95159"/>
    <w:rsid w:val="00A965C5"/>
    <w:rsid w:val="00AA1ECC"/>
    <w:rsid w:val="00AA6903"/>
    <w:rsid w:val="00AB38E0"/>
    <w:rsid w:val="00AB7A6C"/>
    <w:rsid w:val="00AC20E7"/>
    <w:rsid w:val="00AD1346"/>
    <w:rsid w:val="00AD3983"/>
    <w:rsid w:val="00AD6CCA"/>
    <w:rsid w:val="00AE64F4"/>
    <w:rsid w:val="00AF027D"/>
    <w:rsid w:val="00B00971"/>
    <w:rsid w:val="00B1450D"/>
    <w:rsid w:val="00B15615"/>
    <w:rsid w:val="00B2110F"/>
    <w:rsid w:val="00B22564"/>
    <w:rsid w:val="00B26517"/>
    <w:rsid w:val="00B270FD"/>
    <w:rsid w:val="00B313E2"/>
    <w:rsid w:val="00B43A87"/>
    <w:rsid w:val="00B45EDD"/>
    <w:rsid w:val="00B51DF1"/>
    <w:rsid w:val="00B539E2"/>
    <w:rsid w:val="00B55D6D"/>
    <w:rsid w:val="00B6349E"/>
    <w:rsid w:val="00B706A6"/>
    <w:rsid w:val="00B70DAA"/>
    <w:rsid w:val="00B7777B"/>
    <w:rsid w:val="00B85D05"/>
    <w:rsid w:val="00B86375"/>
    <w:rsid w:val="00B952A9"/>
    <w:rsid w:val="00BA1641"/>
    <w:rsid w:val="00BA1C60"/>
    <w:rsid w:val="00BB4449"/>
    <w:rsid w:val="00BD02BC"/>
    <w:rsid w:val="00BD34B0"/>
    <w:rsid w:val="00BD7F37"/>
    <w:rsid w:val="00BE100E"/>
    <w:rsid w:val="00BE17D7"/>
    <w:rsid w:val="00BE47E5"/>
    <w:rsid w:val="00BE4C89"/>
    <w:rsid w:val="00BF2492"/>
    <w:rsid w:val="00C00E97"/>
    <w:rsid w:val="00C136C4"/>
    <w:rsid w:val="00C244F5"/>
    <w:rsid w:val="00C24AF9"/>
    <w:rsid w:val="00C2660C"/>
    <w:rsid w:val="00C30780"/>
    <w:rsid w:val="00C31014"/>
    <w:rsid w:val="00C31A47"/>
    <w:rsid w:val="00C33467"/>
    <w:rsid w:val="00C347C6"/>
    <w:rsid w:val="00C36453"/>
    <w:rsid w:val="00C36959"/>
    <w:rsid w:val="00C40708"/>
    <w:rsid w:val="00C40968"/>
    <w:rsid w:val="00C55910"/>
    <w:rsid w:val="00C55E82"/>
    <w:rsid w:val="00C560DB"/>
    <w:rsid w:val="00C72473"/>
    <w:rsid w:val="00C73554"/>
    <w:rsid w:val="00C74CD2"/>
    <w:rsid w:val="00C764D6"/>
    <w:rsid w:val="00C778CB"/>
    <w:rsid w:val="00C813BC"/>
    <w:rsid w:val="00C832D8"/>
    <w:rsid w:val="00C847D0"/>
    <w:rsid w:val="00C957F8"/>
    <w:rsid w:val="00CA2388"/>
    <w:rsid w:val="00CA4EBE"/>
    <w:rsid w:val="00CA527B"/>
    <w:rsid w:val="00CA7EDC"/>
    <w:rsid w:val="00CC2090"/>
    <w:rsid w:val="00CC31E5"/>
    <w:rsid w:val="00CC5A09"/>
    <w:rsid w:val="00CC758B"/>
    <w:rsid w:val="00CD38D6"/>
    <w:rsid w:val="00CD42F9"/>
    <w:rsid w:val="00CE5B8E"/>
    <w:rsid w:val="00CE72D2"/>
    <w:rsid w:val="00CF2B35"/>
    <w:rsid w:val="00CF3CF2"/>
    <w:rsid w:val="00CF6367"/>
    <w:rsid w:val="00D0251E"/>
    <w:rsid w:val="00D055BF"/>
    <w:rsid w:val="00D05ABB"/>
    <w:rsid w:val="00D21FBF"/>
    <w:rsid w:val="00D25016"/>
    <w:rsid w:val="00D26E9D"/>
    <w:rsid w:val="00D3342A"/>
    <w:rsid w:val="00D338D4"/>
    <w:rsid w:val="00D3420A"/>
    <w:rsid w:val="00D342E7"/>
    <w:rsid w:val="00D350B6"/>
    <w:rsid w:val="00D42657"/>
    <w:rsid w:val="00D549BE"/>
    <w:rsid w:val="00D55882"/>
    <w:rsid w:val="00D5699D"/>
    <w:rsid w:val="00D57935"/>
    <w:rsid w:val="00D644E7"/>
    <w:rsid w:val="00D7268C"/>
    <w:rsid w:val="00D844B6"/>
    <w:rsid w:val="00D84FAA"/>
    <w:rsid w:val="00D87B40"/>
    <w:rsid w:val="00D97ED9"/>
    <w:rsid w:val="00D97FFC"/>
    <w:rsid w:val="00DA0B65"/>
    <w:rsid w:val="00DA4702"/>
    <w:rsid w:val="00DA6B2B"/>
    <w:rsid w:val="00DB22F8"/>
    <w:rsid w:val="00DB2596"/>
    <w:rsid w:val="00DE0C23"/>
    <w:rsid w:val="00DE493A"/>
    <w:rsid w:val="00DE5291"/>
    <w:rsid w:val="00DF3E21"/>
    <w:rsid w:val="00DF4248"/>
    <w:rsid w:val="00E000D3"/>
    <w:rsid w:val="00E00153"/>
    <w:rsid w:val="00E01B6D"/>
    <w:rsid w:val="00E01D5C"/>
    <w:rsid w:val="00E04294"/>
    <w:rsid w:val="00E21DAA"/>
    <w:rsid w:val="00E223B1"/>
    <w:rsid w:val="00E26902"/>
    <w:rsid w:val="00E279A2"/>
    <w:rsid w:val="00E27C70"/>
    <w:rsid w:val="00E32698"/>
    <w:rsid w:val="00E32D3A"/>
    <w:rsid w:val="00E354DD"/>
    <w:rsid w:val="00E41AEB"/>
    <w:rsid w:val="00E427B2"/>
    <w:rsid w:val="00E44159"/>
    <w:rsid w:val="00E53728"/>
    <w:rsid w:val="00E5675C"/>
    <w:rsid w:val="00E57FC6"/>
    <w:rsid w:val="00E62EBF"/>
    <w:rsid w:val="00E851C2"/>
    <w:rsid w:val="00E858F5"/>
    <w:rsid w:val="00EA1330"/>
    <w:rsid w:val="00EC4D28"/>
    <w:rsid w:val="00EC6066"/>
    <w:rsid w:val="00EC6F58"/>
    <w:rsid w:val="00ED781C"/>
    <w:rsid w:val="00EE34A9"/>
    <w:rsid w:val="00EE785D"/>
    <w:rsid w:val="00EF06A9"/>
    <w:rsid w:val="00EF2531"/>
    <w:rsid w:val="00EF6D3A"/>
    <w:rsid w:val="00F00302"/>
    <w:rsid w:val="00F01A3B"/>
    <w:rsid w:val="00F0467E"/>
    <w:rsid w:val="00F07B00"/>
    <w:rsid w:val="00F07B79"/>
    <w:rsid w:val="00F142E5"/>
    <w:rsid w:val="00F14C5E"/>
    <w:rsid w:val="00F3501E"/>
    <w:rsid w:val="00F4072D"/>
    <w:rsid w:val="00F4268B"/>
    <w:rsid w:val="00F43DFB"/>
    <w:rsid w:val="00F44DB1"/>
    <w:rsid w:val="00F4541C"/>
    <w:rsid w:val="00F45951"/>
    <w:rsid w:val="00F477AB"/>
    <w:rsid w:val="00F513A2"/>
    <w:rsid w:val="00F52481"/>
    <w:rsid w:val="00F52666"/>
    <w:rsid w:val="00F54FB7"/>
    <w:rsid w:val="00F7416F"/>
    <w:rsid w:val="00F819C9"/>
    <w:rsid w:val="00F81CB0"/>
    <w:rsid w:val="00F86133"/>
    <w:rsid w:val="00F86810"/>
    <w:rsid w:val="00F903B6"/>
    <w:rsid w:val="00FA077B"/>
    <w:rsid w:val="00FA1F6A"/>
    <w:rsid w:val="00FB113F"/>
    <w:rsid w:val="00FC0417"/>
    <w:rsid w:val="00FC375A"/>
    <w:rsid w:val="00FC3926"/>
    <w:rsid w:val="00FC3972"/>
    <w:rsid w:val="00FC66B0"/>
    <w:rsid w:val="00FD2B89"/>
    <w:rsid w:val="00FD5F2D"/>
    <w:rsid w:val="00FE63C6"/>
    <w:rsid w:val="00FE6F92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9AE5F2-F9B1-4A50-A65B-2DB88ED47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1999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  <w:lang w:val="en-GB" w:eastAsia="fr-F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1999"/>
    <w:pPr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GB" w:eastAsia="fr-F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01999"/>
    <w:pPr>
      <w:spacing w:after="0" w:line="480" w:lineRule="auto"/>
      <w:outlineLvl w:val="2"/>
    </w:pPr>
    <w:rPr>
      <w:rFonts w:ascii="Times New Roman" w:eastAsia="Times New Roman" w:hAnsi="Times New Roman" w:cs="Times New Roman"/>
      <w:i/>
      <w:iCs/>
      <w:sz w:val="24"/>
      <w:szCs w:val="24"/>
      <w:u w:val="single"/>
      <w:lang w:val="en-GB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1999"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  <w:lang w:val="en-GB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1999"/>
    <w:pPr>
      <w:keepNext/>
      <w:keepLines/>
      <w:spacing w:before="80" w:after="40"/>
      <w:outlineLvl w:val="4"/>
    </w:pPr>
    <w:rPr>
      <w:rFonts w:ascii="Aptos" w:eastAsia="Aptos" w:hAnsi="Aptos" w:cs="Aptos"/>
      <w:color w:val="0F4761"/>
      <w:lang w:val="en-GB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1999"/>
    <w:pPr>
      <w:keepNext/>
      <w:keepLines/>
      <w:spacing w:before="40" w:after="0"/>
      <w:outlineLvl w:val="5"/>
    </w:pPr>
    <w:rPr>
      <w:rFonts w:ascii="Aptos" w:eastAsia="Aptos" w:hAnsi="Aptos" w:cs="Aptos"/>
      <w:i/>
      <w:iCs/>
      <w:color w:val="595959"/>
      <w:lang w:val="en-GB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1999"/>
    <w:rPr>
      <w:rFonts w:ascii="Play" w:eastAsia="Play" w:hAnsi="Play" w:cs="Play"/>
      <w:color w:val="0F4761"/>
      <w:sz w:val="40"/>
      <w:szCs w:val="40"/>
      <w:lang w:val="en-GB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001999"/>
    <w:rPr>
      <w:rFonts w:ascii="Times New Roman" w:eastAsia="Times New Roman" w:hAnsi="Times New Roman" w:cs="Times New Roman"/>
      <w:b/>
      <w:bCs/>
      <w:sz w:val="28"/>
      <w:szCs w:val="28"/>
      <w:lang w:val="en-GB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001999"/>
    <w:rPr>
      <w:rFonts w:ascii="Times New Roman" w:eastAsia="Times New Roman" w:hAnsi="Times New Roman" w:cs="Times New Roman"/>
      <w:i/>
      <w:iCs/>
      <w:sz w:val="24"/>
      <w:szCs w:val="24"/>
      <w:u w:val="single"/>
      <w:lang w:val="en-GB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1999"/>
    <w:rPr>
      <w:rFonts w:ascii="Aptos" w:eastAsia="Aptos" w:hAnsi="Aptos" w:cs="Aptos"/>
      <w:i/>
      <w:iCs/>
      <w:color w:val="0F4761"/>
      <w:lang w:val="en-GB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1999"/>
    <w:rPr>
      <w:rFonts w:ascii="Aptos" w:eastAsia="Aptos" w:hAnsi="Aptos" w:cs="Aptos"/>
      <w:color w:val="0F4761"/>
      <w:lang w:val="en-GB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1999"/>
    <w:rPr>
      <w:rFonts w:ascii="Aptos" w:eastAsia="Aptos" w:hAnsi="Aptos" w:cs="Aptos"/>
      <w:i/>
      <w:iCs/>
      <w:color w:val="595959"/>
      <w:lang w:val="en-GB" w:eastAsia="fr-FR"/>
    </w:rPr>
  </w:style>
  <w:style w:type="table" w:customStyle="1" w:styleId="TableNormal0">
    <w:name w:val="TableNormal"/>
    <w:rsid w:val="00001999"/>
    <w:rPr>
      <w:rFonts w:ascii="Aptos" w:eastAsia="Aptos" w:hAnsi="Aptos" w:cs="Aptos"/>
      <w:lang w:val="en-GB" w:eastAsia="fr-FR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001999"/>
    <w:pPr>
      <w:spacing w:after="80" w:line="240" w:lineRule="auto"/>
    </w:pPr>
    <w:rPr>
      <w:rFonts w:ascii="Play" w:eastAsia="Play" w:hAnsi="Play" w:cs="Play"/>
      <w:sz w:val="56"/>
      <w:szCs w:val="56"/>
      <w:lang w:val="en-GB" w:eastAsia="fr-FR"/>
    </w:rPr>
  </w:style>
  <w:style w:type="character" w:customStyle="1" w:styleId="TitleChar">
    <w:name w:val="Title Char"/>
    <w:basedOn w:val="DefaultParagraphFont"/>
    <w:link w:val="Title"/>
    <w:uiPriority w:val="10"/>
    <w:rsid w:val="00001999"/>
    <w:rPr>
      <w:rFonts w:ascii="Play" w:eastAsia="Play" w:hAnsi="Play" w:cs="Play"/>
      <w:sz w:val="56"/>
      <w:szCs w:val="56"/>
      <w:lang w:val="en-GB" w:eastAsia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1999"/>
    <w:rPr>
      <w:rFonts w:ascii="Aptos" w:eastAsia="Aptos" w:hAnsi="Aptos" w:cs="Aptos"/>
      <w:color w:val="595959"/>
      <w:sz w:val="28"/>
      <w:szCs w:val="28"/>
      <w:lang w:val="en-GB" w:eastAsia="fr-FR"/>
    </w:rPr>
  </w:style>
  <w:style w:type="character" w:customStyle="1" w:styleId="SubtitleChar">
    <w:name w:val="Subtitle Char"/>
    <w:basedOn w:val="DefaultParagraphFont"/>
    <w:link w:val="Subtitle"/>
    <w:uiPriority w:val="11"/>
    <w:rsid w:val="00001999"/>
    <w:rPr>
      <w:rFonts w:ascii="Aptos" w:eastAsia="Aptos" w:hAnsi="Aptos" w:cs="Aptos"/>
      <w:color w:val="595959"/>
      <w:sz w:val="28"/>
      <w:szCs w:val="28"/>
      <w:lang w:val="en-GB" w:eastAsia="fr-FR"/>
    </w:rPr>
  </w:style>
  <w:style w:type="paragraph" w:styleId="CommentText">
    <w:name w:val="annotation text"/>
    <w:basedOn w:val="Normal"/>
    <w:link w:val="CommentTextChar"/>
    <w:uiPriority w:val="99"/>
    <w:unhideWhenUsed/>
    <w:rsid w:val="00001999"/>
    <w:pPr>
      <w:spacing w:line="240" w:lineRule="auto"/>
    </w:pPr>
    <w:rPr>
      <w:rFonts w:ascii="Aptos" w:eastAsia="Aptos" w:hAnsi="Aptos" w:cs="Aptos"/>
      <w:sz w:val="20"/>
      <w:szCs w:val="20"/>
      <w:lang w:val="en-GB" w:eastAsia="fr-F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1999"/>
    <w:rPr>
      <w:rFonts w:ascii="Aptos" w:eastAsia="Aptos" w:hAnsi="Aptos" w:cs="Aptos"/>
      <w:sz w:val="20"/>
      <w:szCs w:val="20"/>
      <w:lang w:val="en-GB" w:eastAsia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001999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001999"/>
  </w:style>
  <w:style w:type="character" w:styleId="Hyperlink">
    <w:name w:val="Hyperlink"/>
    <w:basedOn w:val="DefaultParagraphFont"/>
    <w:uiPriority w:val="99"/>
    <w:unhideWhenUsed/>
    <w:rsid w:val="00001999"/>
    <w:rPr>
      <w:color w:val="0563C1" w:themeColor="hyperlink"/>
      <w:u w:val="single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00199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01999"/>
    <w:pPr>
      <w:spacing w:after="0" w:line="240" w:lineRule="auto"/>
    </w:pPr>
    <w:rPr>
      <w:rFonts w:ascii="Aptos" w:eastAsia="Aptos" w:hAnsi="Aptos" w:cs="Aptos"/>
      <w:lang w:val="en-GB"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19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1999"/>
    <w:rPr>
      <w:rFonts w:ascii="Aptos" w:eastAsia="Aptos" w:hAnsi="Aptos" w:cs="Aptos"/>
      <w:b/>
      <w:bCs/>
      <w:sz w:val="20"/>
      <w:szCs w:val="20"/>
      <w:lang w:val="en-GB" w:eastAsia="fr-FR"/>
    </w:rPr>
  </w:style>
  <w:style w:type="paragraph" w:styleId="Header">
    <w:name w:val="header"/>
    <w:basedOn w:val="Normal"/>
    <w:link w:val="HeaderChar"/>
    <w:uiPriority w:val="99"/>
    <w:unhideWhenUsed/>
    <w:rsid w:val="00001999"/>
    <w:pPr>
      <w:tabs>
        <w:tab w:val="center" w:pos="4536"/>
        <w:tab w:val="right" w:pos="9072"/>
      </w:tabs>
      <w:spacing w:after="0" w:line="240" w:lineRule="auto"/>
    </w:pPr>
    <w:rPr>
      <w:rFonts w:ascii="Aptos" w:eastAsia="Aptos" w:hAnsi="Aptos" w:cs="Aptos"/>
      <w:lang w:val="en-GB" w:eastAsia="fr-FR"/>
    </w:rPr>
  </w:style>
  <w:style w:type="character" w:customStyle="1" w:styleId="HeaderChar">
    <w:name w:val="Header Char"/>
    <w:basedOn w:val="DefaultParagraphFont"/>
    <w:link w:val="Header"/>
    <w:uiPriority w:val="99"/>
    <w:rsid w:val="00001999"/>
    <w:rPr>
      <w:rFonts w:ascii="Aptos" w:eastAsia="Aptos" w:hAnsi="Aptos" w:cs="Aptos"/>
      <w:lang w:val="en-GB" w:eastAsia="fr-FR"/>
    </w:rPr>
  </w:style>
  <w:style w:type="paragraph" w:styleId="Footer">
    <w:name w:val="footer"/>
    <w:basedOn w:val="Normal"/>
    <w:link w:val="FooterChar"/>
    <w:uiPriority w:val="99"/>
    <w:unhideWhenUsed/>
    <w:rsid w:val="00001999"/>
    <w:pPr>
      <w:tabs>
        <w:tab w:val="center" w:pos="4536"/>
        <w:tab w:val="right" w:pos="9072"/>
      </w:tabs>
      <w:spacing w:after="0" w:line="240" w:lineRule="auto"/>
    </w:pPr>
    <w:rPr>
      <w:rFonts w:ascii="Aptos" w:eastAsia="Aptos" w:hAnsi="Aptos" w:cs="Aptos"/>
      <w:lang w:val="en-GB" w:eastAsia="fr-FR"/>
    </w:rPr>
  </w:style>
  <w:style w:type="character" w:customStyle="1" w:styleId="FooterChar">
    <w:name w:val="Footer Char"/>
    <w:basedOn w:val="DefaultParagraphFont"/>
    <w:link w:val="Footer"/>
    <w:uiPriority w:val="99"/>
    <w:rsid w:val="00001999"/>
    <w:rPr>
      <w:rFonts w:ascii="Aptos" w:eastAsia="Aptos" w:hAnsi="Aptos" w:cs="Aptos"/>
      <w:lang w:val="en-GB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1999"/>
    <w:pPr>
      <w:spacing w:after="0" w:line="240" w:lineRule="auto"/>
    </w:pPr>
    <w:rPr>
      <w:rFonts w:ascii="Segoe UI" w:eastAsia="Aptos" w:hAnsi="Segoe UI" w:cs="Segoe UI"/>
      <w:sz w:val="18"/>
      <w:szCs w:val="18"/>
      <w:lang w:val="en-GB" w:eastAsia="fr-F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999"/>
    <w:rPr>
      <w:rFonts w:ascii="Segoe UI" w:eastAsia="Aptos" w:hAnsi="Segoe UI" w:cs="Segoe UI"/>
      <w:sz w:val="18"/>
      <w:szCs w:val="18"/>
      <w:lang w:val="en-GB" w:eastAsia="fr-FR"/>
    </w:rPr>
  </w:style>
  <w:style w:type="table" w:styleId="GridTable4-Accent1">
    <w:name w:val="Grid Table 4 Accent 1"/>
    <w:basedOn w:val="TableNormal"/>
    <w:uiPriority w:val="49"/>
    <w:rsid w:val="00001999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Emphasis">
    <w:name w:val="Emphasis"/>
    <w:basedOn w:val="DefaultParagraphFont"/>
    <w:uiPriority w:val="20"/>
    <w:qFormat/>
    <w:rsid w:val="00001999"/>
    <w:rPr>
      <w:i/>
      <w:iCs/>
    </w:rPr>
  </w:style>
  <w:style w:type="character" w:styleId="Strong">
    <w:name w:val="Strong"/>
    <w:basedOn w:val="DefaultParagraphFont"/>
    <w:uiPriority w:val="22"/>
    <w:qFormat/>
    <w:rsid w:val="00001999"/>
    <w:rPr>
      <w:b/>
      <w:bCs/>
    </w:rPr>
  </w:style>
  <w:style w:type="paragraph" w:customStyle="1" w:styleId="font-claude-response-body">
    <w:name w:val="font-claude-response-body"/>
    <w:basedOn w:val="Normal"/>
    <w:rsid w:val="00001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u-mb-24">
    <w:name w:val="u-mb-24"/>
    <w:basedOn w:val="Normal"/>
    <w:rsid w:val="00001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table" w:customStyle="1" w:styleId="Table">
    <w:name w:val="Table"/>
    <w:semiHidden/>
    <w:unhideWhenUsed/>
    <w:qFormat/>
    <w:rsid w:val="00001999"/>
    <w:pPr>
      <w:spacing w:after="200" w:line="240" w:lineRule="auto"/>
    </w:pPr>
    <w:rPr>
      <w:sz w:val="24"/>
      <w:szCs w:val="24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TableCaption">
    <w:name w:val="Table Caption"/>
    <w:basedOn w:val="Normal"/>
    <w:qFormat/>
    <w:rsid w:val="00001999"/>
    <w:pPr>
      <w:spacing w:after="0" w:line="240" w:lineRule="auto"/>
      <w:jc w:val="center"/>
    </w:pPr>
    <w:rPr>
      <w:rFonts w:eastAsiaTheme="minorEastAsia"/>
      <w:b/>
      <w:i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1999"/>
    <w:pPr>
      <w:spacing w:after="0" w:line="240" w:lineRule="auto"/>
    </w:pPr>
    <w:rPr>
      <w:rFonts w:ascii="Aptos" w:eastAsia="Aptos" w:hAnsi="Aptos" w:cs="Aptos"/>
      <w:sz w:val="20"/>
      <w:szCs w:val="20"/>
      <w:lang w:val="en-GB" w:eastAsia="fr-F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1999"/>
    <w:rPr>
      <w:rFonts w:ascii="Aptos" w:eastAsia="Aptos" w:hAnsi="Aptos" w:cs="Aptos"/>
      <w:sz w:val="20"/>
      <w:szCs w:val="20"/>
      <w:lang w:val="en-GB" w:eastAsia="fr-FR"/>
    </w:rPr>
  </w:style>
  <w:style w:type="character" w:styleId="FootnoteReference">
    <w:name w:val="footnote reference"/>
    <w:basedOn w:val="DefaultParagraphFont"/>
    <w:uiPriority w:val="99"/>
    <w:semiHidden/>
    <w:unhideWhenUsed/>
    <w:rsid w:val="000019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1951</Words>
  <Characters>11124</Characters>
  <Application>Microsoft Office Word</Application>
  <DocSecurity>0</DocSecurity>
  <Lines>92</Lines>
  <Paragraphs>26</Paragraphs>
  <ScaleCrop>false</ScaleCrop>
  <Company/>
  <LinksUpToDate>false</LinksUpToDate>
  <CharactersWithSpaces>13049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Indumathi V</dc:creator>
  <cp:keywords/>
  <dc:description/>
  <cp:lastModifiedBy>Indumathi V</cp:lastModifiedBy>
  <cp:revision>1</cp:revision>
  <dcterms:created xsi:type="dcterms:W3CDTF">2026-07-20T03:35:00Z</dcterms:created>
  <dcterms:modified xsi:type="dcterms:W3CDTF">2026-07-20T03:35:00Z</dcterms:modified>
</cp:coreProperties>
</file>