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F0813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p w14:paraId="4C559346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Table S1. Recorded use of secondary-prevention medications at baseline, 1-year, and 2-year follow-up as a proportion of the baseline CAMI cohort according to CHG tertiles</w:t>
      </w:r>
    </w:p>
    <w:tbl>
      <w:tblPr>
        <w:tblStyle w:val="5"/>
        <w:tblW w:w="9393" w:type="dxa"/>
        <w:tblInd w:w="-366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90"/>
        <w:gridCol w:w="1476"/>
        <w:gridCol w:w="1503"/>
        <w:gridCol w:w="1421"/>
        <w:gridCol w:w="1531"/>
        <w:gridCol w:w="1172"/>
      </w:tblGrid>
      <w:tr w14:paraId="3060FA58">
        <w:trPr>
          <w:trHeight w:val="420" w:hRule="atLeast"/>
        </w:trPr>
        <w:tc>
          <w:tcPr>
            <w:tcW w:w="2290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BBB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Variables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3164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Overall </w:t>
            </w:r>
          </w:p>
          <w:p w14:paraId="0FF42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(n=8,782)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EA89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CHG T1</w:t>
            </w:r>
          </w:p>
          <w:p w14:paraId="242B5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(n=2,928)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E7BF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CHG T2</w:t>
            </w:r>
          </w:p>
          <w:p w14:paraId="2DE60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(n=2,927)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C534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CHG T3</w:t>
            </w:r>
          </w:p>
          <w:p w14:paraId="6D6C4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(n=2,927)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F371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P value</w:t>
            </w:r>
          </w:p>
        </w:tc>
      </w:tr>
      <w:tr w14:paraId="2A444365">
        <w:trPr>
          <w:trHeight w:val="420" w:hRule="atLeast"/>
        </w:trPr>
        <w:tc>
          <w:tcPr>
            <w:tcW w:w="2290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E9C67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Baseline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AFD65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3EC43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7C0C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B3D1A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49802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470984EA">
        <w:trPr>
          <w:trHeight w:val="420" w:hRule="atLeast"/>
        </w:trPr>
        <w:tc>
          <w:tcPr>
            <w:tcW w:w="2290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70DE5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β-blockers, n (%)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C0F2179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6,333 (72.1)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B8405B0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2,097 (71.6)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2DAE59D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2,092 (71.5)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2A7861D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2,144 (73.2)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FD0C45A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0.243</w:t>
            </w:r>
          </w:p>
        </w:tc>
      </w:tr>
      <w:tr w14:paraId="57640848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3CE52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Aspirin,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22F71A4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8,516 (97.0)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1277911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2,824 (96.4)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5C6EDE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2,838 (97.0)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1637DA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2,854 (97.5)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69941D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0.061</w:t>
            </w:r>
          </w:p>
        </w:tc>
      </w:tr>
      <w:tr w14:paraId="01CD73E8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9E93A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DAPT,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2BA1E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7,521 (85.6)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FAEBF0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2,500 (85.4)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3A2443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2,505 (85.6)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8E0286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2,516 (86.0)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037C89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0.816</w:t>
            </w:r>
          </w:p>
        </w:tc>
      </w:tr>
      <w:tr w14:paraId="45F0A33B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E440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ACEI/ARB,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C8A872D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5,100 (58.1)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970A7AF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1,673 (57.1)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1DDB26E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1,707 (58.3)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112CEE0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1,720 (58.8)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972198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0.428</w:t>
            </w:r>
          </w:p>
        </w:tc>
      </w:tr>
      <w:tr w14:paraId="73281C8E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713B4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ipid lowering therapy,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76E560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7</w:t>
            </w: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,974 (</w:t>
            </w: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90</w:t>
            </w: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B4EE563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2,655 (9</w:t>
            </w: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7</w:t>
            </w: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011DC94">
            <w:pPr>
              <w:widowControl/>
              <w:spacing w:line="360" w:lineRule="auto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2,664 (</w:t>
            </w: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91</w:t>
            </w: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.0)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216EE50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2,655 (</w:t>
            </w: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90</w:t>
            </w: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7</w:t>
            </w: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195AC5B">
            <w:pPr>
              <w:widowControl/>
              <w:spacing w:line="360" w:lineRule="auto"/>
              <w:textAlignment w:val="bottom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lang w:val="en-US" w:eastAsia="zh-CN" w:bidi="ar"/>
              </w:rPr>
              <w:t>885</w:t>
            </w:r>
          </w:p>
        </w:tc>
      </w:tr>
      <w:tr w14:paraId="55D8221F">
        <w:trPr>
          <w:trHeight w:val="420" w:hRule="atLeast"/>
        </w:trPr>
        <w:tc>
          <w:tcPr>
            <w:tcW w:w="2290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DF99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1-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val="en-US" w:bidi="ar"/>
              </w:rPr>
              <w:t xml:space="preserve">year 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follow-up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D8AAA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95918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822FF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23D90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10A4C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06D9ECF2">
        <w:trPr>
          <w:trHeight w:val="420" w:hRule="atLeast"/>
        </w:trPr>
        <w:tc>
          <w:tcPr>
            <w:tcW w:w="2290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42BDB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β-blockers, n (%)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5B4E4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6,025 (68.6)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A7D4C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1,994 (68.1)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DABF8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2,014 (68.8)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EF47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2,017 (68.9)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9FCE1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0.7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68</w:t>
            </w:r>
          </w:p>
        </w:tc>
      </w:tr>
      <w:tr w14:paraId="1E2FB271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0E206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Aspirin,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A6BD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8,2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46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 xml:space="preserve"> (93.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295DF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2,738 (93.5)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B783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2,751 (94.0)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34CC1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2,757 (94.2)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C2ED7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536</w:t>
            </w:r>
          </w:p>
        </w:tc>
      </w:tr>
      <w:tr w14:paraId="564F2ED2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C4C8F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DAPT,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33DFD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5,96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 xml:space="preserve"> (67.9)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7F3A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1,939 (66.2)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C0ECA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2,011 (68.7)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93D8E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2,011 (68.7)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0C347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eastAsia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0.06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</w:tr>
      <w:tr w14:paraId="40EC9301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67D4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ACEI/ARB,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8CFBF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4,50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 xml:space="preserve"> (51.3)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9C804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1,487 (50.8)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9FCEC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1,502 (51.3)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56D49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1,513 (51.7)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34F52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785</w:t>
            </w:r>
          </w:p>
        </w:tc>
      </w:tr>
      <w:tr w14:paraId="0977EC16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A6FBE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ipid lowering therapy,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77F7C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8,04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 xml:space="preserve"> (91.6)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F7D3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2,662 (90.9)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A12B4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2,690 (91.9)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16FE1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2,693 (92.0)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193AC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0.2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52</w:t>
            </w:r>
          </w:p>
        </w:tc>
      </w:tr>
      <w:tr w14:paraId="6A93C634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4D1D5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val="en-US" w:bidi="ar"/>
              </w:rPr>
              <w:t xml:space="preserve">year 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follow-up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0B48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EC08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63169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FF947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AFF1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71E45059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04157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β-blockers,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30B9C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5,63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 xml:space="preserve"> (64.1)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FF7F5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1,897 (64.8)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12578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1,876 (64.1)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437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1,859 (63.5)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29EA3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eastAsia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0.59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434FF063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9542F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Aspirin,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4BF4A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8,00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 xml:space="preserve"> (91.1)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74ABB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2,659 (90.8)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F6AE2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2,652 (90.6)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B2DCB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2,693 (92.0)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E40B2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0.1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</w:tr>
      <w:tr w14:paraId="3E96AE2C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74EA3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DAPT,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AB178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1,6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37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 xml:space="preserve"> (18.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C211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580 (19.8)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D44D2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527 (18.0)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81774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530 (18.1)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5AF98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0.1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</w:tr>
      <w:tr w14:paraId="6E24ABC4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A2A29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ACEI/ARB,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20F82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4,004 (45.6)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E94D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1,291 (44.1)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2E805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1,358 (46.4)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0418D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1,355 (46.3)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466C5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135</w:t>
            </w:r>
          </w:p>
        </w:tc>
      </w:tr>
      <w:tr w14:paraId="34640149">
        <w:trPr>
          <w:trHeight w:val="420" w:hRule="atLeast"/>
        </w:trPr>
        <w:tc>
          <w:tcPr>
            <w:tcW w:w="2290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BA984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ipid lowering therapy, n (%)</w:t>
            </w:r>
          </w:p>
        </w:tc>
        <w:tc>
          <w:tcPr>
            <w:tcW w:w="1476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E7C5B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7,68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 xml:space="preserve"> (87.5)</w:t>
            </w:r>
          </w:p>
        </w:tc>
        <w:tc>
          <w:tcPr>
            <w:tcW w:w="1503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A8E7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2,568 (87.7)</w:t>
            </w:r>
          </w:p>
        </w:tc>
        <w:tc>
          <w:tcPr>
            <w:tcW w:w="1421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E7C8F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2,529 (86.4)</w:t>
            </w:r>
          </w:p>
        </w:tc>
        <w:tc>
          <w:tcPr>
            <w:tcW w:w="1531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B4125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2,585 (88.3)</w:t>
            </w:r>
          </w:p>
        </w:tc>
        <w:tc>
          <w:tcPr>
            <w:tcW w:w="1172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9C4FA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078</w:t>
            </w:r>
          </w:p>
        </w:tc>
      </w:tr>
    </w:tbl>
    <w:p w14:paraId="6B845FA5"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T1, T2, and T3 represent the lowest, middle, and highest tertiles of the CHG index within each cohort, respectively.</w:t>
      </w:r>
    </w:p>
    <w:p w14:paraId="20CCA1D4">
      <w:pP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Values are n (%), with denominators fixed at the baseline CHG-tertile sample size. Patients who died before a given visit, were lost to follow-up, or had missing item-level data were retained in the denominator and counted as non-users.</w:t>
      </w:r>
    </w:p>
    <w:p w14:paraId="381FF457"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ascii="Times New Roman Regular" w:hAnsi="Times New Roman Regular" w:cs="Times New Roman Regular"/>
          <w:b w:val="0"/>
          <w:bCs w:val="0"/>
          <w:sz w:val="24"/>
          <w:szCs w:val="24"/>
          <w:highlight w:val="none"/>
        </w:rPr>
        <w:t>Abbreviations: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ACEI/ARB: angiotensin-converting enzyme inhibitor/angiotensin receptor blocker; CHG: cholesterol, high-density lipoprotein, and glucose; DAPT: dual antiplatelet therapy.</w:t>
      </w:r>
    </w:p>
    <w:p w14:paraId="57471335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br w:type="page"/>
      </w:r>
    </w:p>
    <w:p w14:paraId="57F442B0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Table S2. Baseline characteristics of included patients and patients excluded because of missing key variables in the CAMI cohort</w:t>
      </w:r>
    </w:p>
    <w:p w14:paraId="20B2BB4C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tbl>
      <w:tblPr>
        <w:tblStyle w:val="5"/>
        <w:tblW w:w="5944" w:type="pct"/>
        <w:tblInd w:w="-2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93"/>
        <w:gridCol w:w="2739"/>
        <w:gridCol w:w="2706"/>
        <w:gridCol w:w="1407"/>
      </w:tblGrid>
      <w:tr w14:paraId="7424CFD5">
        <w:trPr>
          <w:tblHeader/>
        </w:trPr>
        <w:tc>
          <w:tcPr>
            <w:tcW w:w="1719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A9378B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  <w:t>Variables</w:t>
            </w:r>
          </w:p>
        </w:tc>
        <w:tc>
          <w:tcPr>
            <w:tcW w:w="1311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35453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  <w:t xml:space="preserve">Included patients </w:t>
            </w:r>
          </w:p>
          <w:p w14:paraId="64BBE33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  <w:t>(n = 8,782)</w:t>
            </w:r>
          </w:p>
        </w:tc>
        <w:tc>
          <w:tcPr>
            <w:tcW w:w="1295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0AC527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  <w:t>Excluded patients</w:t>
            </w:r>
          </w:p>
          <w:p w14:paraId="040193E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  <w:t xml:space="preserve"> (n = 17,376)</w:t>
            </w:r>
          </w:p>
        </w:tc>
        <w:tc>
          <w:tcPr>
            <w:tcW w:w="673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61354B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highlight w:val="none"/>
              </w:rPr>
              <w:t>P value</w:t>
            </w:r>
          </w:p>
        </w:tc>
      </w:tr>
      <w:tr w14:paraId="2E88B499">
        <w:tc>
          <w:tcPr>
            <w:tcW w:w="1719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A5432D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Age, years</w:t>
            </w:r>
          </w:p>
        </w:tc>
        <w:tc>
          <w:tcPr>
            <w:tcW w:w="1311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3849DF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61.5 [53.0, 70.0]</w:t>
            </w:r>
          </w:p>
        </w:tc>
        <w:tc>
          <w:tcPr>
            <w:tcW w:w="1295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2EAE7D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62.0 [53.0, 71.0]</w:t>
            </w:r>
          </w:p>
        </w:tc>
        <w:tc>
          <w:tcPr>
            <w:tcW w:w="673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9F0211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0.018</w:t>
            </w:r>
          </w:p>
        </w:tc>
      </w:tr>
      <w:tr w14:paraId="1F23AEAA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B6F56C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Sex, male,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D97BBA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6,587 (75.0)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7D813A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12,860 (74.0)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9E554F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0.086</w:t>
            </w:r>
          </w:p>
        </w:tc>
      </w:tr>
      <w:tr w14:paraId="19F445F2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378194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BMI, kg/m²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BEB965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24.4 [22.1, 26.4]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86F65F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24.3 [22.0, 26.3]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7369E1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0.071</w:t>
            </w:r>
          </w:p>
        </w:tc>
      </w:tr>
      <w:tr w14:paraId="3354C103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EFDE75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Smoking,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BD42D2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4,134 (47.1)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7297DF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8,040 (46.3)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B98852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0.214</w:t>
            </w:r>
          </w:p>
        </w:tc>
      </w:tr>
      <w:tr w14:paraId="3D65D506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57813A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Hypertension,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3A8287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4,374 (49.8)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7CFD5C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8,760 (50.4)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C3B76D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0.356</w:t>
            </w:r>
          </w:p>
        </w:tc>
      </w:tr>
      <w:tr w14:paraId="0E1744D7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0DF56F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Hyperlipidemia,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DE5059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434 (4.9)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F9549C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785 (4.5)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072394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0.139</w:t>
            </w:r>
          </w:p>
        </w:tc>
      </w:tr>
      <w:tr w14:paraId="10302DC0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5A803A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T2DM,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6EAE8A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1,685 (19.2)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C35618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3,400 (19.6)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D695B7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0.468</w:t>
            </w:r>
          </w:p>
        </w:tc>
      </w:tr>
      <w:tr w14:paraId="18B93DC1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E3C6BB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Family history of CAD,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372098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338 (3.8)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5D8A55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620 (3.6)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EC2571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0.282</w:t>
            </w:r>
          </w:p>
        </w:tc>
      </w:tr>
      <w:tr w14:paraId="6E80EE9A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653D30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Previous MI,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C18711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666 (7.6)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4635F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1,350 (7.8)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E729D3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0.584</w:t>
            </w:r>
          </w:p>
        </w:tc>
      </w:tr>
      <w:tr w14:paraId="2774CB48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0C53B2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Previous Stroke,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19B26D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843 (9.6)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0A8A06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1,735 (10.0)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1A18D0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0.322</w:t>
            </w:r>
          </w:p>
        </w:tc>
      </w:tr>
      <w:tr w14:paraId="4346B0C3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F321CB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Previous HF,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4A2B65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188 (2.1)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AD157A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420 (2.4)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91DBA4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0.167</w:t>
            </w:r>
          </w:p>
        </w:tc>
      </w:tr>
      <w:tr w14:paraId="309812C7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C9D486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Previous CABG,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06E8EF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39 (0.4)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2A4D37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80 (0.5)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6AA67C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0.563</w:t>
            </w:r>
          </w:p>
        </w:tc>
      </w:tr>
      <w:tr w14:paraId="757A95D0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C26196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Previous PVD,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8A3BF5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52 (0.6)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5A4717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115 (0.7)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1092D5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0.421</w:t>
            </w:r>
          </w:p>
        </w:tc>
      </w:tr>
      <w:tr w14:paraId="7A8F4DC7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F7135D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Previous CKD,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32A496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88 (1.0)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362477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200 (1.2)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279B09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0.276</w:t>
            </w:r>
          </w:p>
        </w:tc>
      </w:tr>
      <w:tr w14:paraId="784E5155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1CB532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Previous COPD,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5AC5F7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156 (1.8)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AA6649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350 (2.0)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F4654D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0.198</w:t>
            </w:r>
          </w:p>
        </w:tc>
      </w:tr>
      <w:tr w14:paraId="544778B2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A27AB9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SBP, mmHg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ABBE43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129.0 [112.0, 145.0]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FF74D0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128.0 [112.0, 145.0]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A30E33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0.092</w:t>
            </w:r>
          </w:p>
        </w:tc>
      </w:tr>
      <w:tr w14:paraId="0327C6FD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4B04D5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Heart rate, bpm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70DB00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76.0 [66.0, 87.0]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789EC2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77.0 [66.0, 88.0]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18B293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0.041</w:t>
            </w:r>
          </w:p>
        </w:tc>
      </w:tr>
      <w:tr w14:paraId="63571CE6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E7594B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Killip class III/IV,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DD16CE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1,852 (21.1)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D71770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3,790 (21.8)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00F722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0.184</w:t>
            </w:r>
          </w:p>
        </w:tc>
      </w:tr>
      <w:tr w14:paraId="3E4AEB88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5F9254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Cr, μmol/L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1B15B5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72.70 [61.0, 87.5]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2F6AB9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73.5 [61.5, 88.0]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692A9E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0.064</w:t>
            </w:r>
          </w:p>
        </w:tc>
      </w:tr>
      <w:tr w14:paraId="156A9BA2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120FC0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β-blockers,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621EE8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6,333 (72.1)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66B7CF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12,420 (71.5)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61FCB7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0.309</w:t>
            </w:r>
          </w:p>
        </w:tc>
      </w:tr>
      <w:tr w14:paraId="3A299576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22F6DA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Aspirin,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360FA7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8,516 (97.0)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7C0F4C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16,790 (96.6)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ABDE21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0.096</w:t>
            </w:r>
          </w:p>
        </w:tc>
      </w:tr>
      <w:tr w14:paraId="42858E39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F215ED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DAPT,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85444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7,521 (85.6)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38F98E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14,760 (84.9)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5F7782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0.143</w:t>
            </w:r>
          </w:p>
        </w:tc>
      </w:tr>
      <w:tr w14:paraId="74FBF1EA">
        <w:tc>
          <w:tcPr>
            <w:tcW w:w="171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EF08AE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ACEI/ARB, n (%)</w:t>
            </w:r>
          </w:p>
        </w:tc>
        <w:tc>
          <w:tcPr>
            <w:tcW w:w="131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7CC864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5,100 (58.1)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89B13D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10,020 (57.7)</w:t>
            </w:r>
          </w:p>
        </w:tc>
        <w:tc>
          <w:tcPr>
            <w:tcW w:w="673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6A5BEF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0.542</w:t>
            </w:r>
          </w:p>
        </w:tc>
      </w:tr>
      <w:tr w14:paraId="18301D00">
        <w:tc>
          <w:tcPr>
            <w:tcW w:w="1719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E3D6A9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Lipid lowering therapy, n (%)</w:t>
            </w:r>
          </w:p>
        </w:tc>
        <w:tc>
          <w:tcPr>
            <w:tcW w:w="1311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D1EF40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7,974 (90.8)</w:t>
            </w:r>
          </w:p>
        </w:tc>
        <w:tc>
          <w:tcPr>
            <w:tcW w:w="1295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18A470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15,680 (90.2)</w:t>
            </w:r>
          </w:p>
        </w:tc>
        <w:tc>
          <w:tcPr>
            <w:tcW w:w="673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BF0B5B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0.128</w:t>
            </w:r>
          </w:p>
        </w:tc>
      </w:tr>
    </w:tbl>
    <w:p w14:paraId="550199A7">
      <w:pPr>
        <w:rPr>
          <w:rFonts w:hint="eastAsia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hint="eastAsia" w:ascii="Times New Roman Regular" w:hAnsi="Times New Roman Regular" w:cs="Times New Roman Regular"/>
          <w:sz w:val="24"/>
          <w:szCs w:val="24"/>
          <w:highlight w:val="none"/>
          <w:lang w:val="en-US" w:eastAsia="zh-CN"/>
        </w:rPr>
        <w:t>E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 xml:space="preserve">xcluded 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  <w:t xml:space="preserve">patients 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 xml:space="preserve">refers only to those excluded due to missing 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  <w:t xml:space="preserve">key 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variables  (n=17,376).</w:t>
      </w:r>
    </w:p>
    <w:p w14:paraId="0176F961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Abbreviations: ACEI/ARB, angiotensin-converting enzyme inhibitor/angiotensin receptor blocker; BMI, body mass index; CABG, coronary artery bypass grafting; CAD, coronary artery disease; CAMI, China Acute Myocardial Infarction; CKD, chronic kidney disease; COPD, chronic obstructive pulmonary disease; Cr, creatinine; DAPT, dual antiplatelet therapy; HF, heart failure; MI, myocardial infarction; PVD, peripheral vascular disease; SBP, systolic blood pressure; T2DM, type 2 diabetes mellitus.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br w:type="page"/>
      </w:r>
    </w:p>
    <w:p w14:paraId="55101790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p w14:paraId="1A0B16AC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Table S3. Univariable Cox regression analysis of baseline characteristics for 2-year mortality in the CAMI cohort</w:t>
      </w:r>
    </w:p>
    <w:p w14:paraId="28F32666">
      <w:pPr>
        <w:jc w:val="center"/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tbl>
      <w:tblPr>
        <w:tblStyle w:val="5"/>
        <w:tblW w:w="83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29"/>
        <w:gridCol w:w="2763"/>
        <w:gridCol w:w="2095"/>
      </w:tblGrid>
      <w:tr w14:paraId="37DD5C0A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D96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Bold" w:cs="Times New Roman Regular"/>
                <w:b/>
                <w:bCs/>
                <w:sz w:val="24"/>
                <w:szCs w:val="24"/>
                <w:highlight w:val="none"/>
                <w:lang w:val="en-US"/>
              </w:rPr>
            </w:pPr>
            <w:bookmarkStart w:id="0" w:name="_GoBack"/>
            <w:r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Variables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23A6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Bold" w:cs="Times New Roman Regular"/>
                <w:b/>
                <w:bCs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HR (95%CI)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88B9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P value</w:t>
            </w:r>
          </w:p>
        </w:tc>
      </w:tr>
      <w:tr w14:paraId="3B0F4674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0923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Age, years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78D084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1.05 (1.04–1.06)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875B72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31781B2F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4A25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Sex, male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F70FB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0.95 (0.80–1.12)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9FB7C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0.524</w:t>
            </w:r>
          </w:p>
        </w:tc>
      </w:tr>
      <w:tr w14:paraId="79ECBC4C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5A93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Smoking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0ECA91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1.18 (1.02–1.36)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BB56E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0.025</w:t>
            </w:r>
          </w:p>
        </w:tc>
      </w:tr>
      <w:tr w14:paraId="6C82B6D0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6111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BMI, kg/m²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C4A142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1.02 (0.92–1.13)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71CE2F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0.7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06</w:t>
            </w:r>
          </w:p>
        </w:tc>
      </w:tr>
      <w:tr w14:paraId="1DD7674B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D4F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Hypertension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0DBC7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1.30 (1.12–1.51)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C66AEE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6DC48C96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101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Hyperlipidemia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DD4470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1.15 (0.88–1.50)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6A9DE8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0.312</w:t>
            </w:r>
          </w:p>
        </w:tc>
      </w:tr>
      <w:tr w14:paraId="0E584062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6FD9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T2DM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678468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1.82 (1.55–2.15)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75284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56E673A8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9CCD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Family history of CAD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321BF3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0.95 (0.70–1.28)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6011A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0.731</w:t>
            </w:r>
          </w:p>
        </w:tc>
      </w:tr>
      <w:tr w14:paraId="4A2DCABF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2710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MI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AD24CD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1.45 (1.18–1.78)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FF980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28E6C8BE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83C0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Previous 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</w:t>
            </w: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troke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46CB9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1.52 (1.25–1.85)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6043FC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223AD5B5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1396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HF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F505F8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2.65 (2.05–3.42)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5E8659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71409927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51CF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CABG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F83F14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1.60 (0.85–3.02)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B2445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0.145</w:t>
            </w:r>
          </w:p>
        </w:tc>
      </w:tr>
      <w:tr w14:paraId="7CF34F83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7E08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PVD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0D3DED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1.48 (0.92–2.38)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832AD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0.105</w:t>
            </w:r>
          </w:p>
        </w:tc>
      </w:tr>
      <w:tr w14:paraId="3DC21625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F971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CKD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C0C90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(0.91–2.82)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BA0224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102</w:t>
            </w:r>
          </w:p>
        </w:tc>
      </w:tr>
      <w:tr w14:paraId="7BFA518A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2646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COPD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234351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1.58 (1.12–2.22)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0F077D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0.008</w:t>
            </w:r>
          </w:p>
        </w:tc>
      </w:tr>
      <w:tr w14:paraId="7C4B5F61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0817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SBP, mmHg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0E394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0.9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89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02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33F9BD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110</w:t>
            </w:r>
          </w:p>
        </w:tc>
      </w:tr>
      <w:tr w14:paraId="06DAF959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073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Heart rate, bpm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D09682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22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–1.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74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E8DA7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0.684</w:t>
            </w:r>
          </w:p>
        </w:tc>
      </w:tr>
      <w:tr w14:paraId="28CE7BF9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FAF5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Killip class III/IV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F56795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3.45 (2.85–4.18)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0AAA50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443F2754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102D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FBG, mmol/L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978DC0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1.07 (1.05–1.09)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3288DC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109F4E83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419B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TC, mmol/L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5F52DA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1.10 (1.02–1.18)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FA748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0.015</w:t>
            </w:r>
          </w:p>
        </w:tc>
      </w:tr>
      <w:tr w14:paraId="02BB4E08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DEDD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LDL-C, mmol/L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B06B49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1.14 (1.05–1.24)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338A1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0.002</w:t>
            </w:r>
          </w:p>
        </w:tc>
      </w:tr>
      <w:tr w14:paraId="06938A64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B95B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HDL-C, mmol/L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3C01B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0.62 (0.48–0.80)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83454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5C9430F4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8757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TG, mmol/L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BCA23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1.04 (0.98–1.10)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F27FD0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0.185</w:t>
            </w:r>
          </w:p>
        </w:tc>
      </w:tr>
      <w:tr w14:paraId="38ABA5EB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2074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Cr, μmol/L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C5781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1.08 (1.06–1.10)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53651D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1A768304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527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CHG </w:t>
            </w: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index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071B77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1.52 (1.32-1.75)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37AB40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59B7236F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3A30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TyG index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019596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(1.21-1.70)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6E1FC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378B249B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94EB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β-blockers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5E188B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(0.83–1.20)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7CF10E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830</w:t>
            </w:r>
          </w:p>
        </w:tc>
      </w:tr>
      <w:tr w14:paraId="2D15196E">
        <w:trPr>
          <w:trHeight w:val="515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E689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Aspirin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5349D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97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(0.79–1.18)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30E587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732</w:t>
            </w:r>
          </w:p>
        </w:tc>
      </w:tr>
      <w:tr w14:paraId="4226980E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4B20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  <w:t>DAPT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D14F9D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90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69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1.17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C293AE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440</w:t>
            </w:r>
          </w:p>
        </w:tc>
      </w:tr>
      <w:tr w14:paraId="5EB82862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DDA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ACEI/ARB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91217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(0.42–1.65)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A7801B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591</w:t>
            </w:r>
          </w:p>
        </w:tc>
      </w:tr>
      <w:tr w14:paraId="52EA7BA9">
        <w:trPr>
          <w:trHeight w:val="420" w:hRule="atLeast"/>
        </w:trPr>
        <w:tc>
          <w:tcPr>
            <w:tcW w:w="3529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217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Lipid lowering therapy</w:t>
            </w:r>
          </w:p>
        </w:tc>
        <w:tc>
          <w:tcPr>
            <w:tcW w:w="2763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B8625E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18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(0.88–1.57)</w:t>
            </w:r>
          </w:p>
        </w:tc>
        <w:tc>
          <w:tcPr>
            <w:tcW w:w="2095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7F2A6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0.274</w:t>
            </w:r>
          </w:p>
        </w:tc>
      </w:tr>
      <w:bookmarkEnd w:id="0"/>
    </w:tbl>
    <w:p w14:paraId="16D320B1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p w14:paraId="7E68F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sz w:val="24"/>
          <w:szCs w:val="24"/>
          <w:highlight w:val="none"/>
        </w:rPr>
        <w:t xml:space="preserve">Abbreviations: 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ACEI/ARB: angiotensin-converting enzyme inhibitor/angiotensin receptor blocker; BMI: body mass index; CABG: coronary artery bypass grafting; CAD: coronary artery disease; CAMI: China Acute Myocardial Infarction; CHG: cholesterol, high-density lipoprotein, and glucose; CKD: chronic kidney disease; COPD: chronic obstructive pulmonary disease; Cr: creatinine; DAPT: dual antiplatelet therapy; FBG: fasting blood glucose; HDL-C: high-density lipoprotein cholesterol; HF: heart failure; LDL-C: low-density lipoprotein cholesterol; MI: myocardial infarction; PVD: peripheral vascular disease; SBP: systolic blood pressure; T2DM: type 2 diabetes mellitus; TC: total cholesterol; TG: triglyceride; TyG: triglyceride-glucose.</w:t>
      </w:r>
    </w:p>
    <w:p w14:paraId="05740050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br w:type="page"/>
      </w:r>
    </w:p>
    <w:p w14:paraId="4A605007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p w14:paraId="7CCAC1C7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 xml:space="preserve">Table S4. Univariable Cox regression analysis of baseline characteristics for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ll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cause mortality in the Fuwai Hospital cohort</w:t>
      </w:r>
    </w:p>
    <w:p w14:paraId="274225F3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tbl>
      <w:tblPr>
        <w:tblStyle w:val="5"/>
        <w:tblW w:w="83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70"/>
        <w:gridCol w:w="2803"/>
        <w:gridCol w:w="1966"/>
      </w:tblGrid>
      <w:tr w14:paraId="4E71F34D">
        <w:trPr>
          <w:trHeight w:val="473" w:hRule="atLeast"/>
        </w:trPr>
        <w:tc>
          <w:tcPr>
            <w:tcW w:w="3570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022C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Bold" w:cs="Times New Roman Regular"/>
                <w:b/>
                <w:bCs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Variables</w:t>
            </w:r>
          </w:p>
        </w:tc>
        <w:tc>
          <w:tcPr>
            <w:tcW w:w="2803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893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HR (95%CI)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A944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P value</w:t>
            </w:r>
          </w:p>
        </w:tc>
      </w:tr>
      <w:tr w14:paraId="2C0068F0">
        <w:trPr>
          <w:trHeight w:val="420" w:hRule="atLeast"/>
        </w:trPr>
        <w:tc>
          <w:tcPr>
            <w:tcW w:w="3570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2238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Age, years</w:t>
            </w:r>
          </w:p>
        </w:tc>
        <w:tc>
          <w:tcPr>
            <w:tcW w:w="2803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11C85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1.04 (1.02–1.06)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BEF301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3681C9FB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BDCF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Sex, male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E252D8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0.85 (0.60–1.20)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AAB0D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0.352</w:t>
            </w:r>
          </w:p>
        </w:tc>
      </w:tr>
      <w:tr w14:paraId="3B694D1D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315F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Smoking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83AC9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90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(0.76–1.0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846F8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0.189</w:t>
            </w:r>
          </w:p>
        </w:tc>
      </w:tr>
      <w:tr w14:paraId="2A696749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3BC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BMI, kg/m²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28AF68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0.98 (0.94–1.02)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258BF0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0.425</w:t>
            </w:r>
          </w:p>
        </w:tc>
      </w:tr>
      <w:tr w14:paraId="675AE689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22B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STEMI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FA375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1.10 (0.85–1.45)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331A7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0.45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</w:tr>
      <w:tr w14:paraId="06CD08FB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6F1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Killip class III/IV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BCC9E8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2.85 (2.10–3.85)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E532B0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329E8287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49A3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Hypertension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A3AC70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1.25 (1.02–1.55)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186C10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0.035</w:t>
            </w:r>
          </w:p>
        </w:tc>
      </w:tr>
      <w:tr w14:paraId="48813A64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0A9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T2DM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425D1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1.75 (1.35–2.25)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2AD32F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680C3463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8D43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HF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8FEDAE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2.15 (1.55–2.98)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0F8B6E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6E6F228F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E1EB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stroke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033E11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1.45 (1.05–1.98)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B50923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0.022</w:t>
            </w:r>
          </w:p>
        </w:tc>
      </w:tr>
      <w:tr w14:paraId="10C17BB7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C699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PCI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7DDD83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1.20 (0.88–1.65)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497A67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0.254</w:t>
            </w:r>
          </w:p>
        </w:tc>
      </w:tr>
      <w:tr w14:paraId="767DDD4F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1D9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CABG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A2766F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1.35 (0.85–2.15)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E88D0E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97</w:t>
            </w:r>
          </w:p>
        </w:tc>
      </w:tr>
      <w:tr w14:paraId="1B606E7A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8C6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Previous PVD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53947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1.40 (0.95–2.05)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F3E07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0.085</w:t>
            </w:r>
          </w:p>
        </w:tc>
      </w:tr>
      <w:tr w14:paraId="0609A2C2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B55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LDL-C, mmol/L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6ADF2D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1.12 (1.02–1.25)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2BC49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0.023</w:t>
            </w:r>
          </w:p>
        </w:tc>
      </w:tr>
      <w:tr w14:paraId="72B49625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59CF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TG, mmol/L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D692F4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1.05 (0.98–1.12)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F0FDB1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0.155</w:t>
            </w:r>
          </w:p>
        </w:tc>
      </w:tr>
      <w:tr w14:paraId="30EDAA26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B7F9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FBG, mmol/L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E56CC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1.06 (1.03–1.10)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3A51E3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2B2A48DA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BAE0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HbA1c, %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2F50B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1.1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(1.08–1.25)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6129D2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0.001</w:t>
            </w:r>
          </w:p>
        </w:tc>
      </w:tr>
      <w:tr w14:paraId="7127BF21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3EE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hs-CRP, mg/L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BAC76C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0.99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–1.05)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B6429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</w:tr>
      <w:tr w14:paraId="59120D2C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8163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CHG </w:t>
            </w: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index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924F8F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45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12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-1.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88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200F9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0.005</w:t>
            </w:r>
          </w:p>
        </w:tc>
      </w:tr>
      <w:tr w14:paraId="03898A39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9E70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TyG index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288031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1.35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(1.10-1.65)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4C0A2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04</w:t>
            </w:r>
          </w:p>
        </w:tc>
      </w:tr>
      <w:tr w14:paraId="3D2C3887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53E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LVEF, %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4685F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0.92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–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97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A2B367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0.020</w:t>
            </w:r>
          </w:p>
        </w:tc>
      </w:tr>
      <w:tr w14:paraId="430E1821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C5B8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Primary PCI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BD8C7E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0.8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(0.65–1.15)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FE6D0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238</w:t>
            </w:r>
          </w:p>
        </w:tc>
      </w:tr>
      <w:tr w14:paraId="7EB8E047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B83E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β-blockers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7DC59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0.65 (0.45–0.92)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017677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0.015</w:t>
            </w:r>
          </w:p>
        </w:tc>
      </w:tr>
      <w:tr w14:paraId="3C49CC35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AB1D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Aspirin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9D2C7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95</w:t>
            </w: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86</w:t>
            </w: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-1.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05</w:t>
            </w: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CD25A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337</w:t>
            </w:r>
          </w:p>
        </w:tc>
      </w:tr>
      <w:tr w14:paraId="17A3FF94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0235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DAPT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D20B6D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0.55 (0.35–0.85)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F3299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</w:tr>
      <w:tr w14:paraId="2F2CC98C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6019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ACEI/ARB/ARNI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4618C9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0.92 (0.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65</w:t>
            </w: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-1.3</w:t>
            </w:r>
            <w:r>
              <w:rPr>
                <w:rFonts w:hint="eastAsia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8408C0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0.647</w:t>
            </w:r>
          </w:p>
        </w:tc>
      </w:tr>
      <w:tr w14:paraId="5A41B3BF">
        <w:trPr>
          <w:trHeight w:val="420" w:hRule="atLeast"/>
        </w:trPr>
        <w:tc>
          <w:tcPr>
            <w:tcW w:w="3570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FE9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ipid lowering therapy</w:t>
            </w:r>
          </w:p>
        </w:tc>
        <w:tc>
          <w:tcPr>
            <w:tcW w:w="2803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79ABB3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(0.7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–1.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966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9D2B82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112</w:t>
            </w:r>
          </w:p>
        </w:tc>
      </w:tr>
    </w:tbl>
    <w:p w14:paraId="1197C003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p w14:paraId="4C4FF4FD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ascii="Times New Roman Regular" w:hAnsi="Times New Roman Regular" w:cs="Times New Roman Regular"/>
          <w:sz w:val="24"/>
          <w:szCs w:val="24"/>
          <w:highlight w:val="none"/>
        </w:rPr>
        <w:t>Abbreviations: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  <w:t xml:space="preserve"> 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ACEI/ARB/ARNI: angiotensin-converting enzyme inhibitor/angiotensin receptor blocker/angiotensin receptor–neprilysin inhibitor;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  <w:t xml:space="preserve"> 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BMI: body mass index; CABG: coronary artery bypass grafting; CHG: cholesterol, high-density lipoprotein, and glucose; DAPT: dual antiplatelet therapy; FBG: fasting blood glucose; HbA1c: hemoglobin A1c; HF: heart failure; hs-CRP: high-sensitivity C-reactive protein; LDL-C: low-density lipoprotein cholesterol; LVEF: left ventricular ejection fraction; PCI: percutaneous coronary intervention; PVD: peripheral vascular disease; STEMI: ST-segment elevation myocardial infarction; T2DM: type 2 diabetes mellitus; TG: triglyceride; TyG: triglyceride-glucose.</w:t>
      </w:r>
    </w:p>
    <w:p w14:paraId="4145E23E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br w:type="page"/>
      </w:r>
    </w:p>
    <w:p w14:paraId="13DCA37E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Table S5. Discriminative performance of the CHG index, its individual components, and the TyG index for mortality in the CAMI cohort</w:t>
      </w:r>
    </w:p>
    <w:tbl>
      <w:tblPr>
        <w:tblStyle w:val="5"/>
        <w:tblW w:w="6284" w:type="pct"/>
        <w:tblInd w:w="-9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50"/>
        <w:gridCol w:w="1752"/>
        <w:gridCol w:w="2487"/>
        <w:gridCol w:w="1189"/>
        <w:gridCol w:w="2865"/>
      </w:tblGrid>
      <w:tr w14:paraId="16982C13">
        <w:trPr>
          <w:tblHeader/>
        </w:trPr>
        <w:tc>
          <w:tcPr>
            <w:tcW w:w="275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2865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Outcome</w:t>
            </w:r>
          </w:p>
        </w:tc>
        <w:tc>
          <w:tcPr>
            <w:tcW w:w="1752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70E5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Marker</w:t>
            </w:r>
          </w:p>
        </w:tc>
        <w:tc>
          <w:tcPr>
            <w:tcW w:w="2487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6B67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AUC (95% CI)</w:t>
            </w:r>
          </w:p>
        </w:tc>
        <w:tc>
          <w:tcPr>
            <w:tcW w:w="1189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EDE2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ΔAUC</w:t>
            </w:r>
          </w:p>
        </w:tc>
        <w:tc>
          <w:tcPr>
            <w:tcW w:w="2865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B8C9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bottom"/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FDR-adjusted</w:t>
            </w:r>
            <w:r>
              <w:rPr>
                <w:rFonts w:hint="eastAsia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P</w:t>
            </w:r>
            <w:r>
              <w:rPr>
                <w:rFonts w:hint="eastAsia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Bold" w:hAnsi="Times New Roman Bold" w:cs="Times New Roman Bold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value</w:t>
            </w:r>
          </w:p>
        </w:tc>
      </w:tr>
      <w:tr w14:paraId="0FA4CE8A">
        <w:tc>
          <w:tcPr>
            <w:tcW w:w="2750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66DC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In-hospital mortality</w:t>
            </w:r>
          </w:p>
        </w:tc>
        <w:tc>
          <w:tcPr>
            <w:tcW w:w="1752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0923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48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42F4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189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6952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865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716A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8925287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EA5F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ADCD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CHG index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3FEE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0.789 (0.755–0.823)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425E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  <w:t>-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2289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-</w:t>
            </w:r>
          </w:p>
        </w:tc>
      </w:tr>
      <w:tr w14:paraId="4B42E352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F654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DF3F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TC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7C6D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0.610 (0.566–0.654)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D593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-0.179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BA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&lt;0.001</w:t>
            </w:r>
          </w:p>
        </w:tc>
      </w:tr>
      <w:tr w14:paraId="0DDE68C9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C0B7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6A29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FBG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D99E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0.735 (0.698–0.772)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CEC3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-0.054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41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0.018</w:t>
            </w:r>
          </w:p>
        </w:tc>
      </w:tr>
      <w:tr w14:paraId="5A740229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C72E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49F7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HDL-C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4069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0.635 (0.592–0.678)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2AED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-0.154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AA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&lt;0.001</w:t>
            </w:r>
          </w:p>
        </w:tc>
      </w:tr>
      <w:tr w14:paraId="1CCF6A01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F21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C4C6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TyG index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E3F1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0.756 (0.720–0.792)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714D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-0.033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A7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0.032</w:t>
            </w:r>
          </w:p>
        </w:tc>
      </w:tr>
      <w:tr w14:paraId="3DAAAF85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FA23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1-year mortality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B128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CHG index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5BD6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0.753 (0.719–0.787)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E9E1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  <w:t>-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9E64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  <w:t>-</w:t>
            </w:r>
          </w:p>
        </w:tc>
      </w:tr>
      <w:tr w14:paraId="4033561F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9BD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9C3D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TC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CB3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0.598 (0.560–0.636)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4BA4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-0.155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7D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&lt;0.001</w:t>
            </w:r>
          </w:p>
        </w:tc>
      </w:tr>
      <w:tr w14:paraId="5ACBC43F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3179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8F62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FBG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61CE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0.712 (0.676–0.748)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A9BB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-0.041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F9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0.026</w:t>
            </w:r>
          </w:p>
        </w:tc>
      </w:tr>
      <w:tr w14:paraId="61E2C8F0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777E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E4FE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HDL-C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62E6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0.624 (0.586–0.662)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3835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-0.129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6F7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&lt;0.001</w:t>
            </w:r>
          </w:p>
        </w:tc>
      </w:tr>
      <w:tr w14:paraId="37A86923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1158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F6F1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TyG index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6E70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0.724 (0.689–0.759)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FFC7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-0.029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6A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0.041</w:t>
            </w:r>
          </w:p>
        </w:tc>
      </w:tr>
      <w:tr w14:paraId="5848933D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07A0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2-year mortality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84F4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CHG index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03A3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0.751 (0.720–0.782)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97B5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  <w:t>-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B9C1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bidi="ar"/>
              </w:rPr>
              <w:t>-</w:t>
            </w:r>
          </w:p>
        </w:tc>
      </w:tr>
      <w:tr w14:paraId="49D78132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76D5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8DAF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TC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65E7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0.595 (0.560–0.630)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B502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-0.156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F0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&lt;0.001</w:t>
            </w:r>
          </w:p>
        </w:tc>
      </w:tr>
      <w:tr w14:paraId="319A84DF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B8A8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9EC4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FBG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9E27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0.708 (0.675–0.741)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434E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-0.043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028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0.021</w:t>
            </w:r>
          </w:p>
        </w:tc>
      </w:tr>
      <w:tr w14:paraId="5969CF5E">
        <w:tc>
          <w:tcPr>
            <w:tcW w:w="27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8E9B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7917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HDL-C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F568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0.628 (0.593–0.663)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9FAB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-0.123</w:t>
            </w:r>
          </w:p>
        </w:tc>
        <w:tc>
          <w:tcPr>
            <w:tcW w:w="2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098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&lt;0.001</w:t>
            </w:r>
          </w:p>
        </w:tc>
      </w:tr>
      <w:tr w14:paraId="41109B61">
        <w:tc>
          <w:tcPr>
            <w:tcW w:w="2750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D944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752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B47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TyG index</w:t>
            </w:r>
          </w:p>
        </w:tc>
        <w:tc>
          <w:tcPr>
            <w:tcW w:w="248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ABAE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0.732 (0.701–0.763)</w:t>
            </w:r>
          </w:p>
        </w:tc>
        <w:tc>
          <w:tcPr>
            <w:tcW w:w="1189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701D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bidi="ar"/>
              </w:rPr>
              <w:t>-0.019</w:t>
            </w:r>
          </w:p>
        </w:tc>
        <w:tc>
          <w:tcPr>
            <w:tcW w:w="2865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1F95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0.047</w:t>
            </w:r>
          </w:p>
        </w:tc>
      </w:tr>
    </w:tbl>
    <w:p w14:paraId="313F378C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Abbreviations: AUC, area under the curve; CHG, cholesterol, high-density lipoprotein, and glucose; CI, confidence interval; FBG, fasting blood glucose; FDR, false discovery rate; HDL-C, high-density lipoprotein cholesterol; TC, total cholesterol; TyG, triglyceride-glucose.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br w:type="page"/>
      </w:r>
    </w:p>
    <w:p w14:paraId="778126C9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2DA872C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Table S6.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Incremental prognostic information provided by the CHG index, its individual components, and the TyG index beyond the GRACE score in the CAMI cohort</w:t>
      </w:r>
    </w:p>
    <w:tbl>
      <w:tblPr>
        <w:tblStyle w:val="5"/>
        <w:tblW w:w="6243" w:type="pct"/>
        <w:tblInd w:w="-11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72"/>
        <w:gridCol w:w="2083"/>
        <w:gridCol w:w="2071"/>
        <w:gridCol w:w="1205"/>
        <w:gridCol w:w="1608"/>
        <w:gridCol w:w="2302"/>
        <w:gridCol w:w="1568"/>
        <w:gridCol w:w="2812"/>
        <w:gridCol w:w="1304"/>
        <w:gridCol w:w="1304"/>
      </w:tblGrid>
      <w:tr w14:paraId="5A9581EE">
        <w:trPr>
          <w:gridAfter w:val="1"/>
          <w:wAfter w:w="361" w:type="pct"/>
          <w:tblHeader/>
        </w:trPr>
        <w:tc>
          <w:tcPr>
            <w:tcW w:w="491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0BD62D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Outcome</w:t>
            </w:r>
          </w:p>
        </w:tc>
        <w:tc>
          <w:tcPr>
            <w:tcW w:w="577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CD8B23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Model</w:t>
            </w:r>
          </w:p>
        </w:tc>
        <w:tc>
          <w:tcPr>
            <w:tcW w:w="574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3A2D55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AUC (95% CI)</w:t>
            </w:r>
          </w:p>
        </w:tc>
        <w:tc>
          <w:tcPr>
            <w:tcW w:w="334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A0F05B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ΔAUC</w:t>
            </w:r>
          </w:p>
        </w:tc>
        <w:tc>
          <w:tcPr>
            <w:tcW w:w="445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1D1B71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FDR-adjusted P value</w:t>
            </w:r>
          </w:p>
        </w:tc>
        <w:tc>
          <w:tcPr>
            <w:tcW w:w="638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49B456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NRI (95% CI)</w:t>
            </w:r>
          </w:p>
        </w:tc>
        <w:tc>
          <w:tcPr>
            <w:tcW w:w="434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96D5F9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P value</w:t>
            </w:r>
          </w:p>
        </w:tc>
        <w:tc>
          <w:tcPr>
            <w:tcW w:w="779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DB4FC0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IDI (95% CI)</w:t>
            </w:r>
          </w:p>
        </w:tc>
        <w:tc>
          <w:tcPr>
            <w:tcW w:w="361" w:type="pct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E168E0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P value</w:t>
            </w:r>
          </w:p>
        </w:tc>
      </w:tr>
      <w:tr w14:paraId="1E3C3B29">
        <w:trPr>
          <w:gridAfter w:val="1"/>
          <w:wAfter w:w="361" w:type="pct"/>
        </w:trPr>
        <w:tc>
          <w:tcPr>
            <w:tcW w:w="491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A8D1F8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In-hospital mortality</w:t>
            </w:r>
          </w:p>
        </w:tc>
        <w:tc>
          <w:tcPr>
            <w:tcW w:w="577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A59C05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GRACE model</w:t>
            </w:r>
          </w:p>
        </w:tc>
        <w:tc>
          <w:tcPr>
            <w:tcW w:w="574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A3581A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0.765 (0.743–0.798)</w:t>
            </w:r>
          </w:p>
        </w:tc>
        <w:tc>
          <w:tcPr>
            <w:tcW w:w="334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8B903D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445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F842D8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638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EB309B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434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421294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779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3EC93C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361" w:type="pc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52BA9A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</w:tr>
      <w:tr w14:paraId="559A8A10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12A051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E9A21C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TC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2E36DE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0.769 (0.744–0.800)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1FD0CE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0.004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93EF39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0.428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BBDD74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0.009 (-0.012–0.030)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6EED30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0.391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0D6F27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0.003 (-0.004–0.010)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48FA9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0.406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67E5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2CE8727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6137DD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A52C69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FBG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495358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0.781 (0.756–0.812)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20B1E7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0.016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F4447A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0.096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0D2076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0.024 (-0.004–0.052)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4CC850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0.091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6E1AF6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0.011 (-0.002–0.024)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B2E2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0.094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5A0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7C3FFFD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C8DC33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A52A12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HDL-C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DD581D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0.772 (0.747–0.803)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558993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0.007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8BC54F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0.286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0E2355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0.014 (-0.009–0.037)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D17E9C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0.233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BA9E64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0.005 (-0.003–0.013)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7A6B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0.219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37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6D9FAF3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7E410F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F5204F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TyG index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6DE830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0.767 (0.744–0.799)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29F42B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0.002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88FAEA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0.641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2F0E66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0.008 (-0.014–0.030)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B3FE81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0.476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47C7D0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0.002 (-0.005–0.009)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E3D7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0.584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0CA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56A66A5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9B84B2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F50E19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CHG index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DDCBAE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0.815 (0.801–0.849)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0FAB24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0.050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12474D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1860D1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0.052 (0.021–0.083)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0CB05A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FDF6A7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0.035 (0.012–0.058)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84E3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C69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48CEB7E">
        <w:trPr>
          <w:gridAfter w:val="1"/>
          <w:wAfter w:w="361" w:type="pct"/>
        </w:trPr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90C6E2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1-year mortality</w:t>
            </w: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44FF4C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GRACE model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0B2203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0.732 (0.710–0.758)</w:t>
            </w:r>
          </w:p>
        </w:tc>
        <w:tc>
          <w:tcPr>
            <w:tcW w:w="120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04F11D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160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34DE74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CE3FB4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CFCE0E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281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AF188E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9080BF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</w:tr>
      <w:tr w14:paraId="00199826">
        <w:trPr>
          <w:gridAfter w:val="1"/>
          <w:wAfter w:w="361" w:type="pct"/>
        </w:trPr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9C4D36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8DAF8A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TC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681755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0.736 (0.714–0.761)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37A66E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0.004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9D8953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0.452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F8E8AA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0.011 (-0.011–0.033)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6A020D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0.326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7C9649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0.003 (-0.004–0.010)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95EDF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0.391</w:t>
            </w:r>
          </w:p>
        </w:tc>
      </w:tr>
      <w:tr w14:paraId="285B4047">
        <w:trPr>
          <w:gridAfter w:val="1"/>
          <w:wAfter w:w="361" w:type="pct"/>
        </w:trPr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9F27C2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863896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FBG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AD0A2B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0.746 (0.724–0.771)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BECFC3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0.014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6910B6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0.118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EF6C68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0.027 (-0.001–0.055)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5E6E4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0.058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F060B9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0.012 (-0.001–0.025)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EEF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0.071</w:t>
            </w:r>
          </w:p>
        </w:tc>
      </w:tr>
      <w:tr w14:paraId="01504770">
        <w:trPr>
          <w:gridAfter w:val="1"/>
          <w:wAfter w:w="361" w:type="pct"/>
        </w:trPr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899BAB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1CA0F0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HDL-C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F6A91D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0.739 (0.717–0.764)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3451A8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0.007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5E5A68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0.274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BF60D2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0.016 (-0.008–0.040)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A9FA7A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0.190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BC433B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0.006 (-0.002–0.014)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2C0A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0.146</w:t>
            </w:r>
          </w:p>
        </w:tc>
      </w:tr>
      <w:tr w14:paraId="10B97CA7">
        <w:trPr>
          <w:gridAfter w:val="1"/>
          <w:wAfter w:w="361" w:type="pct"/>
        </w:trPr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E0D87D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3BB4E8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TyG index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51CAFC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0.738 (0.716–0.763)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30D32E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0.006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1AC652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0.298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3C9608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0.015 (-0.008–0.038)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0BD57A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0.201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6A3F9C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0.005 (-0.003–0.013)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278A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0.218</w:t>
            </w:r>
          </w:p>
        </w:tc>
      </w:tr>
      <w:tr w14:paraId="530C459C">
        <w:trPr>
          <w:gridAfter w:val="1"/>
          <w:wAfter w:w="361" w:type="pct"/>
        </w:trPr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51208D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55EF89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CHG index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920691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0.768 (0.748–0.783)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6D48D5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0.036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B8338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2B6391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0.065 (0.035–0.095)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7081D9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8B78F9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0.042 (0.020–0.064)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D2440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2E657961">
        <w:trPr>
          <w:gridAfter w:val="1"/>
          <w:wAfter w:w="361" w:type="pct"/>
        </w:trPr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710BD8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2-year mortality</w:t>
            </w: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547CFA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GRACE model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21202F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0.712 (0.698–0.736)</w:t>
            </w:r>
          </w:p>
        </w:tc>
        <w:tc>
          <w:tcPr>
            <w:tcW w:w="120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33C8D5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160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A06776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43FCB8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93F41A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281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81DD3C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93E59B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</w:tr>
      <w:tr w14:paraId="7F3CB92F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BE30FF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49602B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TC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9A4F45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0.716 (0.701–0.739)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F348C5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0.004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7B894F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0.438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558043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0.010 (-0.012–0.032)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CA60C4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0.374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F0E12C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0.003 (-0.004–0.010)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509F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0.412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85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F0C8F61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01810E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1C1791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FBG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B6095E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0.726 (0.711–0.749)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F28F23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0.014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C54094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0.106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CD6E5B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0.026 (-0.002–0.054)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FE2484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0.066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98386D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0.011 (-0.002–0.024)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5AF4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0.082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699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B9BCF90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F4ADB5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68F57C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HDL-C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133C9E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0.719 (0.704–0.742)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DA6848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0.007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D3D6F6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0.261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D16FD8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0.015 (-0.009–0.039)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D37D7D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0.218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1F0453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0.006 (-0.002–0.014)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32CA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0.154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E8F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ED3B4DB">
        <w:tc>
          <w:tcPr>
            <w:tcW w:w="491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7C4C7B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8C731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TyG index</w:t>
            </w:r>
          </w:p>
        </w:tc>
        <w:tc>
          <w:tcPr>
            <w:tcW w:w="57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40AAC9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0.721 (0.706–0.744)</w:t>
            </w:r>
          </w:p>
        </w:tc>
        <w:tc>
          <w:tcPr>
            <w:tcW w:w="3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65E1D9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0.009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5F217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0.171</w:t>
            </w:r>
          </w:p>
        </w:tc>
        <w:tc>
          <w:tcPr>
            <w:tcW w:w="638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2E83F0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0.018 (-0.006–0.042)</w:t>
            </w:r>
          </w:p>
        </w:tc>
        <w:tc>
          <w:tcPr>
            <w:tcW w:w="434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6D9623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0.142</w:t>
            </w:r>
          </w:p>
        </w:tc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E6D96F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0.007 (-0.001–0.015)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4DB1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0.086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E7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47AD859">
        <w:tc>
          <w:tcPr>
            <w:tcW w:w="491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CE955A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577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8C1D8D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+ CHG index</w:t>
            </w:r>
          </w:p>
        </w:tc>
        <w:tc>
          <w:tcPr>
            <w:tcW w:w="574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2A0E46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0.752 (0.741–0.771)</w:t>
            </w:r>
          </w:p>
        </w:tc>
        <w:tc>
          <w:tcPr>
            <w:tcW w:w="334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021FE0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0.040</w:t>
            </w:r>
          </w:p>
        </w:tc>
        <w:tc>
          <w:tcPr>
            <w:tcW w:w="445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3D774C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638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AFA3E0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0.058 (0.028–0.088)</w:t>
            </w:r>
          </w:p>
        </w:tc>
        <w:tc>
          <w:tcPr>
            <w:tcW w:w="434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C43813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779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0FE8A8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0.038 (0.015–0.061)</w:t>
            </w:r>
          </w:p>
        </w:tc>
        <w:tc>
          <w:tcPr>
            <w:tcW w:w="361" w:type="pct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37708B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4DC9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393707E3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br w:type="page"/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Table S7. Discriminative performance of the CHG index, its individual components, and the TyG index for all-cause mortality in the Fuwai Hospital cohort</w:t>
      </w:r>
    </w:p>
    <w:tbl>
      <w:tblPr>
        <w:tblStyle w:val="5"/>
        <w:tblW w:w="522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73"/>
        <w:gridCol w:w="1947"/>
        <w:gridCol w:w="2172"/>
        <w:gridCol w:w="1641"/>
        <w:gridCol w:w="1947"/>
        <w:gridCol w:w="2172"/>
        <w:gridCol w:w="1641"/>
        <w:gridCol w:w="1691"/>
      </w:tblGrid>
      <w:tr w14:paraId="2D8F61A0">
        <w:trPr>
          <w:tblHeader/>
        </w:trPr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8C9513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Outcome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979517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Marker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8BB155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1-year AUC (95% CI)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6DE852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 xml:space="preserve">ΔAUC 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ACBECB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FDR-adjusted P value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51CFE0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3-year AUC (95% CI)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AC8140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 xml:space="preserve">ΔAUC 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6BE81C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FDR-adjusted P value</w:t>
            </w:r>
          </w:p>
        </w:tc>
      </w:tr>
      <w:tr w14:paraId="7EA371BB"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B320F7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All-cause mortality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EA5587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CHG index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71DD80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0.702 (0.653–0.751)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96799B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8F75B8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AF4188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0.725 (0.686–0.764)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D6C640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43D18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-</w:t>
            </w:r>
          </w:p>
        </w:tc>
      </w:tr>
      <w:tr w14:paraId="01A1A292"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0C398E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FED3BD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TC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89AC3C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0.585 (0.532–0.638)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8FA80B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-0.117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CD1C0C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17150A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0.592 (0.548–0.636)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842BFA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-0.133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0B6D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57E32421"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BD1109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D0D136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FBG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75AD79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0.668 (0.616–0.720)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896E52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-0.034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59E30D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</w:t>
            </w: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4</w:t>
            </w:r>
            <w:r>
              <w:rPr>
                <w:rFonts w:hint="default" w:ascii="Times New Roman Regular" w:hAnsi="Times New Roman Regular" w:cs="Times New Roman Regular"/>
                <w:highlight w:val="none"/>
              </w:rPr>
              <w:t>4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701523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0.690 (0.648–0.732)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C539F1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-0.035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4962E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</w:t>
            </w:r>
            <w:r>
              <w:rPr>
                <w:rFonts w:hint="default" w:ascii="Times New Roman Regular" w:hAnsi="Times New Roman Regular" w:cs="Times New Roman Regular"/>
                <w:highlight w:val="none"/>
                <w:lang w:val="en-US"/>
              </w:rPr>
              <w:t>4</w:t>
            </w:r>
            <w:r>
              <w:rPr>
                <w:rFonts w:hint="default" w:ascii="Times New Roman Regular" w:hAnsi="Times New Roman Regular" w:cs="Times New Roman Regular"/>
                <w:highlight w:val="none"/>
              </w:rPr>
              <w:t>2</w:t>
            </w:r>
          </w:p>
        </w:tc>
      </w:tr>
      <w:tr w14:paraId="41CA11E0"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DB7ACE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510517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HDL-C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1ED287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0.612 (0.560–0.664)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826D12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-0.090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5333CE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0.006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27AF51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0.628 (0.584–0.672)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B153F6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-0.097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CFAF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0.004</w:t>
            </w:r>
          </w:p>
        </w:tc>
      </w:tr>
      <w:tr w14:paraId="50D713CA"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46493F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F597B4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TyG index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B7B718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0.664 (0.612–0.716)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C170AA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-0.038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280CE1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2"/>
                <w:highlight w:val="none"/>
                <w:lang w:val="en-US" w:eastAsia="zh-CN" w:bidi="ar-SA"/>
              </w:rPr>
              <w:t>0.032</w:t>
            </w:r>
          </w:p>
        </w:tc>
        <w:tc>
          <w:tcPr>
            <w:tcW w:w="21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99E23A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0.685 (0.643–0.727)</w:t>
            </w:r>
          </w:p>
        </w:tc>
        <w:tc>
          <w:tcPr>
            <w:tcW w:w="164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34F0F6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-0.040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7261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2"/>
                <w:highlight w:val="none"/>
                <w:lang w:val="en-US" w:eastAsia="zh-CN" w:bidi="ar-SA"/>
              </w:rPr>
              <w:t>0.017</w:t>
            </w:r>
          </w:p>
        </w:tc>
      </w:tr>
    </w:tbl>
    <w:p w14:paraId="188D4604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</w:p>
    <w:p w14:paraId="09EACAF5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Abbreviations: AUC, area under the curve; CHG, cholesterol, high-density lipoprotein, and glucose; CI, confidence interval; FBG, fasting blood glucose; FDR, false discovery rate; HDL-C, high-density lipoprotein cholesterol; TC, total cholesterol; TyG, triglyceride-glucose.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br w:type="page"/>
      </w:r>
    </w:p>
    <w:p w14:paraId="0255AEA8">
      <w:pP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</w:p>
    <w:p w14:paraId="2B73851B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able S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>Sensitivity analyses for the association between the CHG index and mortality after excluding patients who died within 48 hours of admission</w:t>
      </w:r>
    </w:p>
    <w:p w14:paraId="19CD6BBB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tbl>
      <w:tblPr>
        <w:tblStyle w:val="6"/>
        <w:tblW w:w="14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216"/>
        <w:gridCol w:w="1473"/>
        <w:gridCol w:w="1978"/>
        <w:gridCol w:w="944"/>
        <w:gridCol w:w="2128"/>
        <w:gridCol w:w="969"/>
        <w:gridCol w:w="2073"/>
        <w:gridCol w:w="1150"/>
      </w:tblGrid>
      <w:tr w14:paraId="07BD21C1">
        <w:tc>
          <w:tcPr>
            <w:tcW w:w="2268" w:type="dxa"/>
            <w:vMerge w:val="restart"/>
            <w:tcBorders>
              <w:top w:val="single" w:color="auto" w:sz="4" w:space="0"/>
              <w:left w:val="nil"/>
              <w:right w:val="nil"/>
            </w:tcBorders>
          </w:tcPr>
          <w:p w14:paraId="1091AF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highlight w:val="none"/>
              </w:rPr>
              <w:t>Event Type</w:t>
            </w:r>
          </w:p>
        </w:tc>
        <w:tc>
          <w:tcPr>
            <w:tcW w:w="1216" w:type="dxa"/>
            <w:vMerge w:val="restart"/>
            <w:tcBorders>
              <w:top w:val="single" w:color="auto" w:sz="4" w:space="0"/>
              <w:left w:val="nil"/>
              <w:right w:val="nil"/>
            </w:tcBorders>
          </w:tcPr>
          <w:p w14:paraId="40157E7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eastAsia="宋体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CHG </w:t>
            </w:r>
          </w:p>
        </w:tc>
        <w:tc>
          <w:tcPr>
            <w:tcW w:w="1473" w:type="dxa"/>
            <w:vMerge w:val="restart"/>
            <w:tcBorders>
              <w:top w:val="single" w:color="auto" w:sz="4" w:space="0"/>
              <w:left w:val="nil"/>
              <w:right w:val="nil"/>
            </w:tcBorders>
          </w:tcPr>
          <w:p w14:paraId="13A2784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Total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(Events)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nil"/>
              <w:right w:val="nil"/>
            </w:tcBorders>
          </w:tcPr>
          <w:p w14:paraId="5AEBE5D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Model 1</w:t>
            </w:r>
          </w:p>
        </w:tc>
        <w:tc>
          <w:tcPr>
            <w:tcW w:w="3097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 w14:paraId="26DE85D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Model 2</w:t>
            </w:r>
          </w:p>
        </w:tc>
        <w:tc>
          <w:tcPr>
            <w:tcW w:w="3223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 w14:paraId="41C042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55574A5">
        <w:trPr>
          <w:trHeight w:val="289" w:hRule="atLeast"/>
        </w:trPr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7DC4940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vMerge w:val="continue"/>
            <w:tcBorders>
              <w:left w:val="nil"/>
              <w:bottom w:val="single" w:color="000000" w:sz="4" w:space="0"/>
              <w:right w:val="nil"/>
            </w:tcBorders>
          </w:tcPr>
          <w:p w14:paraId="79706D4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vMerge w:val="continue"/>
            <w:tcBorders>
              <w:left w:val="nil"/>
              <w:bottom w:val="single" w:color="000000" w:sz="4" w:space="0"/>
              <w:right w:val="nil"/>
            </w:tcBorders>
          </w:tcPr>
          <w:p w14:paraId="691CD2E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 w14:paraId="11D38B8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944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 w14:paraId="7B9BDE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  <w:tc>
          <w:tcPr>
            <w:tcW w:w="21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 w14:paraId="25BE6F5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 w14:paraId="15C2C1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  <w:tc>
          <w:tcPr>
            <w:tcW w:w="2073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 w14:paraId="6B8C54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 w14:paraId="019DFF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671320A0">
        <w:trPr>
          <w:trHeight w:val="302" w:hRule="atLeast"/>
        </w:trPr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A689B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eastAsia="宋体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sz w:val="24"/>
                <w:szCs w:val="24"/>
                <w:highlight w:val="none"/>
                <w:vertAlign w:val="superscript"/>
                <w:lang w:bidi="ar"/>
              </w:rPr>
              <w:t>*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CAMI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7A18221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124C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7A4BA36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 w:eastAsiaTheme="minorEastAsia"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42C895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41AB10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 w:eastAsiaTheme="minorEastAsia"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2F0709C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14:paraId="3C0DF6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 w:eastAsiaTheme="minorEastAsia"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EADA8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A09289">
        <w:trPr>
          <w:trHeight w:val="302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79A7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In-hospital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E19E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5909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2915 (18)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97FA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2C80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00A9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2DAC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F1C3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A5EB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4E614CAE">
        <w:trPr>
          <w:trHeight w:val="362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255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7177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D30B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2912 (38)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1A9C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1.62 (1.02-2.58)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B08F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0.041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3C51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1.55 (0.95-2.45)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E047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0.078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EFB2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1.48 (0.91-2.42)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6463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0.116</w:t>
            </w:r>
          </w:p>
        </w:tc>
      </w:tr>
      <w:tr w14:paraId="1A454246">
        <w:trPr>
          <w:trHeight w:val="405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783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5729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962D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2913 (54)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1D27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2.65 (1.82-3.85)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3B21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4D3A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2.50 (1.70-3.68)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9AF8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078E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2.35 (1.56-3.58)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C31F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0CAA8B19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C28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37BB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D864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8740 (110)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51C1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1.48 (1.25-1.75)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4B24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8C9B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1.42 (1.18-1.70)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ECBC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CF69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1.39 (1.12-1.68)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C385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0.002</w:t>
            </w:r>
          </w:p>
        </w:tc>
      </w:tr>
      <w:tr w14:paraId="2FDE3847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6EC9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1-year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0152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7C5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2915 (35)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7FE1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B66F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9C47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2953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3619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35B9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4A92E9F8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1D6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BD8E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BF49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2912 (62)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368A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1.55 (1.05-2.28)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284B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0.025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952B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1.48 (0.98-2.22)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71D3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0.062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8554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1.43 (0.92-2.18)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CEC5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0.105</w:t>
            </w:r>
          </w:p>
        </w:tc>
      </w:tr>
      <w:tr w14:paraId="6CD3A959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6A3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4143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79DB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2913 (103)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ACC8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2.38 (1.78-3.18)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5165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78D8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2.30 (1.70-3.10)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E5B0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6D83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2.22 (1.63-3.06)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2549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643DEBEC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4B7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5CF3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C4DF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8740 (200)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90CA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1.45 (1.25-1.68)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6198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F6F1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1.40 (1.18-1.65)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4E39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B56A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1.35 (1.12-1.63)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8B6E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0.001</w:t>
            </w:r>
          </w:p>
        </w:tc>
      </w:tr>
      <w:tr w14:paraId="44C27EF2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0B08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2-year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FEA5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D6B7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2915 (58)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06AA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7776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BBCB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3E20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39BD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F14E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04032869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CE2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0B75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7969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2912 (95)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9325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1.52 (1.12-2.05)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C12E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0.008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D508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1.48 (1.08-2.02)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8130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0.015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DE8C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1.41 (1.03-1.95)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7E4D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0.033</w:t>
            </w:r>
          </w:p>
        </w:tc>
      </w:tr>
      <w:tr w14:paraId="64CD8FF8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1F3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5A6E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0AD2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2913 (155)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09FA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2.45 (1.82-3.30)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9400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92FB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2.35 (1.75-3.15)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8790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759C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2.29 (1.</w:t>
            </w:r>
            <w:r>
              <w:rPr>
                <w:rFonts w:hint="eastAsia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9–3.13)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B300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719F66F8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91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636B5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9E29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8740 (308)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6899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1.42 (1.25–1.62)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9D57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F7ED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1.38 (1.18–1.60)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0D52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DAF4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1.33 (1.13–1.55)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A118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0.001</w:t>
            </w:r>
          </w:p>
        </w:tc>
      </w:tr>
      <w:tr w14:paraId="355FFED5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E2CC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#Fuwai Hospital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7E1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A094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1DF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19A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27B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AF2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0F9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5C9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9D2F11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00FA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All-cause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4CD6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81B6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1155 (21)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FAFA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2A22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4E35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1E9D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43B7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A08B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17C49A89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390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E982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0553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1154 (37)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2875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1.70 (0.98–2.95)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EABF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0.058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8AFC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1.62 (0.90–2.92)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D095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0.088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D0FF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1.56 (0.88–2.85)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A9F7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0.105</w:t>
            </w:r>
          </w:p>
        </w:tc>
      </w:tr>
      <w:tr w14:paraId="288C9676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928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EC3F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0B38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1154 (54)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3D88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2.38 (1.45–3.92)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6530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C6F9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2.18 (1.30–3.65)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2B0B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2AF7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2.08 (1.21–3.56)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2C85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0.003</w:t>
            </w:r>
          </w:p>
        </w:tc>
      </w:tr>
      <w:tr w14:paraId="107C0369">
        <w:trPr>
          <w:trHeight w:val="56" w:hRule="atLeast"/>
        </w:trPr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37AE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CF67DE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749D34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3463 (112)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63C018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1.38 (1.08–1.76)</w:t>
            </w:r>
          </w:p>
        </w:tc>
        <w:tc>
          <w:tcPr>
            <w:tcW w:w="94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7132F4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6094FB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1.35 (1.04–1.72)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E45188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0.022</w:t>
            </w:r>
          </w:p>
        </w:tc>
        <w:tc>
          <w:tcPr>
            <w:tcW w:w="207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BCA80C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1.31 (1.04–1.71)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2BA4F2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bCs w:val="0"/>
                <w:color w:val="000000" w:themeColor="text1"/>
                <w:sz w:val="24"/>
                <w:szCs w:val="24"/>
                <w:highlight w:val="none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0.018</w:t>
            </w:r>
          </w:p>
        </w:tc>
      </w:tr>
    </w:tbl>
    <w:p w14:paraId="2304C16E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441540AD">
      <w:pPr>
        <w:spacing w:line="360" w:lineRule="auto"/>
        <w:rPr>
          <w:rFonts w:ascii="Times New Roman Regular" w:hAnsi="Times New Roman Regular" w:eastAsia="微软雅黑" w:cs="Times New Roman Regular"/>
          <w:sz w:val="24"/>
          <w:szCs w:val="24"/>
          <w:highlight w:val="none"/>
          <w:vertAlign w:val="superscript"/>
          <w:lang w:bidi="ar"/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T1, T2, and T3 represent the lowest, middle, and highest tertiles of the CHG index within each cohort, respectively.</w:t>
      </w:r>
    </w:p>
    <w:p w14:paraId="23520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微软雅黑" w:cs="Times New Roman Regular"/>
          <w:sz w:val="24"/>
          <w:szCs w:val="24"/>
          <w:highlight w:val="none"/>
          <w:vertAlign w:val="superscript"/>
          <w:lang w:bidi="ar"/>
        </w:rPr>
        <w:t>*</w:t>
      </w:r>
      <w:r>
        <w:rPr>
          <w:rFonts w:ascii="Times New Roman Regular" w:hAnsi="Times New Roman Regular" w:cs="Times New Roman Regular"/>
          <w:sz w:val="24"/>
          <w:szCs w:val="24"/>
          <w:highlight w:val="none"/>
        </w:rPr>
        <w:t xml:space="preserve">Adjustments: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Model 1: unadjusted. Model 2: adjusted for age, BMI, sex, and smoking. Model 3: additionally adjusted for ACEI/ARB, aspirin,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β-blockers, Cr, family history of CAD,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DAPT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hyperlipidemia, hypertension, Killip class III/IV, LDL-C, previous CABG, previous COPD, previous HF, previous MI, previous stroke,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ipid lowering therapy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, and T2DM.</w:t>
      </w:r>
      <w:r>
        <w:rPr>
          <w:rFonts w:ascii="Times New Roman Regular" w:hAnsi="Times New Roman Regular" w:cs="Times New Roman Regular"/>
          <w:sz w:val="24"/>
          <w:szCs w:val="24"/>
          <w:highlight w:val="none"/>
        </w:rPr>
        <w:t xml:space="preserve"> </w:t>
      </w:r>
    </w:p>
    <w:p w14:paraId="32F1D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vertAlign w:val="superscript"/>
          <w:lang w:bidi="ar"/>
          <w14:textFill>
            <w14:solidFill>
              <w14:schemeClr w14:val="tx1"/>
            </w14:solidFill>
          </w14:textFill>
        </w:rPr>
        <w:t>#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Adjustments: Model 1: unadjusted. Model 2: adjusted for age, BMI, sex, and smoking. Model 3: additionally adjusted for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ACEI/ARB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/ARNI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aspirin,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β-blockers, DAPT, HbA1c, hypertension, Killip class III/IV, LDL-C, LVEF, previous CABG, previous HF, previous PVD, previous stroke,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ipid lowering therapy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, STEMI, and T2DM. </w:t>
      </w:r>
    </w:p>
    <w:p w14:paraId="05227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Abbreviations: </w:t>
      </w:r>
      <w:r>
        <w:rPr>
          <w:rFonts w:hint="eastAsia" w:ascii="Times New Roman Regular" w:hAnsi="Times New Roman Regular" w:cs="Times New Roman Regular"/>
          <w:kern w:val="0"/>
          <w:sz w:val="24"/>
          <w:szCs w:val="24"/>
          <w:highlight w:val="none"/>
          <w:lang w:bidi="ar"/>
        </w:rPr>
        <w:t>ACEI/ARB/ARNI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: angiotensin-converting enzyme inhibitor/angiotensin receptor blocker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  <w:t>/angiotensin receptor–neprilysin inhibitor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;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AMI: acute myocardial infarction; BMI: body mass index; CABG: coronary artery bypass grafting; CAD: coronary artery disease; CAMI: China Acute Myocardial Infarction; CHG: cholesterol, high-density lipoprotein, and glucose; CI: confidence interval; COPD: chronic obstructive pulmonary disease; Cr: creatinine; DAPT: dual antiplatelet therapy; HbA1c: hemoglobin A1c; HF: heart failure; HR: hazard ratio; LDL-C: low-density lipoprotein cholesterol; LVEF: left ventricular ejection fraction; MI: myocardial infarction; PVD: peripheral vascular disease; Ref: reference; STEMI: ST-segment elevation myocardial infarction; T2DM: type 2 diabetes mellitus.</w:t>
      </w:r>
    </w:p>
    <w:p w14:paraId="12E79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hint="default" w:ascii="Times New Roman Regular" w:hAnsi="Times New Roman Regular" w:cs="Times New Roman Regular"/>
          <w:sz w:val="24"/>
          <w:szCs w:val="24"/>
          <w:highlight w:val="none"/>
        </w:rPr>
        <w:br w:type="page"/>
      </w:r>
    </w:p>
    <w:p w14:paraId="1410D1E1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07C78FF2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</w:p>
    <w:p w14:paraId="29154EBF">
      <w:pPr>
        <w:keepNext w:val="0"/>
        <w:keepLines w:val="0"/>
        <w:widowControl/>
        <w:suppressLineNumbers w:val="0"/>
        <w:jc w:val="left"/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highlight w:val="none"/>
          <w:lang w:val="en-US" w:eastAsia="zh-CN" w:bidi="ar"/>
        </w:rPr>
        <w:t>Table S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highlight w:val="none"/>
          <w:lang w:val="en-US" w:eastAsia="zh-CN" w:bidi="ar"/>
        </w:rPr>
        <w:t>9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highlight w:val="none"/>
          <w:lang w:val="en-US" w:eastAsia="zh-CN" w:bidi="ar"/>
        </w:rPr>
        <w:t>. Association between the CHG index and mortality in the complete-case sensitivity analysis</w:t>
      </w:r>
    </w:p>
    <w:tbl>
      <w:tblPr>
        <w:tblStyle w:val="5"/>
        <w:tblW w:w="1361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4"/>
        <w:gridCol w:w="1054"/>
        <w:gridCol w:w="1500"/>
        <w:gridCol w:w="2280"/>
        <w:gridCol w:w="834"/>
        <w:gridCol w:w="2280"/>
        <w:gridCol w:w="834"/>
        <w:gridCol w:w="2280"/>
        <w:gridCol w:w="834"/>
      </w:tblGrid>
      <w:tr w14:paraId="0AF15949">
        <w:trPr>
          <w:trHeight w:val="420" w:hRule="atLeast"/>
        </w:trPr>
        <w:tc>
          <w:tcPr>
            <w:tcW w:w="1714" w:type="dxa"/>
            <w:vMerge w:val="restart"/>
            <w:tcBorders>
              <w:top w:val="single" w:color="CCCCCC" w:sz="8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F9EEE2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Event Type</w:t>
            </w:r>
          </w:p>
        </w:tc>
        <w:tc>
          <w:tcPr>
            <w:tcW w:w="1054" w:type="dxa"/>
            <w:vMerge w:val="restart"/>
            <w:tcBorders>
              <w:top w:val="single" w:color="CCCCCC" w:sz="8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613042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CHG</w:t>
            </w:r>
          </w:p>
        </w:tc>
        <w:tc>
          <w:tcPr>
            <w:tcW w:w="1500" w:type="dxa"/>
            <w:vMerge w:val="restart"/>
            <w:tcBorders>
              <w:top w:val="single" w:color="CCCCCC" w:sz="8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BE7485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Total (Events)</w:t>
            </w:r>
          </w:p>
        </w:tc>
        <w:tc>
          <w:tcPr>
            <w:tcW w:w="3114" w:type="dxa"/>
            <w:gridSpan w:val="2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043B8A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Model 1</w:t>
            </w:r>
          </w:p>
        </w:tc>
        <w:tc>
          <w:tcPr>
            <w:tcW w:w="3114" w:type="dxa"/>
            <w:gridSpan w:val="2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6B76E77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Model 2</w:t>
            </w:r>
          </w:p>
        </w:tc>
        <w:tc>
          <w:tcPr>
            <w:tcW w:w="3114" w:type="dxa"/>
            <w:gridSpan w:val="2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28006DE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C2B04A8">
        <w:trPr>
          <w:trHeight w:val="420" w:hRule="atLeast"/>
        </w:trPr>
        <w:tc>
          <w:tcPr>
            <w:tcW w:w="1714" w:type="dxa"/>
            <w:vMerge w:val="continue"/>
            <w:tcBorders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03713F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vMerge w:val="continue"/>
            <w:tcBorders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68DCC0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E60DC4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7614E61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29886E2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5349BE7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5FC96BE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1E4D39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5777A7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37EDD723">
        <w:trPr>
          <w:trHeight w:val="420" w:hRule="atLeast"/>
        </w:trPr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993C19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CAMI cohort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F76E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4E907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A7C1D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AE660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6A48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49FD5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70E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7F00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50ADD3AB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AC9079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In-hospital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F894C2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AB484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2794 (24)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B08527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6B39F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BE3F4D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2845ED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E85CFD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5D509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2426CF81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C3A35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6B2CE1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3A198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2793 (43)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F8D49F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1.80 (1.08-3.00)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A66C8D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0.024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1C475F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1.68 (1.02-2.75)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D15B11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0.041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C0D550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1.55 (0.98-2.55)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0CCD9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0.058</w:t>
            </w:r>
          </w:p>
        </w:tc>
      </w:tr>
      <w:tr w14:paraId="6AAB106A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49DCD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00228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8E35FA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2793 (78)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F498A9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3.30 (2.05-5.30)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5E3585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40BD82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2.92 (1.82-4.68)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FCDB50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2E46F9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2.62 (1.61-4.28)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37A4A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31A06580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F732F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15E3F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FCD7DE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8380 (145)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7227C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1.62 (1.35-1.95)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189AA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243DE4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1.52 (1.25-1.85)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B3B81C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2258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1.45 (1.19-1.78)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85047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7621DE85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F8D7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1-year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C0206D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84BC8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2794 (40)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BC8BB1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F4F63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4A5573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4C6BC2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93E9EA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8DF256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6182E690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0279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A28F36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F47B3E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2793 (68)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14DB8F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1.65 (1.12-2.42)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E3173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0.011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6E0E59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1.55 (1.05-2.30)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6CE657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0.028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1404D9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1.48 (1.01-2.18)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FD5970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0.047</w:t>
            </w:r>
          </w:p>
        </w:tc>
      </w:tr>
      <w:tr w14:paraId="7EAB9691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48DE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314246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FEB0DB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2793 (125)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E2B41E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2.80 (2.15-3.65)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3F0C3E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ECB114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2.75 (1.92-3.40)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1F9ED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A8AADB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2.55 (1.79-3.28)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FD79E7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44BF262F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B0184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BC600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833A1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8380 (233)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B94EDC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1.55 (1.32-1.82)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EE7664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A7D3F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1.48 (1.25-1.72)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AEC791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E1846A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1.40 (1.18-1.66)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EC05F1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721011DC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C6EE73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2-year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A5E877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E16ECA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2794 (62)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3B4364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AE3033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A1C225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8C8108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938D8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FE6101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3EF75351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49CC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F68CDF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FA700D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2793 (102)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2E32D3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1.60 (1.18-2.18)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68B28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0.003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E2C255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1.50 (1.10-2.05)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A37834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0.012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E0CCDD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1.45 (1.06-1.95)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ACE3C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0.022</w:t>
            </w:r>
          </w:p>
        </w:tc>
      </w:tr>
      <w:tr w14:paraId="3B3CC4AF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392E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5C2D7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2A1462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2793 (172)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D24763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2.82 (2.08-3.80)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5CE3F3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F28FC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2.52 (1.88-3.42)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DFF164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676527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2.38 (1.76-3.22)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7FF3DE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43C39709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8CA2A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68889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E70F5D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8380 (336)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6782C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1.50 (1.30-1.72)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C5EBE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CDDC67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1.42 (1.22-1.65)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89B07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89CF9C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1.36 (1.15-1.59)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1FFDCE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496F36E0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76848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#Fuwai Hospital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149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E58770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1AF6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FF0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9B19C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EB97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5D8A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32C78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7F9FC17D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5BB59B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All-cause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01E97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EEEE7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1106 (21)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6FF07E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545955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BCAB26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7100B3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251FD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6095DA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6CF1EEFF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2B4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B44541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D6215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1107 (36)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485DF2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1.72 (1.00-2.95)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546B66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0.05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878E74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1.62 (0.94-2.80)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A6D386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0.082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1D682A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1.56 (0.88-2.71)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CE8FF5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0.105</w:t>
            </w:r>
          </w:p>
        </w:tc>
      </w:tr>
      <w:tr w14:paraId="67377C70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C0188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FA1CC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C6378F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1107 (52)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AAE574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2.52 (1.52-4.18)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218BD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4E413A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2.28 (1.35-3.80)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109F03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0.002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44D85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2.13 (1.25-3.61)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1588B8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0.002</w:t>
            </w:r>
          </w:p>
        </w:tc>
      </w:tr>
      <w:tr w14:paraId="23DDC5FA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429B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8C960A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910899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3320 (109)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E5D46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1.42 (1.10-1.85)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BF1BA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0.008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B36B87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1.35 (1.04-1.75)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9494C2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0.025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97F18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1.31 (1.03-1.72)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289B05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0.042</w:t>
            </w:r>
          </w:p>
        </w:tc>
      </w:tr>
    </w:tbl>
    <w:p w14:paraId="475817ED"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T1, T2, and T3 represent the lowest, middle, and highest tertiles of the CHG index within each cohort, respectively.</w:t>
      </w:r>
    </w:p>
    <w:p w14:paraId="020EB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微软雅黑" w:cs="Times New Roman Regular"/>
          <w:sz w:val="24"/>
          <w:szCs w:val="24"/>
          <w:highlight w:val="none"/>
          <w:vertAlign w:val="superscript"/>
          <w:lang w:bidi="ar"/>
        </w:rPr>
        <w:t>*</w:t>
      </w:r>
      <w:r>
        <w:rPr>
          <w:rFonts w:ascii="Times New Roman Regular" w:hAnsi="Times New Roman Regular" w:cs="Times New Roman Regular"/>
          <w:sz w:val="24"/>
          <w:szCs w:val="24"/>
          <w:highlight w:val="none"/>
        </w:rPr>
        <w:t xml:space="preserve">Adjustments: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Model 1: unadjusted. Model 2: adjusted for age, BMI, sex, and smoking. Model 3: additionally adjusted for ACEI/ARB, aspirin,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β-blockers, Cr, family history of CAD,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DAPT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hyperlipidemia, hypertension, Killip class III/IV, LDL-C, previous CABG, previous COPD, previous HF, previous MI, previous stroke,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ipid lowering therapy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, and T2DM.</w:t>
      </w:r>
      <w:r>
        <w:rPr>
          <w:rFonts w:ascii="Times New Roman Regular" w:hAnsi="Times New Roman Regular" w:cs="Times New Roman Regular"/>
          <w:sz w:val="24"/>
          <w:szCs w:val="24"/>
          <w:highlight w:val="none"/>
        </w:rPr>
        <w:t xml:space="preserve"> </w:t>
      </w:r>
    </w:p>
    <w:p w14:paraId="25355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vertAlign w:val="superscript"/>
          <w:lang w:bidi="ar"/>
          <w14:textFill>
            <w14:solidFill>
              <w14:schemeClr w14:val="tx1"/>
            </w14:solidFill>
          </w14:textFill>
        </w:rPr>
        <w:t>#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Adjustments: Model 1: unadjusted. Model 2: adjusted for age, BMI, sex, and smoking. Model 3: additionally adjusted for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ACEI/ARB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/ARNI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aspirin,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β-blockers, DAPT, HbA1c, hypertension, Killip class III/IV, LDL-C, LVEF, previous CABG, previous HF, previous PVD, previous stroke,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ipid lowering therapy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, STEMI, and T2DM. </w:t>
      </w:r>
    </w:p>
    <w:p w14:paraId="3E35E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Abbreviations: </w:t>
      </w:r>
      <w:r>
        <w:rPr>
          <w:rFonts w:hint="eastAsia" w:ascii="Times New Roman Regular" w:hAnsi="Times New Roman Regular" w:cs="Times New Roman Regular"/>
          <w:kern w:val="0"/>
          <w:sz w:val="24"/>
          <w:szCs w:val="24"/>
          <w:highlight w:val="none"/>
          <w:lang w:bidi="ar"/>
        </w:rPr>
        <w:t>ACEI/ARB/ARNI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: angiotensin-converting enzyme inhibitor/angiotensin receptor blocker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  <w:t>/angiotensin receptor–neprilysin inhibitor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;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AMI: acute myocardial infarction; BMI: body mass index; CABG: coronary artery bypass grafting; CAD: coronary artery disease; CAMI: China Acute Myocardial Infarction; CHG: cholesterol, high-density lipoprotein, and glucose; CI: confidence interval; COPD: chronic obstructive pulmonary disease; Cr: creatinine; DAPT: dual antiplatelet therapy; HbA1c: hemoglobin A1c; HF: heart failure; HR: hazard ratio; LDL-C: low-density lipoprotein cholesterol; LVEF: left ventricular ejection fraction; MI: myocardial infarction; PVD: peripheral vascular disease; Ref: reference; STEMI: ST-segment elevation myocardial infarction; T2DM: type 2 diabetes mellitus.</w:t>
      </w:r>
    </w:p>
    <w:p w14:paraId="5BAC4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br w:type="page"/>
      </w:r>
    </w:p>
    <w:p w14:paraId="07E17259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6F833C3A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/>
        </w:rPr>
        <w:t>Table S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10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/>
        </w:rPr>
        <w:t xml:space="preserve">.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 xml:space="preserve">Association between the CHG index and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/>
        </w:rPr>
        <w:t>mortality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 xml:space="preserve"> using multiple imputation by chained equations (MICE) for missing covariates</w:t>
      </w:r>
    </w:p>
    <w:tbl>
      <w:tblPr>
        <w:tblStyle w:val="5"/>
        <w:tblW w:w="1361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4"/>
        <w:gridCol w:w="1054"/>
        <w:gridCol w:w="1500"/>
        <w:gridCol w:w="2280"/>
        <w:gridCol w:w="834"/>
        <w:gridCol w:w="2280"/>
        <w:gridCol w:w="834"/>
        <w:gridCol w:w="2280"/>
        <w:gridCol w:w="834"/>
      </w:tblGrid>
      <w:tr w14:paraId="5F2ED82F">
        <w:trPr>
          <w:trHeight w:val="420" w:hRule="atLeast"/>
        </w:trPr>
        <w:tc>
          <w:tcPr>
            <w:tcW w:w="1714" w:type="dxa"/>
            <w:vMerge w:val="restart"/>
            <w:tcBorders>
              <w:top w:val="single" w:color="CCCCCC" w:sz="8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BA4FAD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Event Type</w:t>
            </w:r>
          </w:p>
        </w:tc>
        <w:tc>
          <w:tcPr>
            <w:tcW w:w="1054" w:type="dxa"/>
            <w:vMerge w:val="restart"/>
            <w:tcBorders>
              <w:top w:val="single" w:color="CCCCCC" w:sz="8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95D3D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CHG</w:t>
            </w:r>
          </w:p>
        </w:tc>
        <w:tc>
          <w:tcPr>
            <w:tcW w:w="1500" w:type="dxa"/>
            <w:vMerge w:val="restart"/>
            <w:tcBorders>
              <w:top w:val="single" w:color="CCCCCC" w:sz="8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333A4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Total (Events)</w:t>
            </w:r>
          </w:p>
        </w:tc>
        <w:tc>
          <w:tcPr>
            <w:tcW w:w="3114" w:type="dxa"/>
            <w:gridSpan w:val="2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6BD415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Model 1</w:t>
            </w:r>
          </w:p>
        </w:tc>
        <w:tc>
          <w:tcPr>
            <w:tcW w:w="3114" w:type="dxa"/>
            <w:gridSpan w:val="2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7D8E47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Model 2</w:t>
            </w:r>
          </w:p>
        </w:tc>
        <w:tc>
          <w:tcPr>
            <w:tcW w:w="3114" w:type="dxa"/>
            <w:gridSpan w:val="2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13ED21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Model 3 </w:t>
            </w:r>
          </w:p>
        </w:tc>
      </w:tr>
      <w:tr w14:paraId="58ED6158">
        <w:trPr>
          <w:trHeight w:val="420" w:hRule="atLeast"/>
        </w:trPr>
        <w:tc>
          <w:tcPr>
            <w:tcW w:w="1714" w:type="dxa"/>
            <w:vMerge w:val="continue"/>
            <w:tcBorders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89754C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54" w:type="dxa"/>
            <w:vMerge w:val="continue"/>
            <w:tcBorders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47A3C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7F1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27872F5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746E4B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26A2F60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3F4FDC1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65561C7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7597F7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4B95B280">
        <w:trPr>
          <w:trHeight w:val="420" w:hRule="atLeast"/>
        </w:trPr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E28CA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CAMI cohort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F1CA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30D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6F54B3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61717E1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45F805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4850DA4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592D4F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5AF8A8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7AF90E66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0CD377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In-hospital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2F2B9F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219B58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2928 (25)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D52DB9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4120E5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BDC529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80025E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2E76CD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5DB3A9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7BDDA076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E00D9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A4D92F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30DF8E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2927 (45)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664EF0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1.82 (1.10-2.98)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EE56C6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0.018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871D0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1.70 (1.05-2.75)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6EEF6F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0.031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66F73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1.60 (0.98-2.60)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0FDEF1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0.065</w:t>
            </w:r>
          </w:p>
        </w:tc>
      </w:tr>
      <w:tr w14:paraId="2770A0BA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2229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0B0C3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2FAF94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2927 (82)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68B319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3.35 (2.10-5.32)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923A43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55758B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3.00 (1.88-4.75)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7B5D6F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C750EF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2.68 (1.65-4.35)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E43E9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19852219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955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9C5A9A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527BA3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8782 (152)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2577B3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1.65 (1.38-1.98)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95E6FD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E24510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1.58 (1.30-1.90)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92B50C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853F52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1.50 (1.22-1.85)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329EFF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0519FB00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0C6BB2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1-year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664EA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AA1EFB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2928 (42)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26DB0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673153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4BF5F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A3303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796D9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1B47FE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053B7484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3C8FB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163B8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CBAE2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2927 (70)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D2375C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1.68 (1.15-2.45)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054013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0.007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745A0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1.60 (1.08-2.35)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227111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0.018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44CAA8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1.52 (1.02-2.22)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A3095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0.038</w:t>
            </w:r>
          </w:p>
        </w:tc>
      </w:tr>
      <w:tr w14:paraId="0B312890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7AF5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52D21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E8F90F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2927 (130)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12033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2.85 (2.15-3.65)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A12318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B10538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2.82 (1.98-3.45)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73EDF8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34A85F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2.60 (1.82-3.35)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12C97B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1A1DA995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72223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57AC1A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73DCD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8782 (242)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F79305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1.58 (1.35-1.85)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5EBD99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F5A337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1.52 (1.30-1.78)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0D8EDF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42D8F5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1.45 (1.22-1.70)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63B0FB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3D00646E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5FDC49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2-year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74DA9D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15CA98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2928 (65)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59259D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05E7CE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B91965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170E77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5EF2CE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162805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2DA12E8B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6EF89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0F79C5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A82174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2927 (105)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DA0150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1.62 (1.20-2.20)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F85A5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0.002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A9407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1.55 (1.15-2.10)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32EFA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0.006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2EE9E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1.48 (1.10-2.00)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F993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0.012</w:t>
            </w:r>
          </w:p>
        </w:tc>
      </w:tr>
      <w:tr w14:paraId="3FFF74CC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8C550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4105DA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5AF761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2927 (180)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D58B3B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2.88 (2.15-3.85)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72A4D8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53699F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2.60 (1.92-3.48)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3800B2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804ADF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2.42 (1.80-3.28)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713C75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225A22F8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C895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C0783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BC00A1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8782 (350)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6849C7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1.52 (1.32-1.75)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CBEAF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F74A4E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1.48 (1.28-1.70)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1960C7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8B0860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1.40 (1.20-1.65)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A3C98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5FE9FA81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5FB90E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#Fuwai Hospital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0C700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93DD5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D643A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9117C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CCB92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74F5D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D8B63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C730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6597707D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E29908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All-cause</w:t>
            </w: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CAF97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228CD3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1155 (22)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25855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46364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5AD683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EBEBD3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43DB7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89FD8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281D21B4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C6BB5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BA8256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BF04FD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1156 (38)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32C639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1.78 (1.05-3.00)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132139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0.038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95679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1.68 (0.98-2.85)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D4CDEE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0.062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67EBD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1.60 (0.92-2.75)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F5908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0.092</w:t>
            </w:r>
          </w:p>
        </w:tc>
      </w:tr>
      <w:tr w14:paraId="6DAE0818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544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4629E5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9713D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1155 (55)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6C26B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2.58 (1.58-4.25)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B91DB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300738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2.35 (1.40-3.88)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C31D83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0.001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E173A0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2.18 (1.30-3.65)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B56A6A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0.003</w:t>
            </w:r>
          </w:p>
        </w:tc>
      </w:tr>
      <w:tr w14:paraId="3D49F2FC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A9187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65D7DB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D0C699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3466 (115)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E57100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1.48 (1.15-1.92)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CD52B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0.004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989DE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1.40 (1.08-1.82)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DE8B7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0.012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0B5632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1.35 (1.05-1.78)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0992D0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righ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0.035</w:t>
            </w:r>
          </w:p>
        </w:tc>
      </w:tr>
    </w:tbl>
    <w:p w14:paraId="2E7450B7"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T1, T2, and T3 represent the lowest, middle, and highest tertiles of the CHG index within each cohort, respectively.</w:t>
      </w:r>
    </w:p>
    <w:p w14:paraId="62FC3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微软雅黑" w:cs="Times New Roman Regular"/>
          <w:sz w:val="24"/>
          <w:szCs w:val="24"/>
          <w:highlight w:val="none"/>
          <w:vertAlign w:val="superscript"/>
          <w:lang w:bidi="ar"/>
        </w:rPr>
        <w:t>*</w:t>
      </w:r>
      <w:r>
        <w:rPr>
          <w:rFonts w:ascii="Times New Roman Regular" w:hAnsi="Times New Roman Regular" w:cs="Times New Roman Regular"/>
          <w:sz w:val="24"/>
          <w:szCs w:val="24"/>
          <w:highlight w:val="none"/>
        </w:rPr>
        <w:t xml:space="preserve">Adjustments: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Model 1: unadjusted. Model 2: adjusted for age, BMI, sex, and smoking. Model 3: additionally adjusted for ACEI/ARB, aspirin,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β-blockers, Cr, family history of CAD,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DAPT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hyperlipidemia, hypertension, Killip class III/IV, LDL-C, previous CABG, previous COPD, previous HF, previous MI, previous stroke,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ipid lowering therapy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, and T2DM.</w:t>
      </w:r>
      <w:r>
        <w:rPr>
          <w:rFonts w:ascii="Times New Roman Regular" w:hAnsi="Times New Roman Regular" w:cs="Times New Roman Regular"/>
          <w:sz w:val="24"/>
          <w:szCs w:val="24"/>
          <w:highlight w:val="none"/>
        </w:rPr>
        <w:t xml:space="preserve"> </w:t>
      </w:r>
    </w:p>
    <w:p w14:paraId="141FA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vertAlign w:val="superscript"/>
          <w:lang w:bidi="ar"/>
          <w14:textFill>
            <w14:solidFill>
              <w14:schemeClr w14:val="tx1"/>
            </w14:solidFill>
          </w14:textFill>
        </w:rPr>
        <w:t>#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Adjustments: Model 1: unadjusted. Model 2: adjusted for age, BMI, sex, and smoking. Model 3: additionally adjusted for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ACEI/ARB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/ARNI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aspirin,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β-blockers, DAPT, HbA1c, hypertension, Killip class III/IV, LDL-C, LVEF, previous CABG, previous HF, previous PVD, previous stroke,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ipid lowering therapy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, STEMI, and T2DM. </w:t>
      </w:r>
    </w:p>
    <w:p w14:paraId="3BA33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Abbreviations: </w:t>
      </w:r>
      <w:r>
        <w:rPr>
          <w:rFonts w:hint="eastAsia" w:ascii="Times New Roman Regular" w:hAnsi="Times New Roman Regular" w:cs="Times New Roman Regular"/>
          <w:kern w:val="0"/>
          <w:sz w:val="24"/>
          <w:szCs w:val="24"/>
          <w:highlight w:val="none"/>
          <w:lang w:bidi="ar"/>
        </w:rPr>
        <w:t>ACEI/ARB/ARNI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: angiotensin-converting enzyme inhibitor/angiotensin receptor blocker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  <w:t>/angiotensin receptor–neprilysin inhibitor</w:t>
      </w:r>
      <w:r>
        <w:rPr>
          <w:rFonts w:hint="eastAsia" w:ascii="Times New Roman Regular" w:hAnsi="Times New Roman Regular" w:cs="Times New Roman Regular"/>
          <w:sz w:val="24"/>
          <w:szCs w:val="24"/>
          <w:highlight w:val="none"/>
        </w:rPr>
        <w:t>;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AMI: acute myocardial infarction; BMI: body mass index; CABG: coronary artery bypass grafting; CAD: coronary artery disease; CAMI: China Acute Myocardial Infarction; CHG: cholesterol, high-density lipoprotein, and glucose; CI: confidence interval; COPD: chronic obstructive pulmonary disease; Cr: creatinine; DAPT: dual antiplatelet therapy; HbA1c: hemoglobin A1c; HF: heart failure; HR: hazard ratio; LDL-C: low-density lipoprotein cholesterol; LVEF: left ventricular ejection fraction; MI: myocardial infarction; PVD: peripheral vascular disease; Ref: reference; STEMI: ST-segment elevation myocardial infarction; T2DM: type 2 diabetes mellitus.</w:t>
      </w:r>
    </w:p>
    <w:p w14:paraId="1DCCCDDA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</w:p>
    <w:p w14:paraId="16291D44">
      <w:pPr>
        <w:jc w:val="left"/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</w:p>
    <w:p w14:paraId="5BE1EB30">
      <w:pPr>
        <w:jc w:val="left"/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>Table S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11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>. Sensitivity analysis for 2-year mortality after further adjustment for secondary-prevention medications recorded at the 1-year follow-up in the CAMI cohort</w:t>
      </w:r>
    </w:p>
    <w:tbl>
      <w:tblPr>
        <w:tblStyle w:val="5"/>
        <w:tblW w:w="7382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4"/>
        <w:gridCol w:w="1054"/>
        <w:gridCol w:w="1500"/>
        <w:gridCol w:w="2280"/>
        <w:gridCol w:w="834"/>
      </w:tblGrid>
      <w:tr w14:paraId="096D31FB">
        <w:trPr>
          <w:trHeight w:val="420" w:hRule="atLeast"/>
        </w:trPr>
        <w:tc>
          <w:tcPr>
            <w:tcW w:w="1714" w:type="dxa"/>
            <w:vMerge w:val="restart"/>
            <w:tcBorders>
              <w:top w:val="single" w:color="auto" w:sz="4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2141DC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Event Type</w:t>
            </w:r>
          </w:p>
        </w:tc>
        <w:tc>
          <w:tcPr>
            <w:tcW w:w="1054" w:type="dxa"/>
            <w:vMerge w:val="restart"/>
            <w:tcBorders>
              <w:top w:val="single" w:color="auto" w:sz="4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8F3E3D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CHG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364D93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Total (Events)</w:t>
            </w: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14AEB5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</w:tr>
      <w:tr w14:paraId="3A651CE7">
        <w:trPr>
          <w:trHeight w:val="420" w:hRule="atLeast"/>
        </w:trPr>
        <w:tc>
          <w:tcPr>
            <w:tcW w:w="1714" w:type="dxa"/>
            <w:vMerge w:val="continue"/>
            <w:tcBorders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AD54F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54" w:type="dxa"/>
            <w:vMerge w:val="continue"/>
            <w:tcBorders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E88A4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05AFD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1FCE88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color w:val="000000" w:themeColor="text1"/>
                <w:sz w:val="24"/>
                <w:szCs w:val="24"/>
                <w:highlight w:val="none"/>
                <w:lang w:val="en-GB" w:bidi="ar"/>
                <w14:textFill>
                  <w14:solidFill>
                    <w14:schemeClr w14:val="tx1"/>
                  </w14:solidFill>
                </w14:textFill>
              </w:rPr>
              <w:t>R (95% CI)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top"/>
          </w:tcPr>
          <w:p w14:paraId="3F28F1A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 w:themeColor="text1"/>
                <w:sz w:val="24"/>
                <w:szCs w:val="24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1AA68A07">
        <w:trPr>
          <w:trHeight w:val="420" w:hRule="atLeast"/>
        </w:trPr>
        <w:tc>
          <w:tcPr>
            <w:tcW w:w="1714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72E02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-year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mortality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D8497E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AF1B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8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(65)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0CBC1C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1.00 (Ref)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473E5B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—</w:t>
            </w:r>
          </w:p>
        </w:tc>
      </w:tr>
      <w:tr w14:paraId="48AD164D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A2C6B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EBDB00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C477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2927 (105)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431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1.4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(1.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-1.98)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A73991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08</w:t>
            </w:r>
          </w:p>
        </w:tc>
      </w:tr>
      <w:tr w14:paraId="152251DD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A9BB2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7D589A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E684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7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(180)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6A3D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2.4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(1.7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-3.2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18C308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  <w:tr w14:paraId="49775469">
        <w:trPr>
          <w:trHeight w:val="420" w:hRule="atLeast"/>
        </w:trPr>
        <w:tc>
          <w:tcPr>
            <w:tcW w:w="1714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B26C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E1533A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Per 1 unit</w:t>
            </w:r>
          </w:p>
        </w:tc>
        <w:tc>
          <w:tcPr>
            <w:tcW w:w="1500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91D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8782 (350)</w:t>
            </w:r>
          </w:p>
        </w:tc>
        <w:tc>
          <w:tcPr>
            <w:tcW w:w="2280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46C1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1.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41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(1.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20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-1.6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)</w:t>
            </w:r>
          </w:p>
        </w:tc>
        <w:tc>
          <w:tcPr>
            <w:tcW w:w="834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E4434C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&lt;0.001</w:t>
            </w:r>
          </w:p>
        </w:tc>
      </w:tr>
    </w:tbl>
    <w:p w14:paraId="7B43D305"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T1, T2, and T3 represent the lowest, middle, and highest tertiles of the CHG index within each cohort, respectively.</w:t>
      </w:r>
    </w:p>
    <w:p w14:paraId="53FFECB2">
      <w:pPr>
        <w:jc w:val="both"/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sz w:val="24"/>
          <w:szCs w:val="24"/>
          <w:highlight w:val="none"/>
        </w:rPr>
        <w:t xml:space="preserve">Adjustments: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Model 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was adjusted for age, sex, BMI, smoking, Cr, family history of CAD, hyperlipidemia, hypertension, Killip class III/IV, LDL-C, previous CABG, previous COPD, previous HF, previous MI, previous stroke, T2DM, baseline β-blockers, baseline aspirin, baseline DAPT, baseline ACEI/ARB, baseline lipid lowering therapy, and corresponding secondary-prevention medications recorded at the 1-year follow-up.</w:t>
      </w:r>
    </w:p>
    <w:p w14:paraId="791AEE03">
      <w:pPr>
        <w:jc w:val="both"/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Abbreviations: ACEI/ARB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angiotensin-converting enzyme inhibitor/angiotensin receptor blocker; BMI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body mass index; CABG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coronary artery bypass grafting; CAD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coronary artery disease; CAMI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China Acute Myocardial Infarction; CHG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cholesterol, high-density lipoprotein, and glucose; CI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confidence interval; COPD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chronic obstructive pulmonary disease; Cr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creatinine; DAPT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dual antiplatelet therapy; HF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heart failure; HR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hazard ratio; LDL-C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low-density lipoprotein cholesterol; MI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myocardial infarction; T2DM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val="en-US" w:bidi="ar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type 2 diabetes mellitus.</w:t>
      </w:r>
    </w:p>
    <w:p w14:paraId="51C53C47">
      <w:pPr>
        <w:jc w:val="both"/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</w:p>
    <w:p w14:paraId="03A401E9">
      <w:pPr>
        <w:jc w:val="both"/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</w:p>
    <w:p w14:paraId="5FE36534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br w:type="page"/>
      </w:r>
    </w:p>
    <w:p w14:paraId="59FD95E4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>Table S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12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>.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>Sensitivity analysis using a common adjustment model available in both cohorts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56"/>
        <w:gridCol w:w="2863"/>
        <w:gridCol w:w="2653"/>
        <w:gridCol w:w="2257"/>
        <w:gridCol w:w="2173"/>
        <w:gridCol w:w="1436"/>
      </w:tblGrid>
      <w:tr w14:paraId="78BD1A2A">
        <w:trPr>
          <w:tblHeader/>
        </w:trPr>
        <w:tc>
          <w:tcPr>
            <w:tcW w:w="0" w:type="auto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5473CD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Cohort</w:t>
            </w:r>
          </w:p>
        </w:tc>
        <w:tc>
          <w:tcPr>
            <w:tcW w:w="0" w:type="auto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0AF8F5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Outcome</w:t>
            </w:r>
          </w:p>
        </w:tc>
        <w:tc>
          <w:tcPr>
            <w:tcW w:w="0" w:type="auto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D2C753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CHG</w:t>
            </w:r>
          </w:p>
        </w:tc>
        <w:tc>
          <w:tcPr>
            <w:tcW w:w="0" w:type="auto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85CF35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Total (Events)</w:t>
            </w:r>
          </w:p>
        </w:tc>
        <w:tc>
          <w:tcPr>
            <w:tcW w:w="0" w:type="auto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5B5EF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HR (95% CI)</w:t>
            </w:r>
          </w:p>
        </w:tc>
        <w:tc>
          <w:tcPr>
            <w:tcW w:w="0" w:type="auto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40BDB1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highlight w:val="none"/>
              </w:rPr>
              <w:t>P value</w:t>
            </w:r>
          </w:p>
        </w:tc>
      </w:tr>
      <w:tr w14:paraId="3D2D1F9C">
        <w:tc>
          <w:tcPr>
            <w:tcW w:w="0" w:type="auto"/>
            <w:vMerge w:val="restar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E646F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CAMI cohort</w:t>
            </w:r>
          </w:p>
          <w:p w14:paraId="6BFAB13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3C4D3F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In-hospital mortality</w:t>
            </w:r>
          </w:p>
        </w:tc>
        <w:tc>
          <w:tcPr>
            <w:tcW w:w="0" w:type="auto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712D94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T1</w:t>
            </w:r>
          </w:p>
        </w:tc>
        <w:tc>
          <w:tcPr>
            <w:tcW w:w="2257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1AAA9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8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(25)</w:t>
            </w:r>
          </w:p>
        </w:tc>
        <w:tc>
          <w:tcPr>
            <w:tcW w:w="0" w:type="auto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FF21F0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1.00 (Ref)</w:t>
            </w:r>
          </w:p>
        </w:tc>
        <w:tc>
          <w:tcPr>
            <w:tcW w:w="0" w:type="auto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9689DF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—</w:t>
            </w:r>
          </w:p>
        </w:tc>
      </w:tr>
      <w:tr w14:paraId="5E698BCA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12D846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53FA00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901F4F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T2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6F8C8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7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F6CC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1.86 (1.15–3.02)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E99B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0.011</w:t>
            </w:r>
          </w:p>
        </w:tc>
      </w:tr>
      <w:tr w14:paraId="322297B9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038A58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4CE9B0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C056D9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T3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67BF2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7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3F971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2.71 (1.67–4.39)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E7F1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1CC1DEFA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E5B710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0579A6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B18A3A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Per 1-unit increase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0AFAC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8782 (152)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8A11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1.50 (1.22–1.84)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EBBC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09478152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67E619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A8BD1F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1-year mortality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B4902E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T1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577EB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8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8BB13A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1.00 (Ref)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C0169F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—</w:t>
            </w:r>
          </w:p>
        </w:tc>
      </w:tr>
      <w:tr w14:paraId="7FD7BE5F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61B7FC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AFD1DB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A5FB93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T2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59747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2927 (70)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D923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1.63 (1.24–2.15)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840D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3C81C6E8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0211AB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15B8B6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1FC94C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T3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19AA1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7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(130)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54B6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2.61 (1.94–3.51)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DB39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5B5F4B46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BE9414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03B94E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7EFCD7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Per 1-unit increase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35FDA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8782 (242)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CEF9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1.43 (1.22–1.67)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D665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397231D4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E8FB88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DE85D6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2-year mortality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14ED76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T1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5599D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8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(65)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629EC8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1.00 (Ref)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531CD8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—</w:t>
            </w:r>
          </w:p>
        </w:tc>
      </w:tr>
      <w:tr w14:paraId="64EF5CFA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68EBDA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AACCD2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028086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T2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1E1DB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2927 (105)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5843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1.51 (1.19–1.93)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583A7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0.001</w:t>
            </w:r>
          </w:p>
        </w:tc>
      </w:tr>
      <w:tr w14:paraId="75F8B2EB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A9908F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4760AB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0C4F5C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T3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5B5F3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292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7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(180)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9B6A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2.44 (1.80–3.30)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CA33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4867C164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4EDB57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1666A9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8055DF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Per 1-unit increase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15941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8782 (350)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B5F6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1.39 (1.19–1.63)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86239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&lt;0.001</w:t>
            </w:r>
          </w:p>
        </w:tc>
      </w:tr>
      <w:tr w14:paraId="25A64065"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1AC9FB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Fuwai Hospital cohort</w:t>
            </w: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CCF671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All-cause mortality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E7085D9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T1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5D41F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115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5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56D2B1A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1.00 (Ref)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DCE39B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—</w:t>
            </w:r>
          </w:p>
        </w:tc>
      </w:tr>
      <w:tr w14:paraId="28580953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814D24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9DF94E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0C749B0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T2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0C8B0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115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6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3042E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1.68 (0.96–2.93)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BBF0E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0.068</w:t>
            </w:r>
          </w:p>
        </w:tc>
      </w:tr>
      <w:tr w14:paraId="7D6B43BD"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062DCD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D43415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7F8D0FC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T3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669C0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1155 (55)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19DDE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2.22 (1.31–3.76)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349D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0.003</w:t>
            </w:r>
          </w:p>
        </w:tc>
      </w:tr>
      <w:tr w14:paraId="138B6E5E">
        <w:tc>
          <w:tcPr>
            <w:tcW w:w="0" w:type="auto"/>
            <w:vMerge w:val="continue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3E13F85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55403E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 Regular" w:hAnsi="Times New Roman Regular" w:cs="Times New Roman Regular"/>
                <w:highlight w:val="none"/>
              </w:rPr>
            </w:pPr>
          </w:p>
        </w:tc>
        <w:tc>
          <w:tcPr>
            <w:tcW w:w="0" w:type="auto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76BF9D8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Per 1-unit increase</w:t>
            </w:r>
          </w:p>
        </w:tc>
        <w:tc>
          <w:tcPr>
            <w:tcW w:w="225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tcMar>
              <w:top w:w="160" w:type="dxa"/>
              <w:left w:w="240" w:type="dxa"/>
              <w:bottom w:w="160" w:type="dxa"/>
              <w:right w:w="240" w:type="dxa"/>
            </w:tcMar>
            <w:vAlign w:val="bottom"/>
          </w:tcPr>
          <w:p w14:paraId="18969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textAlignment w:val="bottom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346</w:t>
            </w:r>
            <w:r>
              <w:rPr>
                <w:rFonts w:hint="eastAsia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>6</w:t>
            </w:r>
            <w:r>
              <w:rPr>
                <w:rFonts w:hint="default" w:ascii="Times New Roman Regular" w:hAnsi="Times New Roman Regular" w:cs="Times New Roman Regular"/>
                <w:bCs/>
                <w:kern w:val="0"/>
                <w:sz w:val="24"/>
                <w:szCs w:val="24"/>
                <w:highlight w:val="none"/>
                <w:lang w:bidi="ar"/>
              </w:rPr>
              <w:t xml:space="preserve"> (115)</w:t>
            </w:r>
          </w:p>
        </w:tc>
        <w:tc>
          <w:tcPr>
            <w:tcW w:w="0" w:type="auto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97BBD5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1.37 (1.05–1.79)</w:t>
            </w:r>
          </w:p>
        </w:tc>
        <w:tc>
          <w:tcPr>
            <w:tcW w:w="0" w:type="auto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2442E21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rPr>
                <w:rFonts w:hint="default" w:ascii="Times New Roman Regular" w:hAnsi="Times New Roman Regular" w:cs="Times New Roman Regular" w:eastAsiaTheme="minorEastAsia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t>0.020</w:t>
            </w:r>
          </w:p>
        </w:tc>
      </w:tr>
    </w:tbl>
    <w:p w14:paraId="043F8FFE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T1, T2, and T3 represent the lowest, middle, and highest tertiles of the CHG index within each cohort, respectively.</w:t>
      </w:r>
    </w:p>
    <w:p w14:paraId="0A73987A"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The common adjustment model included age, sex, BMI, smoking, hypertension, T2DM, Killip class III/IV, LDL-C, previous CABG, previous HF, previous stroke, aspirin, β-blockers, DAPT, and lipid-lowering therapy.</w:t>
      </w:r>
    </w:p>
    <w:p w14:paraId="06295FA2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Abbreviations: BMI, body mass index; CABG, coronary artery bypass grafting; CHG, cholesterol, high-density lipoprotein, and glucose; CI, confidence interval; DAPT, dual antiplatelet therapy; HF, heart failure; HR, hazard ratio; LDL-C, low-density lipoprotein cholesterol; Ref, reference; T2DM, type 2 diabetes mellitus.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br w:type="page"/>
      </w:r>
    </w:p>
    <w:p w14:paraId="7A3E624D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</w:p>
    <w:p w14:paraId="24FB43F3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 xml:space="preserve">Table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13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>. Subgroup analysis for the association between CHG index and 2-year mortality in the CAMI registry</w:t>
      </w:r>
    </w:p>
    <w:tbl>
      <w:tblPr>
        <w:tblStyle w:val="5"/>
        <w:tblW w:w="726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31"/>
        <w:gridCol w:w="937"/>
        <w:gridCol w:w="949"/>
        <w:gridCol w:w="2000"/>
        <w:gridCol w:w="1747"/>
      </w:tblGrid>
      <w:tr w14:paraId="63755327">
        <w:trPr>
          <w:trHeight w:val="420" w:hRule="atLeast"/>
        </w:trPr>
        <w:tc>
          <w:tcPr>
            <w:tcW w:w="1631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585C20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Subgroups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F0E79E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n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B4D4EB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Events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3DD110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HR (95% CI)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FF31B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 for interaction</w:t>
            </w:r>
          </w:p>
        </w:tc>
      </w:tr>
      <w:tr w14:paraId="4578D9A6">
        <w:trPr>
          <w:trHeight w:val="420" w:hRule="atLeast"/>
        </w:trPr>
        <w:tc>
          <w:tcPr>
            <w:tcW w:w="1631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8B24DF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Age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DC48A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15804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5B76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747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4CAD2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0.528</w:t>
            </w:r>
          </w:p>
        </w:tc>
      </w:tr>
      <w:tr w14:paraId="1978CA3A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EF0AC6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&lt; 65 years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DBD33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5,302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E2781F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165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C56B15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2.52 (1.82–3.48)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7D08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2444733E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8FDB3F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≥ 65 years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1EDEFB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3,480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59B8A5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185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BD27D7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2.25 (1.60–3.15)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D729E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15C2BA3B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EB268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Sex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DA026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0E18A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31B1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2F9B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0.812</w:t>
            </w:r>
          </w:p>
        </w:tc>
      </w:tr>
      <w:tr w14:paraId="7D29D999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5C72EC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Male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9F4D1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6,587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4278C3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252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13162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2.35 (1.70–3.25)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7C23F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51FA8A41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56AD47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Female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08B5D0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2,195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9E073D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98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330213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2.45 (1.65–3.65)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5D55C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1F25BE4E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E4C127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BMI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2DCD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90B9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7B774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9C2D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0.385</w:t>
            </w:r>
          </w:p>
        </w:tc>
      </w:tr>
      <w:tr w14:paraId="4BDFF6FB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981BC9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&lt; 24.0 kg/m²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102207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3,120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8CB63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145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301D1B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2.55 (1.72–3.78)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B5DD2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2309C377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BA523E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≥ 24.0 kg/m²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57AC73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5,662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B6B0FE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205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0585C8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2.25 (1.58–3.20)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9CFBD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642FD04F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F5EF75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Hypertension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0A98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C5C91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4CD7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D4AA7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0.645</w:t>
            </w:r>
          </w:p>
        </w:tc>
      </w:tr>
      <w:tr w14:paraId="6C84FE03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75FBC4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Yes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D67394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4,374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38E07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210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CDB392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2.32 (1.68–3.18)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7B137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5BCF38C7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44BB0B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No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DEB6AB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4,408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5FD085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140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20AC5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2.45 (1.72–3.50)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29F86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55A35DC2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D53B1B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T2DM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67C46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ADB35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5EC3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5C938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0.092</w:t>
            </w:r>
          </w:p>
        </w:tc>
      </w:tr>
      <w:tr w14:paraId="272C9676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4BE7F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Yes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361213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1,685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62D89C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110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1A7126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2.15 (1.52–3.05)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98009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66D868D3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291051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No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AA5432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7,097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DB63E0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240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8D2318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2.65 (1.92–3.68)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82A2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757B45C7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329F60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AMI Type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A58D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30AD0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078A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8A8256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0.421</w:t>
            </w:r>
          </w:p>
        </w:tc>
      </w:tr>
      <w:tr w14:paraId="5A901847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59BC27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STEMI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A68984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5,708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7439AD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215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4ACD04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2.42 (1.75–3.35)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3AF3C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3F1B176E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D58C39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NSTEMI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885E08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3,074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E94D5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135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919495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2.28 (1.58–3.28)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B4703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147C5FC6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1CBA29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Killip Class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F079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911A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671C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F3AE36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0.158</w:t>
            </w:r>
          </w:p>
        </w:tc>
      </w:tr>
      <w:tr w14:paraId="08A7EAC7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419C47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I–II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1F865C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930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967B39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180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7A0E1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2.50 (1.82–3.45)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99F6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654A4763">
        <w:trPr>
          <w:trHeight w:val="420" w:hRule="atLeast"/>
        </w:trPr>
        <w:tc>
          <w:tcPr>
            <w:tcW w:w="1631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E95DFD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  III–IV</w:t>
            </w:r>
          </w:p>
        </w:tc>
        <w:tc>
          <w:tcPr>
            <w:tcW w:w="937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A7F23E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1,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852</w:t>
            </w:r>
          </w:p>
        </w:tc>
        <w:tc>
          <w:tcPr>
            <w:tcW w:w="949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5ADD6C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170</w:t>
            </w:r>
          </w:p>
        </w:tc>
        <w:tc>
          <w:tcPr>
            <w:tcW w:w="2000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042F53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2.18 (1.55–3.08)</w:t>
            </w:r>
          </w:p>
        </w:tc>
        <w:tc>
          <w:tcPr>
            <w:tcW w:w="1747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C5186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</w:tbl>
    <w:p w14:paraId="372CFEA3">
      <w:pPr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cs="Times New Roman Regular"/>
          <w:sz w:val="24"/>
          <w:szCs w:val="24"/>
          <w:highlight w:val="none"/>
        </w:rPr>
        <w:t>Abbreviations: AMI: acute myocardial infarction; BMI: body mass index; CAMI: China Acute Myocardial Infarction; CHG: cholesterol, high-density lipoprotein, and glucose; CI: confidence interval; HR: hazard ratio; NSTEMI: non-ST-segment elevation myocardial infarction; STEMI: ST-segment elevation myocardial infarction</w:t>
      </w:r>
      <w:r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  <w:t>;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 T2DM: type 2 diabetes mellitus.</w:t>
      </w:r>
    </w:p>
    <w:p w14:paraId="721C3F00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hint="default" w:ascii="Times New Roman Regular" w:hAnsi="Times New Roman Regular" w:cs="Times New Roman Regular"/>
          <w:sz w:val="24"/>
          <w:szCs w:val="24"/>
          <w:highlight w:val="none"/>
        </w:rPr>
        <w:br w:type="page"/>
      </w:r>
    </w:p>
    <w:p w14:paraId="5F2EC5D3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44CC8303">
      <w:pP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 xml:space="preserve">Table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highlight w:val="none"/>
          <w:lang w:val="en-US" w:eastAsia="zh-CN"/>
        </w:rPr>
        <w:t>14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highlight w:val="none"/>
        </w:rPr>
        <w:t>. Subgroup analysis for the association between CHG index and mortality in the Fuwai Hospital cohort</w:t>
      </w:r>
    </w:p>
    <w:tbl>
      <w:tblPr>
        <w:tblStyle w:val="5"/>
        <w:tblpPr w:leftFromText="180" w:rightFromText="180" w:vertAnchor="page" w:horzAnchor="page" w:tblpX="1888" w:tblpY="3139"/>
        <w:tblOverlap w:val="never"/>
        <w:tblW w:w="818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8"/>
        <w:gridCol w:w="1182"/>
        <w:gridCol w:w="1039"/>
        <w:gridCol w:w="2535"/>
        <w:gridCol w:w="1685"/>
      </w:tblGrid>
      <w:tr w14:paraId="659545AB">
        <w:trPr>
          <w:trHeight w:val="420" w:hRule="atLeast"/>
        </w:trPr>
        <w:tc>
          <w:tcPr>
            <w:tcW w:w="1748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A025FC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Subgroups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AE77C2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n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73215E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Events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A2F79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HR (95% CI)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50909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P for interaction</w:t>
            </w:r>
          </w:p>
        </w:tc>
      </w:tr>
      <w:tr w14:paraId="10EA2A4B">
        <w:trPr>
          <w:trHeight w:val="420" w:hRule="atLeast"/>
        </w:trPr>
        <w:tc>
          <w:tcPr>
            <w:tcW w:w="1748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DD1FBD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Age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65337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C80E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A946A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685" w:type="dxa"/>
            <w:tcBorders>
              <w:top w:val="single" w:color="auto" w:sz="4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572034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0.684</w:t>
            </w:r>
          </w:p>
        </w:tc>
      </w:tr>
      <w:tr w14:paraId="64B2C6DA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7E8D0D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65 years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F3FA2C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2,150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D9328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1F56C8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2.30 (1.15–4.60)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CACC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0438F5DC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BD58B6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≥ 65 years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35D54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1,316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8558AB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70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A6C921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2.05 (1.10–3.85)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C656A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10E6B1F2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806D20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Sex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8721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3C364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939B7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008774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0.91</w:t>
            </w:r>
          </w:p>
        </w:tc>
      </w:tr>
      <w:tr w14:paraId="4183B77B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D7AC02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Male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213B53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2,7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49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880BDE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88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8E16F7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2.18 (1.20–3.95)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540BB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36FACF1E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D42B1B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Female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03E65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17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D14458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27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4638DA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2.08 (1.05–4.15)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71F7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01AD62DB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3B606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BMI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C9956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1BB5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892ED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A9EC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0"/>
                <w:sz w:val="24"/>
                <w:szCs w:val="24"/>
                <w:highlight w:val="none"/>
                <w:lang w:val="en-US" w:eastAsia="zh-CN" w:bidi="ar"/>
              </w:rPr>
              <w:t>0.421</w:t>
            </w:r>
          </w:p>
        </w:tc>
      </w:tr>
      <w:tr w14:paraId="6A1A2A71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9B6C7C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&lt;24.0kg/m²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8253D5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1,080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0C5E4E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42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CD747A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2.35 (1.12–4.95)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9D37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5F54BDFA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689C4A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≥24.0kg/m²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830969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2,386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872341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73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ED2B74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2.05 (1.08–3.88)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F9C01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1130BF59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88139F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AMI Type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BEBB2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02248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0292A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1D6F36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0.521</w:t>
            </w:r>
          </w:p>
        </w:tc>
      </w:tr>
      <w:tr w14:paraId="79E17846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F3587C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STEMI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89CAC7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2,253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44147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75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011BC7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2.25 (1.22–4.15)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8CD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2E20DDDC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A461D9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NSTEMI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4D1D53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1,213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3F929D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E81280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1.98 (1.02–3.85)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2376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441A7491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17D506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LVEF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9500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16B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6BA6C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F7A6FE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0.115</w:t>
            </w:r>
          </w:p>
        </w:tc>
      </w:tr>
      <w:tr w14:paraId="5D7A46AD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00214F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≥ 50%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EBC313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2,426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61D4F6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55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7F2E41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2.45 (1.25–4.80)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DEFE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6FE7AC15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F35545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&lt; 50%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BA11E2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1,040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263DF63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CB92F5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1.85 (1.05–3.25)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CBB9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5FB276B4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2704CF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Killip Class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8518C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1F4DE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C37E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D06410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0.235</w:t>
            </w:r>
          </w:p>
        </w:tc>
      </w:tr>
      <w:tr w14:paraId="32786837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5A877B7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I–II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627B598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3,154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05B9E2D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85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EC81A8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2.28 (1.30–4.02)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7A4B32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  <w:tr w14:paraId="21C61B64">
        <w:trPr>
          <w:trHeight w:val="420" w:hRule="atLeast"/>
        </w:trPr>
        <w:tc>
          <w:tcPr>
            <w:tcW w:w="1748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77F425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III–IV</w:t>
            </w:r>
          </w:p>
        </w:tc>
        <w:tc>
          <w:tcPr>
            <w:tcW w:w="1182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4C15A9C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312</w:t>
            </w:r>
          </w:p>
        </w:tc>
        <w:tc>
          <w:tcPr>
            <w:tcW w:w="1039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679DD4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30</w:t>
            </w:r>
          </w:p>
        </w:tc>
        <w:tc>
          <w:tcPr>
            <w:tcW w:w="2535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1341971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 w:bidi="ar"/>
              </w:rPr>
              <w:t>1.92 (0.95–3.88)</w:t>
            </w:r>
          </w:p>
        </w:tc>
        <w:tc>
          <w:tcPr>
            <w:tcW w:w="1685" w:type="dxa"/>
            <w:tcBorders>
              <w:top w:val="single" w:color="CCCCCC" w:sz="8" w:space="0"/>
              <w:left w:val="single" w:color="CCCCCC" w:sz="8" w:space="0"/>
              <w:bottom w:val="single" w:color="auto" w:sz="4" w:space="0"/>
              <w:right w:val="single" w:color="CCCCCC" w:sz="8" w:space="0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bottom"/>
          </w:tcPr>
          <w:p w14:paraId="3D2FF5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</w:p>
        </w:tc>
      </w:tr>
    </w:tbl>
    <w:p w14:paraId="3E591239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25FE13BC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2C86053C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288341A8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3BBD71CF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hint="default" w:ascii="Times New Roman Regular" w:hAnsi="Times New Roman Regular" w:cs="Times New Roman Regular"/>
          <w:sz w:val="24"/>
          <w:szCs w:val="24"/>
          <w:highlight w:val="none"/>
        </w:rPr>
        <w:t>Abbreviations: AMI: acute myocardial infarction; BMI: body mass index; CHG: cholesterol, high-density lipoprotein, and glucose; CI: confidence interval; HR: hazard ratio; LVEF: left ventricular ejection fraction; NSTEMI: non-ST-segment elevation myocardial infarction; STEMI: ST-segment elevation myocardial infarction.</w:t>
      </w:r>
    </w:p>
    <w:p w14:paraId="03FC8EDD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3AF47045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07F01869">
      <w:pPr>
        <w:rPr>
          <w:rFonts w:hint="default" w:ascii="Times New Roman Regular" w:hAnsi="Times New Roman Regular" w:cs="Times New Roman Regular"/>
          <w:highlight w:val="none"/>
        </w:rPr>
      </w:pPr>
      <w:r>
        <w:rPr>
          <w:highlight w:val="none"/>
        </w:rPr>
        <w:drawing>
          <wp:inline distT="0" distB="0" distL="114300" distR="114300">
            <wp:extent cx="3740785" cy="3031490"/>
            <wp:effectExtent l="0" t="0" r="18415" b="165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40785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3740785" cy="2907665"/>
            <wp:effectExtent l="0" t="0" r="18415" b="133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0785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B0071">
      <w:pPr>
        <w:rPr>
          <w:rFonts w:hint="default" w:ascii="Times New Roman Regular" w:hAnsi="Times New Roman Regular" w:cs="Times New Roman Regular"/>
          <w:highlight w:val="none"/>
        </w:rPr>
      </w:pPr>
    </w:p>
    <w:p w14:paraId="24D2D0FB">
      <w:pPr>
        <w:rPr>
          <w:rFonts w:hint="default" w:ascii="Times New Roman Regular" w:hAnsi="Times New Roman Regular" w:cs="Times New Roman Regular"/>
          <w:highlight w:val="none"/>
        </w:rPr>
      </w:pPr>
    </w:p>
    <w:p w14:paraId="3DE1C368">
      <w:pPr>
        <w:rPr>
          <w:rFonts w:hint="default" w:ascii="Times New Roman Bold" w:hAnsi="Times New Roman Bold" w:cs="Times New Roman Bold"/>
          <w:b/>
          <w:bCs/>
          <w:sz w:val="24"/>
          <w:szCs w:val="32"/>
          <w:highlight w:val="none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32"/>
          <w:highlight w:val="none"/>
          <w:lang w:val="en-US" w:eastAsia="zh-CN"/>
        </w:rPr>
        <w:t>Figure S1. Variance Inflation Factor (VIF) analysis for covariates included in the fully adjusted models.</w:t>
      </w:r>
    </w:p>
    <w:p w14:paraId="469B8B82">
      <w:pPr>
        <w:numPr>
          <w:ilvl w:val="0"/>
          <w:numId w:val="1"/>
        </w:numP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  <w:t xml:space="preserve">VIF values for the CAMI cohort. B. VIF values for the Fuwai Hospital cohort. The red dashed line indicates the threshold of VIF = 5. </w:t>
      </w:r>
    </w:p>
    <w:p w14:paraId="61861265">
      <w:pPr>
        <w:numPr>
          <w:ilvl w:val="0"/>
          <w:numId w:val="0"/>
        </w:numP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  <w:t>Abbreviations: ACEI/ARB/ARNI: angiotensin-converting enzyme inhibitor/angiotensin receptor blocker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/angiotensin receptor–neprilysin inhibitor</w:t>
      </w:r>
      <w: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  <w:t>; BMI: body mass index; CABG: coronary artery bypass grafting; CAD: coronary artery disease; CAMI: China Acute Myocardial Infarction; Cr: creatinine; DAPT: dual antiplatelet therapy; HbA1c: hemoglobin A1c; HF: heart failure; LDL-C: low-density lipoprotein cholesterol; LVEF: left ventricular ejection fraction; MI: myocardial infarction; PVD: peripheral vascular disease; STEMI: ST-segment elevation myocardial infarction; T2DM: type 2 diabetes mellitus; VIF: variance inflation factor.</w:t>
      </w:r>
    </w:p>
    <w:p w14:paraId="45EA22E8">
      <w:pP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  <w:br w:type="page"/>
      </w:r>
    </w:p>
    <w:p w14:paraId="1BE74B2D">
      <w:pPr>
        <w:numPr>
          <w:ilvl w:val="0"/>
          <w:numId w:val="0"/>
        </w:numP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</w:pPr>
    </w:p>
    <w:p w14:paraId="76D2E7E0">
      <w:pPr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371465" cy="4472940"/>
            <wp:effectExtent l="0" t="0" r="13335" b="228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1465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27940">
      <w:pPr>
        <w:rPr>
          <w:rFonts w:hint="default" w:ascii="Times New Roman Bold" w:hAnsi="Times New Roman Bold" w:cs="Times New Roman Bold" w:eastAsiaTheme="minorEastAsia"/>
          <w:b/>
          <w:bCs/>
          <w:sz w:val="24"/>
          <w:szCs w:val="32"/>
          <w:highlight w:val="none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32"/>
          <w:highlight w:val="none"/>
          <w:lang w:val="en-US" w:eastAsia="zh-CN"/>
        </w:rPr>
        <w:t>Figure S</w:t>
      </w:r>
      <w:r>
        <w:rPr>
          <w:rFonts w:hint="eastAsia" w:ascii="Times New Roman Bold" w:hAnsi="Times New Roman Bold" w:cs="Times New Roman Bold"/>
          <w:b/>
          <w:bCs/>
          <w:sz w:val="24"/>
          <w:szCs w:val="32"/>
          <w:highlight w:val="none"/>
          <w:lang w:val="en-US" w:eastAsia="zh-CN"/>
        </w:rPr>
        <w:t>2</w:t>
      </w:r>
      <w:r>
        <w:rPr>
          <w:rFonts w:hint="default" w:ascii="Times New Roman Bold" w:hAnsi="Times New Roman Bold" w:cs="Times New Roman Bold"/>
          <w:b/>
          <w:bCs/>
          <w:sz w:val="24"/>
          <w:szCs w:val="32"/>
          <w:highlight w:val="none"/>
          <w:lang w:val="en-US" w:eastAsia="zh-CN"/>
        </w:rPr>
        <w:t>. Decision Curve Analysis (DCA) for evaluating model net benefit in the CAMI cohort</w:t>
      </w:r>
    </w:p>
    <w:p w14:paraId="1F8AEC4F">
      <w:pPr>
        <w:numPr>
          <w:ilvl w:val="0"/>
          <w:numId w:val="2"/>
        </w:numP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</w:pPr>
      <w:r>
        <w:rPr>
          <w:rFonts w:hint="default" w:ascii="Times New Roman Regular" w:hAnsi="Times New Roman Regular" w:cs="Times New Roman Regular"/>
          <w:sz w:val="24"/>
          <w:szCs w:val="32"/>
          <w:highlight w:val="none"/>
        </w:rPr>
        <w:t xml:space="preserve">Net benefit for predicting 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  <w:t>in-hospital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</w:rPr>
        <w:t xml:space="preserve"> mortality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  <w:t>. B.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</w:rPr>
        <w:t xml:space="preserve"> Net benefit for predicting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  <w:t xml:space="preserve"> 1-year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</w:rPr>
        <w:t xml:space="preserve"> mortality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  <w:t>. C.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</w:rPr>
        <w:t xml:space="preserve"> Net benefit for predicting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  <w:t xml:space="preserve"> 2-year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</w:rPr>
        <w:t xml:space="preserve"> mortality</w:t>
      </w:r>
      <w: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  <w:t xml:space="preserve">. </w:t>
      </w:r>
    </w:p>
    <w:p w14:paraId="01CC305D">
      <w:pPr>
        <w:numPr>
          <w:ilvl w:val="0"/>
          <w:numId w:val="0"/>
        </w:numP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</w:pPr>
      <w:r>
        <w:rPr>
          <w:rFonts w:hint="default" w:ascii="Times New Roman Regular" w:hAnsi="Times New Roman Regular" w:cs="Times New Roman Regular"/>
          <w:sz w:val="24"/>
          <w:szCs w:val="32"/>
          <w:highlight w:val="none"/>
          <w:lang w:val="en-US"/>
        </w:rPr>
        <w:t>Abbreviations: CAMI: China Acute Myocardial Infarction; CHG: cholesterol, high-density lipoprotein, and glucose; DCA: decision curve analysis; GRACE: Global Registry of Acute Coronary Events; TyG: triglyceride-glucose.</w:t>
      </w:r>
    </w:p>
    <w:p w14:paraId="4EE79F6A">
      <w:pPr>
        <w:rPr>
          <w:rFonts w:hint="default"/>
          <w:highlight w:val="none"/>
          <w:lang w:val="en-US"/>
        </w:rPr>
      </w:pPr>
    </w:p>
    <w:sectPr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F13F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5949E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5949E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9F83BD"/>
    <w:multiLevelType w:val="singleLevel"/>
    <w:tmpl w:val="AE9F83BD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FE8E7DE5"/>
    <w:multiLevelType w:val="singleLevel"/>
    <w:tmpl w:val="FE8E7DE5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CE880"/>
    <w:rsid w:val="0B3FAB25"/>
    <w:rsid w:val="0FFB2A5C"/>
    <w:rsid w:val="14EB4338"/>
    <w:rsid w:val="1573EFD7"/>
    <w:rsid w:val="1737030C"/>
    <w:rsid w:val="197BED73"/>
    <w:rsid w:val="1F77F210"/>
    <w:rsid w:val="1FD7BC40"/>
    <w:rsid w:val="1FDB3282"/>
    <w:rsid w:val="1FF52E5A"/>
    <w:rsid w:val="1FFF550E"/>
    <w:rsid w:val="1FFF93A8"/>
    <w:rsid w:val="23F6EB64"/>
    <w:rsid w:val="23FF4957"/>
    <w:rsid w:val="2BCDA8CD"/>
    <w:rsid w:val="2BDB389E"/>
    <w:rsid w:val="2BEEC9CA"/>
    <w:rsid w:val="2D5B640F"/>
    <w:rsid w:val="2DCFED7B"/>
    <w:rsid w:val="2E3A6FBE"/>
    <w:rsid w:val="2E77BD07"/>
    <w:rsid w:val="358FF9B2"/>
    <w:rsid w:val="366DF798"/>
    <w:rsid w:val="366F9F01"/>
    <w:rsid w:val="37DB1485"/>
    <w:rsid w:val="37EDE379"/>
    <w:rsid w:val="37F64749"/>
    <w:rsid w:val="37FFA9A3"/>
    <w:rsid w:val="3AF74ADE"/>
    <w:rsid w:val="3B51C098"/>
    <w:rsid w:val="3B6D8272"/>
    <w:rsid w:val="3B7D267E"/>
    <w:rsid w:val="3B9F6638"/>
    <w:rsid w:val="3BEFE868"/>
    <w:rsid w:val="3BFDD06B"/>
    <w:rsid w:val="3CB7D01D"/>
    <w:rsid w:val="3D9FEFE7"/>
    <w:rsid w:val="3DDB99A1"/>
    <w:rsid w:val="3DF3FFE1"/>
    <w:rsid w:val="3EB56040"/>
    <w:rsid w:val="3EE26AD2"/>
    <w:rsid w:val="3F5F636F"/>
    <w:rsid w:val="3F777008"/>
    <w:rsid w:val="3F79F746"/>
    <w:rsid w:val="3FB1A92A"/>
    <w:rsid w:val="3FD81C5D"/>
    <w:rsid w:val="3FE53F42"/>
    <w:rsid w:val="3FE7899F"/>
    <w:rsid w:val="3FEFC679"/>
    <w:rsid w:val="3FFCF98B"/>
    <w:rsid w:val="3FFD5F37"/>
    <w:rsid w:val="3FFE43C4"/>
    <w:rsid w:val="3FFF0EF2"/>
    <w:rsid w:val="3FFFCF81"/>
    <w:rsid w:val="45FA7702"/>
    <w:rsid w:val="46AF1C27"/>
    <w:rsid w:val="46F2B63F"/>
    <w:rsid w:val="49FF9D22"/>
    <w:rsid w:val="4A7F73E7"/>
    <w:rsid w:val="4C3E020E"/>
    <w:rsid w:val="4C7A4321"/>
    <w:rsid w:val="4D5AB1F1"/>
    <w:rsid w:val="4DFF9A80"/>
    <w:rsid w:val="4EE65181"/>
    <w:rsid w:val="4F3F6915"/>
    <w:rsid w:val="4F728710"/>
    <w:rsid w:val="4FBC41C5"/>
    <w:rsid w:val="4FE78B5C"/>
    <w:rsid w:val="4FEB8645"/>
    <w:rsid w:val="4FF77E90"/>
    <w:rsid w:val="4FF78C46"/>
    <w:rsid w:val="5166E114"/>
    <w:rsid w:val="535B8688"/>
    <w:rsid w:val="53BBB402"/>
    <w:rsid w:val="53BFCFA3"/>
    <w:rsid w:val="5599D392"/>
    <w:rsid w:val="55FF1365"/>
    <w:rsid w:val="567F272E"/>
    <w:rsid w:val="56FB65A1"/>
    <w:rsid w:val="57F8DF48"/>
    <w:rsid w:val="58FFC240"/>
    <w:rsid w:val="597FFD1B"/>
    <w:rsid w:val="5AE5DB79"/>
    <w:rsid w:val="5AF45791"/>
    <w:rsid w:val="5B7B9B47"/>
    <w:rsid w:val="5B7FE643"/>
    <w:rsid w:val="5BEC5EC9"/>
    <w:rsid w:val="5BF28697"/>
    <w:rsid w:val="5BFDD693"/>
    <w:rsid w:val="5CDF0F54"/>
    <w:rsid w:val="5DFF6E1D"/>
    <w:rsid w:val="5E39CC76"/>
    <w:rsid w:val="5EA56C8E"/>
    <w:rsid w:val="5EB2D69B"/>
    <w:rsid w:val="5ECFB9D5"/>
    <w:rsid w:val="5EEFD16D"/>
    <w:rsid w:val="5EF6CC2F"/>
    <w:rsid w:val="5F3AED9D"/>
    <w:rsid w:val="5F7F1C6C"/>
    <w:rsid w:val="5FBFA9F2"/>
    <w:rsid w:val="5FEF1531"/>
    <w:rsid w:val="5FEFDA17"/>
    <w:rsid w:val="5FFA3E7B"/>
    <w:rsid w:val="61FF79AF"/>
    <w:rsid w:val="63BFDE85"/>
    <w:rsid w:val="63F991A9"/>
    <w:rsid w:val="65FF6C12"/>
    <w:rsid w:val="66DF434C"/>
    <w:rsid w:val="66FB5947"/>
    <w:rsid w:val="67BD35B5"/>
    <w:rsid w:val="6BF16E01"/>
    <w:rsid w:val="6BF9BA60"/>
    <w:rsid w:val="6BFBD540"/>
    <w:rsid w:val="6BFF2A31"/>
    <w:rsid w:val="6BFF90B0"/>
    <w:rsid w:val="6CEF2FF0"/>
    <w:rsid w:val="6D7F5E37"/>
    <w:rsid w:val="6D7FF0AA"/>
    <w:rsid w:val="6DFC6F07"/>
    <w:rsid w:val="6E573782"/>
    <w:rsid w:val="6E7FCF3E"/>
    <w:rsid w:val="6EBFA975"/>
    <w:rsid w:val="6EDFEDE4"/>
    <w:rsid w:val="6F4746A9"/>
    <w:rsid w:val="6F7B5C4E"/>
    <w:rsid w:val="6F837A64"/>
    <w:rsid w:val="6FAE5C72"/>
    <w:rsid w:val="6FC2257A"/>
    <w:rsid w:val="6FDF9D32"/>
    <w:rsid w:val="6FEB4DF1"/>
    <w:rsid w:val="6FFA36CB"/>
    <w:rsid w:val="6FFBCC47"/>
    <w:rsid w:val="6FFCE880"/>
    <w:rsid w:val="6FFDBAFD"/>
    <w:rsid w:val="71B248B8"/>
    <w:rsid w:val="71ED0407"/>
    <w:rsid w:val="72BF7FDE"/>
    <w:rsid w:val="72FF5FDF"/>
    <w:rsid w:val="73DB4EE4"/>
    <w:rsid w:val="73DF8753"/>
    <w:rsid w:val="73ECF3F5"/>
    <w:rsid w:val="73EF2826"/>
    <w:rsid w:val="73EF8087"/>
    <w:rsid w:val="73F61ED8"/>
    <w:rsid w:val="73FD0F31"/>
    <w:rsid w:val="743F4B9E"/>
    <w:rsid w:val="75569F30"/>
    <w:rsid w:val="759718FF"/>
    <w:rsid w:val="75CE0967"/>
    <w:rsid w:val="75EF5486"/>
    <w:rsid w:val="7658FC08"/>
    <w:rsid w:val="76CF6107"/>
    <w:rsid w:val="76F637B4"/>
    <w:rsid w:val="76F90F75"/>
    <w:rsid w:val="77759F7E"/>
    <w:rsid w:val="777706E0"/>
    <w:rsid w:val="777FF2B1"/>
    <w:rsid w:val="77BE7977"/>
    <w:rsid w:val="77BF480B"/>
    <w:rsid w:val="77EFD866"/>
    <w:rsid w:val="77FAD850"/>
    <w:rsid w:val="77FAFD28"/>
    <w:rsid w:val="77FDA8A6"/>
    <w:rsid w:val="77FF609D"/>
    <w:rsid w:val="77FF6E77"/>
    <w:rsid w:val="78BFFD2C"/>
    <w:rsid w:val="79FA93C8"/>
    <w:rsid w:val="79FF980C"/>
    <w:rsid w:val="7A335A0A"/>
    <w:rsid w:val="7A9EA7F2"/>
    <w:rsid w:val="7AA71352"/>
    <w:rsid w:val="7AA73D15"/>
    <w:rsid w:val="7ABCE0EB"/>
    <w:rsid w:val="7ADD73D2"/>
    <w:rsid w:val="7AFA4B7E"/>
    <w:rsid w:val="7B5718E9"/>
    <w:rsid w:val="7BAFC4CC"/>
    <w:rsid w:val="7BF58CEC"/>
    <w:rsid w:val="7BFBF1B8"/>
    <w:rsid w:val="7BFDBEB7"/>
    <w:rsid w:val="7BFE7E1E"/>
    <w:rsid w:val="7CBF09FF"/>
    <w:rsid w:val="7CBF7D50"/>
    <w:rsid w:val="7D7D24E9"/>
    <w:rsid w:val="7D7FB530"/>
    <w:rsid w:val="7DBD6319"/>
    <w:rsid w:val="7DDB6D78"/>
    <w:rsid w:val="7DDDCBFD"/>
    <w:rsid w:val="7DDFC19E"/>
    <w:rsid w:val="7DF3A8B6"/>
    <w:rsid w:val="7DF94E9E"/>
    <w:rsid w:val="7DFBFC77"/>
    <w:rsid w:val="7DFE65DB"/>
    <w:rsid w:val="7DFE8396"/>
    <w:rsid w:val="7DFF2FC9"/>
    <w:rsid w:val="7E7EAA58"/>
    <w:rsid w:val="7EBFA4C8"/>
    <w:rsid w:val="7ED5E2E9"/>
    <w:rsid w:val="7EDECC45"/>
    <w:rsid w:val="7EED4F70"/>
    <w:rsid w:val="7EEE59DB"/>
    <w:rsid w:val="7EF72E14"/>
    <w:rsid w:val="7EFB410F"/>
    <w:rsid w:val="7EFC38B6"/>
    <w:rsid w:val="7EFF3B26"/>
    <w:rsid w:val="7EFF6B76"/>
    <w:rsid w:val="7EFF7010"/>
    <w:rsid w:val="7F3E782B"/>
    <w:rsid w:val="7F4BF002"/>
    <w:rsid w:val="7F594056"/>
    <w:rsid w:val="7F5FAEF9"/>
    <w:rsid w:val="7F751D5A"/>
    <w:rsid w:val="7F7F6432"/>
    <w:rsid w:val="7F7FB846"/>
    <w:rsid w:val="7F9FB808"/>
    <w:rsid w:val="7FB99546"/>
    <w:rsid w:val="7FBD273C"/>
    <w:rsid w:val="7FBDC1EC"/>
    <w:rsid w:val="7FBE8400"/>
    <w:rsid w:val="7FC7F8B8"/>
    <w:rsid w:val="7FCC70D0"/>
    <w:rsid w:val="7FCF770E"/>
    <w:rsid w:val="7FCFEDC9"/>
    <w:rsid w:val="7FEA0917"/>
    <w:rsid w:val="7FEACED5"/>
    <w:rsid w:val="7FED699E"/>
    <w:rsid w:val="7FEF66EB"/>
    <w:rsid w:val="7FEFF626"/>
    <w:rsid w:val="7FFB0DBF"/>
    <w:rsid w:val="7FFB1369"/>
    <w:rsid w:val="7FFD6761"/>
    <w:rsid w:val="7FFE6AE3"/>
    <w:rsid w:val="7FFE8A86"/>
    <w:rsid w:val="7FFEA061"/>
    <w:rsid w:val="7FFF6DEA"/>
    <w:rsid w:val="7FFF9394"/>
    <w:rsid w:val="8D3DB06C"/>
    <w:rsid w:val="8DF9D583"/>
    <w:rsid w:val="91CF15CE"/>
    <w:rsid w:val="97F78411"/>
    <w:rsid w:val="99BEAE2F"/>
    <w:rsid w:val="99DA5309"/>
    <w:rsid w:val="99DF191C"/>
    <w:rsid w:val="9BF36BF1"/>
    <w:rsid w:val="9DB1F1F3"/>
    <w:rsid w:val="9DDB9146"/>
    <w:rsid w:val="9DDF9016"/>
    <w:rsid w:val="9EBE26BA"/>
    <w:rsid w:val="9EEE2FB3"/>
    <w:rsid w:val="9F4F931A"/>
    <w:rsid w:val="9FB32B9A"/>
    <w:rsid w:val="9FBFF21E"/>
    <w:rsid w:val="9FDD8989"/>
    <w:rsid w:val="A3D763D2"/>
    <w:rsid w:val="AAFF7E72"/>
    <w:rsid w:val="AD771F95"/>
    <w:rsid w:val="AEFEF18E"/>
    <w:rsid w:val="AF776B41"/>
    <w:rsid w:val="B3BAA966"/>
    <w:rsid w:val="B3BEE334"/>
    <w:rsid w:val="B5AD46EE"/>
    <w:rsid w:val="B6F5CC48"/>
    <w:rsid w:val="BA9B0F07"/>
    <w:rsid w:val="BAF7C3DF"/>
    <w:rsid w:val="BBB7A17B"/>
    <w:rsid w:val="BDBDC281"/>
    <w:rsid w:val="BDFFE902"/>
    <w:rsid w:val="BE9B8A16"/>
    <w:rsid w:val="BEB5ED59"/>
    <w:rsid w:val="BEFB5E30"/>
    <w:rsid w:val="BF7644B8"/>
    <w:rsid w:val="BF8B6EE9"/>
    <w:rsid w:val="BF8F277D"/>
    <w:rsid w:val="BFBF3F7F"/>
    <w:rsid w:val="BFBF460B"/>
    <w:rsid w:val="BFBF6356"/>
    <w:rsid w:val="BFC643F1"/>
    <w:rsid w:val="BFEBD89F"/>
    <w:rsid w:val="BFF686B8"/>
    <w:rsid w:val="BFF96F53"/>
    <w:rsid w:val="BFF9FED6"/>
    <w:rsid w:val="BFFE9EBD"/>
    <w:rsid w:val="BFFF8BED"/>
    <w:rsid w:val="C3EBEF84"/>
    <w:rsid w:val="C3FB5C5F"/>
    <w:rsid w:val="C7FFBA56"/>
    <w:rsid w:val="CBDF96FD"/>
    <w:rsid w:val="CBF2CAAE"/>
    <w:rsid w:val="CDF71E4B"/>
    <w:rsid w:val="CDFFA47C"/>
    <w:rsid w:val="CF6B7D85"/>
    <w:rsid w:val="CFEF4EC5"/>
    <w:rsid w:val="D257E90B"/>
    <w:rsid w:val="D2BF2DDC"/>
    <w:rsid w:val="D3F6626F"/>
    <w:rsid w:val="D3FECE52"/>
    <w:rsid w:val="D4EF8B68"/>
    <w:rsid w:val="D5EE1020"/>
    <w:rsid w:val="D5EED3B8"/>
    <w:rsid w:val="D6E2A797"/>
    <w:rsid w:val="D7DFABD6"/>
    <w:rsid w:val="D8B321FE"/>
    <w:rsid w:val="D8E7FEC3"/>
    <w:rsid w:val="DAB67427"/>
    <w:rsid w:val="DB6F6969"/>
    <w:rsid w:val="DBEDBF28"/>
    <w:rsid w:val="DBFB0596"/>
    <w:rsid w:val="DBFEA9B5"/>
    <w:rsid w:val="DD77A85D"/>
    <w:rsid w:val="DDD2954C"/>
    <w:rsid w:val="DDE7200A"/>
    <w:rsid w:val="DE2B9F14"/>
    <w:rsid w:val="DEF61FBC"/>
    <w:rsid w:val="DEFB673D"/>
    <w:rsid w:val="DF3648C2"/>
    <w:rsid w:val="DF7A60D2"/>
    <w:rsid w:val="DF7F5B6E"/>
    <w:rsid w:val="DFB731AF"/>
    <w:rsid w:val="DFC65634"/>
    <w:rsid w:val="DFDB03C1"/>
    <w:rsid w:val="DFDEBE4D"/>
    <w:rsid w:val="DFEBB9B3"/>
    <w:rsid w:val="DFFF056F"/>
    <w:rsid w:val="DFFF66BC"/>
    <w:rsid w:val="E5DBE26B"/>
    <w:rsid w:val="E6A723D2"/>
    <w:rsid w:val="E7338866"/>
    <w:rsid w:val="E7BA25DD"/>
    <w:rsid w:val="E7FE988D"/>
    <w:rsid w:val="E7FFED24"/>
    <w:rsid w:val="E9FFA158"/>
    <w:rsid w:val="EB69DDB4"/>
    <w:rsid w:val="EBE0B4E0"/>
    <w:rsid w:val="EBFB6D8E"/>
    <w:rsid w:val="ECA9784C"/>
    <w:rsid w:val="ED14BCFD"/>
    <w:rsid w:val="EDDFC057"/>
    <w:rsid w:val="EDE6095D"/>
    <w:rsid w:val="EE5F731E"/>
    <w:rsid w:val="EEF6D685"/>
    <w:rsid w:val="EF5F7370"/>
    <w:rsid w:val="EF6F8D30"/>
    <w:rsid w:val="EFBF34D8"/>
    <w:rsid w:val="EFDD7F56"/>
    <w:rsid w:val="EFED9EE4"/>
    <w:rsid w:val="EFFB7A95"/>
    <w:rsid w:val="EFFC91B0"/>
    <w:rsid w:val="EFFE50B2"/>
    <w:rsid w:val="EFFF2F16"/>
    <w:rsid w:val="EFFF7273"/>
    <w:rsid w:val="EFFF84C1"/>
    <w:rsid w:val="EFFFACDD"/>
    <w:rsid w:val="F1D7FECE"/>
    <w:rsid w:val="F1EFF5A7"/>
    <w:rsid w:val="F3590DF1"/>
    <w:rsid w:val="F36B9958"/>
    <w:rsid w:val="F47E4190"/>
    <w:rsid w:val="F4BBA3DF"/>
    <w:rsid w:val="F4FF74A4"/>
    <w:rsid w:val="F53FBBC1"/>
    <w:rsid w:val="F54F2A1C"/>
    <w:rsid w:val="F57E1995"/>
    <w:rsid w:val="F5B5FE6D"/>
    <w:rsid w:val="F5CF7265"/>
    <w:rsid w:val="F5F0FD07"/>
    <w:rsid w:val="F67F2456"/>
    <w:rsid w:val="F67FBBEC"/>
    <w:rsid w:val="F6B51B65"/>
    <w:rsid w:val="F6D397F5"/>
    <w:rsid w:val="F6EB4CC7"/>
    <w:rsid w:val="F6EF7798"/>
    <w:rsid w:val="F6FADA64"/>
    <w:rsid w:val="F6FAFD0B"/>
    <w:rsid w:val="F6FF2EC5"/>
    <w:rsid w:val="F72C84B9"/>
    <w:rsid w:val="F7989108"/>
    <w:rsid w:val="F7CFB82E"/>
    <w:rsid w:val="F7DDFCD0"/>
    <w:rsid w:val="F7E9E0F8"/>
    <w:rsid w:val="F7FA9D7E"/>
    <w:rsid w:val="F7FCF96E"/>
    <w:rsid w:val="F7FD6783"/>
    <w:rsid w:val="F8FF0378"/>
    <w:rsid w:val="F9DF100C"/>
    <w:rsid w:val="FA3D4D04"/>
    <w:rsid w:val="FA9B1318"/>
    <w:rsid w:val="FAB90C0B"/>
    <w:rsid w:val="FAE96B46"/>
    <w:rsid w:val="FAFBCCD9"/>
    <w:rsid w:val="FAFDDEDA"/>
    <w:rsid w:val="FAFF696F"/>
    <w:rsid w:val="FB2C13F6"/>
    <w:rsid w:val="FB65AC35"/>
    <w:rsid w:val="FB7FBAB5"/>
    <w:rsid w:val="FB8CB0A2"/>
    <w:rsid w:val="FB9B4300"/>
    <w:rsid w:val="FBAB52F2"/>
    <w:rsid w:val="FBD05047"/>
    <w:rsid w:val="FBE73775"/>
    <w:rsid w:val="FBEF512A"/>
    <w:rsid w:val="FBF735B4"/>
    <w:rsid w:val="FBFE90AE"/>
    <w:rsid w:val="FBFEE179"/>
    <w:rsid w:val="FCBFC1D9"/>
    <w:rsid w:val="FCF5C6CD"/>
    <w:rsid w:val="FD0B9F10"/>
    <w:rsid w:val="FD6B137D"/>
    <w:rsid w:val="FD6F0E15"/>
    <w:rsid w:val="FD763406"/>
    <w:rsid w:val="FD7A6BA7"/>
    <w:rsid w:val="FD7D46EE"/>
    <w:rsid w:val="FD89421D"/>
    <w:rsid w:val="FD9A378C"/>
    <w:rsid w:val="FDA61EF6"/>
    <w:rsid w:val="FDA74A21"/>
    <w:rsid w:val="FDBFAEC4"/>
    <w:rsid w:val="FDBFDABA"/>
    <w:rsid w:val="FDCEE945"/>
    <w:rsid w:val="FDDE041E"/>
    <w:rsid w:val="FDEFFD7A"/>
    <w:rsid w:val="FDFBC815"/>
    <w:rsid w:val="FE9D5197"/>
    <w:rsid w:val="FE9FF768"/>
    <w:rsid w:val="FEDBCC31"/>
    <w:rsid w:val="FEDD72FE"/>
    <w:rsid w:val="FEE71526"/>
    <w:rsid w:val="FEFE47B5"/>
    <w:rsid w:val="FEFF57DD"/>
    <w:rsid w:val="FEFFD268"/>
    <w:rsid w:val="FF171136"/>
    <w:rsid w:val="FF56C55A"/>
    <w:rsid w:val="FF63D956"/>
    <w:rsid w:val="FF6BC817"/>
    <w:rsid w:val="FF7ABFEA"/>
    <w:rsid w:val="FF7E8AE8"/>
    <w:rsid w:val="FF9F509B"/>
    <w:rsid w:val="FFAB7F64"/>
    <w:rsid w:val="FFBB3D42"/>
    <w:rsid w:val="FFBC0179"/>
    <w:rsid w:val="FFBF699C"/>
    <w:rsid w:val="FFDDBCE1"/>
    <w:rsid w:val="FFDEE6ED"/>
    <w:rsid w:val="FFE6D051"/>
    <w:rsid w:val="FFE71EB0"/>
    <w:rsid w:val="FFEAB799"/>
    <w:rsid w:val="FFEB7002"/>
    <w:rsid w:val="FFF3634A"/>
    <w:rsid w:val="FFF54C3B"/>
    <w:rsid w:val="FFF576F1"/>
    <w:rsid w:val="FFF7A4A7"/>
    <w:rsid w:val="FFF7FB04"/>
    <w:rsid w:val="FFF9CDE6"/>
    <w:rsid w:val="FFFB121C"/>
    <w:rsid w:val="FFFB329B"/>
    <w:rsid w:val="FFFB5DCF"/>
    <w:rsid w:val="FFFC4F47"/>
    <w:rsid w:val="FFFDA486"/>
    <w:rsid w:val="FFFFA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5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99"/>
    <w:pPr>
      <w:spacing w:beforeAutospacing="1" w:afterAutospacing="1"/>
      <w:jc w:val="left"/>
    </w:pPr>
    <w:rPr>
      <w:rFonts w:ascii="Arial" w:hAnsi="Arial"/>
      <w:kern w:val="0"/>
      <w:sz w:val="24"/>
      <w:szCs w:val="22"/>
    </w:rPr>
  </w:style>
  <w:style w:type="table" w:styleId="6">
    <w:name w:val="Table Grid"/>
    <w:basedOn w:val="5"/>
    <w:uiPriority w:val="39"/>
    <w:rPr>
      <w:rFonts w:cstheme="minorEastAsia"/>
      <w:bCs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Light Grid Accent 1"/>
    <w:basedOn w:val="5"/>
    <w:uiPriority w:val="62"/>
    <w:pPr>
      <w:spacing w:after="0" w:line="240" w:lineRule="auto"/>
    </w:p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1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0</Words>
  <Characters>0</Characters>
  <Lines>0</Lines>
  <Paragraphs>0</Paragraphs>
  <TotalTime>20</TotalTime>
  <ScaleCrop>false</ScaleCrop>
  <LinksUpToDate>false</LinksUpToDate>
  <CharactersWithSpaces>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2026-04-27T21:50:00Z</dcterms:created>
  <dc:creator>Cynthia</dc:creator>
  <cp:lastModifiedBy>Cynthia</cp:lastModifiedBy>
  <dcterms:modified xsi:type="dcterms:W3CDTF">2026-08-02T01:17:57Z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ED627198064D880B9680E769921995A0_41</vt:lpwstr>
  </property>
</Properties>
</file>