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32"/>
        </w:rPr>
        <w:t>Supplementary Material</w:t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22"/>
        </w:rPr>
        <w:t>A liver-aware cardio-kidney-liver-metabolic risk architecture in adults with diabetes: a population-based and hospital-based cohort study</w:t>
      </w:r>
    </w:p>
    <w:p>
      <w:pPr>
        <w:spacing w:after="100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Mingliang Liu1,2†, Shihang Chen1†, Shi Wu1†, Yitong Li1, Bei Sun1*, Liming Chen1,2*</w:t>
      </w:r>
    </w:p>
    <w:p>
      <w:pPr>
        <w:pStyle w:val="Heading1"/>
      </w:pPr>
      <w:r>
        <w:t>Supplementary Tables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S1. Cohort selection.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440"/>
        <w:gridCol w:w="7560"/>
        <w:gridCol w:w="1080"/>
      </w:tblGrid>
      <w:tr>
        <w:trPr>
          <w:tblHeader w:val="true"/>
          <w:cantSplit/>
        </w:trPr>
        <w:tc>
          <w:tcPr>
            <w:tcW w:type="dxa" w:w="14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Cohort</w:t>
            </w:r>
          </w:p>
        </w:tc>
        <w:tc>
          <w:tcPr>
            <w:tcW w:type="dxa" w:w="756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Selection step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n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Panel A. NHANES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NHANES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Adults with diabetes, positive mortality follow-up, and positive MEC weight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8421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NHANES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Excluded: incomplete prespecified C/K/M/steatosis/fibrosis-risk data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773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NHANES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Complete four-domain primary analysis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7648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NHANES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Complete alcohol sensitivity analysis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6608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Panel B. Hospital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Submitted hospital analytic cohort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18435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Excluded: not eligible at the formal day-180 landmark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14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Eligible at the formal day-180 landmark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18421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Excluded: strict T2D not documented by the landmark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Main day-180 landmark cohort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18418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Kidney/cardiorenal risk sets: at least two post-landmark eGFR measurements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12702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Excluded from kidney/cardiorenal risk sets: fewer than two post-landmark eGFR measurements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5716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Subsequent strict ASCVD risk set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18418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Excluded from incident ASCVD risk set: prevalent ASCVD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628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Hospital</w:t>
            </w:r>
          </w:p>
        </w:tc>
        <w:tc>
          <w:tcPr>
            <w:tcW w:type="dxa" w:w="75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strict ASCVD risk set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17790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Hospital endpoint-specific risk sets are reported in Supplementary Table S4.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S2. Prespecified domain definitions and ascertainment windows.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224"/>
        <w:gridCol w:w="1440"/>
        <w:gridCol w:w="5760"/>
        <w:gridCol w:w="1656"/>
      </w:tblGrid>
      <w:tr>
        <w:trPr>
          <w:tblHeader w:val="true"/>
          <w:cantSplit/>
        </w:trPr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Cohort</w:t>
            </w:r>
          </w:p>
        </w:tc>
        <w:tc>
          <w:tcPr>
            <w:tcW w:type="dxa" w:w="14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Domain</w:t>
            </w:r>
          </w:p>
        </w:tc>
        <w:tc>
          <w:tcPr>
            <w:tcW w:type="dxa" w:w="576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Operational definition</w:t>
            </w:r>
          </w:p>
        </w:tc>
        <w:tc>
          <w:tcPr>
            <w:tcW w:type="dxa" w:w="165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Window</w:t>
            </w:r>
          </w:p>
        </w:tc>
      </w:tr>
      <w:tr>
        <w:trPr>
          <w:cantSplit/>
        </w:trPr>
        <w:tc>
          <w:tcPr>
            <w:tcW w:type="dxa" w:w="10080"/>
            <w:gridSpan w:val="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A. NHANES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History of heart failure, coronary heart disease, angina, myocardial infarction, or stroke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Questionnaire before mortality follow-up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K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eGFR &lt;60 mL/min/1.73 m² or UACR ≥30 mg/g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Examination/laboratory baseline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Obesity, hypertension, and dyslipidaemia components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Examination/questionnaire baseline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L-steatosis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FLI ≥60 or HSI ≥36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Examination/laboratory baseline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L-fibrosis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FIB-4 ≥2.67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Examination/laboratory baseline</w:t>
            </w:r>
          </w:p>
        </w:tc>
      </w:tr>
      <w:tr>
        <w:trPr>
          <w:cantSplit/>
        </w:trPr>
        <w:tc>
          <w:tcPr>
            <w:tcW w:type="dxa" w:w="10080"/>
            <w:gridSpan w:val="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B. Hospital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ASCVD or heart failure diagnosis documented by day-180 landmark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No later than landmark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K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eGFR &lt;60 mL/min/1.73 m² or CKD diagnosis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No later than landmark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Obesity, hypertension, and dyslipidaemia count divided by 3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No later than landmark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L-primary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K76.0/fatty liver/steatotic hepatitis or K74/liver fibrosis/cirrhosis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No later than landmark</w:t>
            </w:r>
          </w:p>
        </w:tc>
      </w:tr>
      <w:tr>
        <w:trPr>
          <w:cantSplit/>
        </w:trPr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L-sensitivity</w:t>
            </w:r>
          </w:p>
        </w:tc>
        <w:tc>
          <w:tcPr>
            <w:tcW w:type="dxa" w:w="576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FLI ≥60; HSI ≥36; age-adjusted FIB-4; recorded ultrasound steatosis</w:t>
            </w:r>
          </w:p>
        </w:tc>
        <w:tc>
          <w:tcPr>
            <w:tcW w:type="dxa" w:w="165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No later than landmark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CKM comprises C, K, and M; CKLM adds the listed L measurement or measurements. These study definitions are not AHA CKM stages.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S3. Outcome definitions, time origin, and censoring.</w:t>
      </w:r>
    </w:p>
    <w:tbl>
      <w:tblPr>
        <w:tblW w:type="dxa" w:w="10296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152"/>
        <w:gridCol w:w="1944"/>
        <w:gridCol w:w="4824"/>
        <w:gridCol w:w="2376"/>
      </w:tblGrid>
      <w:tr>
        <w:trPr>
          <w:tblHeader w:val="true"/>
          <w:cantSplit/>
        </w:trPr>
        <w:tc>
          <w:tcPr>
            <w:tcW w:type="dxa" w:w="115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Cohort</w:t>
            </w:r>
          </w:p>
        </w:tc>
        <w:tc>
          <w:tcPr>
            <w:tcW w:type="dxa" w:w="194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Outcome</w:t>
            </w:r>
          </w:p>
        </w:tc>
        <w:tc>
          <w:tcPr>
            <w:tcW w:type="dxa" w:w="48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Definition</w:t>
            </w:r>
          </w:p>
        </w:tc>
        <w:tc>
          <w:tcPr>
            <w:tcW w:type="dxa" w:w="237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Time scale and censoring</w:t>
            </w:r>
          </w:p>
        </w:tc>
      </w:tr>
      <w:tr>
        <w:trPr>
          <w:cantSplit/>
        </w:trPr>
        <w:tc>
          <w:tcPr>
            <w:tcW w:type="dxa" w:w="10296"/>
            <w:gridSpan w:val="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A. NHANES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All-cause mortality</w:t>
            </w:r>
          </w:p>
        </w:tc>
        <w:tc>
          <w:tcPr>
            <w:tcW w:type="dxa" w:w="48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Death from any cause in the linked mortality file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Examination to death or administrative censoring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mortality</w:t>
            </w:r>
          </w:p>
        </w:tc>
        <w:tc>
          <w:tcPr>
            <w:tcW w:type="dxa" w:w="48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underlying cause in the linked mortality file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Examination to death or administrative censoring</w:t>
            </w:r>
          </w:p>
        </w:tc>
      </w:tr>
      <w:tr>
        <w:trPr>
          <w:cantSplit/>
        </w:trPr>
        <w:tc>
          <w:tcPr>
            <w:tcW w:type="dxa" w:w="10296"/>
            <w:gridSpan w:val="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B. Hospital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Confirmed eGFR decline ≥40%</w:t>
            </w:r>
          </w:p>
        </w:tc>
        <w:tc>
          <w:tcPr>
            <w:tcW w:type="dxa" w:w="48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≥40% decline from index eGFR, confirmed ≥28 days later; AKI within 30 days excluded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Landmark to confirmed decline or last eGFR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Cardiorenal composite</w:t>
            </w:r>
          </w:p>
        </w:tc>
        <w:tc>
          <w:tcPr>
            <w:tcW w:type="dxa" w:w="48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First confirmed eGFR decline, strict ASCVD, or heart failure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Landmark to first component or last clinical contact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</w:t>
            </w:r>
          </w:p>
        </w:tc>
        <w:tc>
          <w:tcPr>
            <w:tcW w:type="dxa" w:w="48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I21/I22 or acute MI text; I63 or ischaemic stroke text; old/previous events excluded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Landmark to event or last clinical contact</w:t>
            </w:r>
          </w:p>
        </w:tc>
      </w:tr>
      <w:tr>
        <w:trPr>
          <w:cantSplit/>
        </w:trPr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Incident strict ASCVD</w:t>
            </w:r>
          </w:p>
        </w:tc>
        <w:tc>
          <w:tcPr>
            <w:tcW w:type="dxa" w:w="48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 after excluding pre-landmark ASCVD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Landmark to event or last clinical contact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Hospital cardiovascular and heart-failure outcomes were based on routinely recorded diagnoses and were not centrally adjudicated.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S4. Endpoint-specific sample size, follow-up, person-time, and incidence.</w:t>
      </w:r>
    </w:p>
    <w:tbl>
      <w:tblPr>
        <w:tblW w:type="dxa" w:w="9936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2232"/>
        <w:gridCol w:w="792"/>
        <w:gridCol w:w="864"/>
        <w:gridCol w:w="2088"/>
        <w:gridCol w:w="1440"/>
        <w:gridCol w:w="1440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Cohort</w:t>
            </w:r>
          </w:p>
        </w:tc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Outcome</w:t>
            </w:r>
          </w:p>
        </w:tc>
        <w:tc>
          <w:tcPr>
            <w:tcW w:type="dxa" w:w="79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</w:t>
            </w:r>
          </w:p>
        </w:tc>
        <w:tc>
          <w:tcPr>
            <w:tcW w:type="dxa" w:w="86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Events</w:t>
            </w:r>
          </w:p>
        </w:tc>
        <w:tc>
          <w:tcPr>
            <w:tcW w:type="dxa" w:w="208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Median follow-up (IQR)</w:t>
            </w:r>
          </w:p>
        </w:tc>
        <w:tc>
          <w:tcPr>
            <w:tcW w:type="dxa" w:w="14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Person-years</w:t>
            </w:r>
          </w:p>
        </w:tc>
        <w:tc>
          <w:tcPr>
            <w:tcW w:type="dxa" w:w="14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Rate/1,000 PY</w:t>
            </w:r>
          </w:p>
        </w:tc>
      </w:tr>
      <w:tr>
        <w:trPr>
          <w:cantSplit/>
        </w:trPr>
        <w:tc>
          <w:tcPr>
            <w:tcW w:type="dxa" w:w="9936"/>
            <w:gridSpan w:val="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A. NHANES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All-cause mortality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7648</w:t>
            </w:r>
          </w:p>
        </w:tc>
        <w:tc>
          <w:tcPr>
            <w:tcW w:type="dxa" w:w="86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2122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7.17 y (3.67–11.42)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60774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34.92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mortality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7648</w:t>
            </w:r>
          </w:p>
        </w:tc>
        <w:tc>
          <w:tcPr>
            <w:tcW w:type="dxa" w:w="86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722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7.17 y (3.67–11.42)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60774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11.88</w:t>
            </w:r>
          </w:p>
        </w:tc>
      </w:tr>
      <w:tr>
        <w:trPr>
          <w:cantSplit/>
        </w:trPr>
        <w:tc>
          <w:tcPr>
            <w:tcW w:type="dxa" w:w="9936"/>
            <w:gridSpan w:val="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B. Hospital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Confirmed eGFR decline ≥40%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12702</w:t>
            </w:r>
          </w:p>
        </w:tc>
        <w:tc>
          <w:tcPr>
            <w:tcW w:type="dxa" w:w="86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348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1236 d (625–2104)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50353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6.91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Cardiorenal composite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12702</w:t>
            </w:r>
          </w:p>
        </w:tc>
        <w:tc>
          <w:tcPr>
            <w:tcW w:type="dxa" w:w="86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1199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1358 d (705–2277)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54110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22.16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18418</w:t>
            </w:r>
          </w:p>
        </w:tc>
        <w:tc>
          <w:tcPr>
            <w:tcW w:type="dxa" w:w="86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866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1098 d (491–1996)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67578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12.81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Incident strict ASCVD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17790</w:t>
            </w:r>
          </w:p>
        </w:tc>
        <w:tc>
          <w:tcPr>
            <w:tcW w:type="dxa" w:w="86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662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1109 d (497–2013)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65807</w:t>
            </w:r>
          </w:p>
        </w:tc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10.06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Hospital death capture was insufficient for credible competing-risk analysis (0-7 deaths before the endpoint across risk sets).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S5. Primary model discrimination and incremental performance.</w:t>
      </w:r>
    </w:p>
    <w:tbl>
      <w:tblPr>
        <w:tblW w:type="dxa" w:w="10296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08"/>
        <w:gridCol w:w="1944"/>
        <w:gridCol w:w="720"/>
        <w:gridCol w:w="792"/>
        <w:gridCol w:w="1152"/>
        <w:gridCol w:w="1152"/>
        <w:gridCol w:w="1728"/>
        <w:gridCol w:w="1800"/>
      </w:tblGrid>
      <w:tr>
        <w:trPr>
          <w:tblHeader w:val="true"/>
          <w:cantSplit/>
        </w:trPr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Cohort</w:t>
            </w:r>
          </w:p>
        </w:tc>
        <w:tc>
          <w:tcPr>
            <w:tcW w:type="dxa" w:w="194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Outcome</w:t>
            </w:r>
          </w:p>
        </w:tc>
        <w:tc>
          <w:tcPr>
            <w:tcW w:type="dxa" w:w="72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n</w:t>
            </w:r>
          </w:p>
        </w:tc>
        <w:tc>
          <w:tcPr>
            <w:tcW w:type="dxa" w:w="79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Events</w:t>
            </w:r>
          </w:p>
        </w:tc>
        <w:tc>
          <w:tcPr>
            <w:tcW w:type="dxa" w:w="115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C-index</w:t>
            </w:r>
          </w:p>
        </w:tc>
        <w:tc>
          <w:tcPr>
            <w:tcW w:type="dxa" w:w="115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CKLM C-index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ΔC-index (95% CI)</w:t>
            </w:r>
          </w:p>
        </w:tc>
        <w:tc>
          <w:tcPr>
            <w:tcW w:type="dxa" w:w="180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3-year ΔAUC (95% CI)</w:t>
            </w:r>
          </w:p>
        </w:tc>
      </w:tr>
      <w:tr>
        <w:trPr>
          <w:cantSplit/>
        </w:trPr>
        <w:tc>
          <w:tcPr>
            <w:tcW w:type="dxa" w:w="10296"/>
            <w:gridSpan w:val="8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Panel A. NHANES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NHANES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All-cause mortality</w:t>
            </w:r>
          </w:p>
        </w:tc>
        <w:tc>
          <w:tcPr>
            <w:tcW w:type="dxa" w:w="7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7648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2122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0.7811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0.7847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0.0036 (0.0019–0.0052)</w:t>
            </w:r>
          </w:p>
        </w:tc>
        <w:tc>
          <w:tcPr>
            <w:tcW w:type="dxa" w:w="180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0.0040 (0.0010–0.0074)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NHANES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Cardiovascular mortality</w:t>
            </w:r>
          </w:p>
        </w:tc>
        <w:tc>
          <w:tcPr>
            <w:tcW w:type="dxa" w:w="7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7648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722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0.8200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0.8229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0.0029 (0.0013–0.0048)</w:t>
            </w:r>
          </w:p>
        </w:tc>
        <w:tc>
          <w:tcPr>
            <w:tcW w:type="dxa" w:w="180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0.0029 (0.0000–0.0056)</w:t>
            </w:r>
          </w:p>
        </w:tc>
      </w:tr>
      <w:tr>
        <w:trPr>
          <w:cantSplit/>
        </w:trPr>
        <w:tc>
          <w:tcPr>
            <w:tcW w:type="dxa" w:w="10296"/>
            <w:gridSpan w:val="8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Panel B. Hospital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Confirmed eGFR decline ≥40%</w:t>
            </w:r>
          </w:p>
        </w:tc>
        <w:tc>
          <w:tcPr>
            <w:tcW w:type="dxa" w:w="7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12702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348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0.7523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0.7506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-0.0017 (-0.0043–0.0008)</w:t>
            </w:r>
          </w:p>
        </w:tc>
        <w:tc>
          <w:tcPr>
            <w:tcW w:type="dxa" w:w="180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-0.0010 (-0.0044–0.0030)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Cardiorenal composite</w:t>
            </w:r>
          </w:p>
        </w:tc>
        <w:tc>
          <w:tcPr>
            <w:tcW w:type="dxa" w:w="7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12702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1199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0.7430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0.7478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0.0048 (0.0013–0.0082)</w:t>
            </w:r>
          </w:p>
        </w:tc>
        <w:tc>
          <w:tcPr>
            <w:tcW w:type="dxa" w:w="180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0.0055 (0.0008–0.0103)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Subsequent strict ASCVD</w:t>
            </w:r>
          </w:p>
        </w:tc>
        <w:tc>
          <w:tcPr>
            <w:tcW w:type="dxa" w:w="7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18418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866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0.7517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0.7599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0.0081 (0.0019–0.0148)</w:t>
            </w:r>
          </w:p>
        </w:tc>
        <w:tc>
          <w:tcPr>
            <w:tcW w:type="dxa" w:w="180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0.0085 (0.0005–0.0175)</w:t>
            </w:r>
          </w:p>
        </w:tc>
      </w:tr>
      <w:tr>
        <w:trPr>
          <w:cantSplit/>
        </w:trPr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Hospital</w:t>
            </w:r>
          </w:p>
        </w:tc>
        <w:tc>
          <w:tcPr>
            <w:tcW w:type="dxa" w:w="194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Incident strict ASCVD (no prevalent ASCVD)</w:t>
            </w:r>
          </w:p>
        </w:tc>
        <w:tc>
          <w:tcPr>
            <w:tcW w:type="dxa" w:w="7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17790</w:t>
            </w:r>
          </w:p>
        </w:tc>
        <w:tc>
          <w:tcPr>
            <w:tcW w:type="dxa" w:w="79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662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0.6681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0.6792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0.0111 (0.0015–0.0215)</w:t>
            </w:r>
          </w:p>
        </w:tc>
        <w:tc>
          <w:tcPr>
            <w:tcW w:type="dxa" w:w="180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0.0120 (-0.0011–0.0258)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NHANES used separate steatosis and fibrosis-risk axes; the hospital cohort used clinical liver involvement. C-indices and time-dependent AUCs are based on paired five-fold out-of-fold predictions. Liver-domain hazard ratios are reported in Supplementary Table S6.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S6. Liver-domain associations in the full CKLM models.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232"/>
        <w:gridCol w:w="3384"/>
        <w:gridCol w:w="2088"/>
        <w:gridCol w:w="1080"/>
        <w:gridCol w:w="1584"/>
      </w:tblGrid>
      <w:tr>
        <w:trPr>
          <w:tblHeader w:val="true"/>
          <w:cantSplit/>
        </w:trPr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Outcome</w:t>
            </w:r>
          </w:p>
        </w:tc>
        <w:tc>
          <w:tcPr>
            <w:tcW w:type="dxa" w:w="33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Liver representation and model</w:t>
            </w:r>
          </w:p>
        </w:tc>
        <w:tc>
          <w:tcPr>
            <w:tcW w:type="dxa" w:w="208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Adjusted HR (95% CI)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  <w:tc>
          <w:tcPr>
            <w:tcW w:type="dxa" w:w="15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Joint or nested-model P</w:t>
            </w:r>
          </w:p>
        </w:tc>
      </w:tr>
      <w:tr>
        <w:trPr>
          <w:cantSplit/>
        </w:trPr>
        <w:tc>
          <w:tcPr>
            <w:tcW w:type="dxa" w:w="10368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A. NHANES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All-cause mortality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L-steatosis axis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0.821 (0.687–0.981)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0.030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All-cause mortality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L-fibrosis-risk axis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1.693 (1.398–2.051)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mortality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L-steatosis axis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0.856 (0.656–1.116)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0.251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0.009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mortality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L-fibrosis-risk axis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1.574 (1.150–2.153)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0.005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0.009</w:t>
            </w:r>
          </w:p>
        </w:tc>
      </w:tr>
      <w:tr>
        <w:trPr>
          <w:cantSplit/>
        </w:trPr>
        <w:tc>
          <w:tcPr>
            <w:tcW w:type="dxa" w:w="10368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Panel B. Hospital cohort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Confirmed eGFR decline ≥40%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(Architecture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0.834 (0.634–1.097)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0.193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0.140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Confirmed eGFR decline ≥40%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(Expanded covariate-adjusted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0.883 (0.672–1.161)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0.374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0.293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Cardiorenal composite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(Architecture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1.294 (1.100–1.522)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0.002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Cardiorenal composite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(Expanded covariate-adjusted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1.065 (0.778–1.459)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0.693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(Architecture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1.539 (1.283–1.847)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(Expanded covariate-adjusted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1.545 (1.306–1.828)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Incident strict ASCVD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(Architecture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1.735 (1.396–2.155)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Incident strict ASCVD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 (Expanded covariate-adjusted model)</w:t>
            </w:r>
          </w:p>
        </w:tc>
        <w:tc>
          <w:tcPr>
            <w:tcW w:type="dxa" w:w="208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1.689 (1.389–2.054)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5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NHANES joint P values are design-based Wald tests for the two liver axes. Hospital nested-model P values are likelihood-ratio tests from unpenalized Cox models. Expanded hospital models additionally included HbA1c, LDL cholesterol, continuous eGFR, viral hepatitis, medication classes, diagnosis-day density, and laboratory-day density.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S7. Cross-validated discrimination across domain-specific and combined models.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NHANES</w:t>
      </w:r>
    </w:p>
    <w:tbl>
      <w:tblPr>
        <w:tblW w:type="dxa" w:w="10296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232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</w:tblGrid>
      <w:tr>
        <w:trPr>
          <w:tblHeader w:val="true"/>
          <w:cantSplit/>
        </w:trPr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Outcome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M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K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L-steatosis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L-fibrosis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Two-axis L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M+L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</w:t>
            </w:r>
          </w:p>
        </w:tc>
        <w:tc>
          <w:tcPr>
            <w:tcW w:type="dxa" w:w="8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CKLM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All-cause mortality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0.7510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0.7729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0.7639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0.7509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0.7556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0.7558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0.7570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0.7811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0.7847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Cardiovascular mortality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0.7662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0.8052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0.7970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0.7715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0.7740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0.7751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0.7732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0.8200</w:t>
            </w:r>
          </w:p>
        </w:tc>
        <w:tc>
          <w:tcPr>
            <w:tcW w:type="dxa" w:w="8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0.8229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Hospital</w:t>
      </w:r>
    </w:p>
    <w:tbl>
      <w:tblPr>
        <w:tblW w:type="dxa" w:w="10298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304"/>
        <w:gridCol w:w="1142"/>
        <w:gridCol w:w="1142"/>
        <w:gridCol w:w="1142"/>
        <w:gridCol w:w="1142"/>
        <w:gridCol w:w="1142"/>
        <w:gridCol w:w="1142"/>
        <w:gridCol w:w="1142"/>
      </w:tblGrid>
      <w:tr>
        <w:trPr>
          <w:tblHeader w:val="true"/>
          <w:cantSplit/>
        </w:trPr>
        <w:tc>
          <w:tcPr>
            <w:tcW w:type="dxa" w:w="230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Outcome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K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Clinical L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M+L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CKM</w:t>
            </w:r>
          </w:p>
        </w:tc>
        <w:tc>
          <w:tcPr>
            <w:tcW w:type="dxa" w:w="114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CKLM</w:t>
            </w:r>
          </w:p>
        </w:tc>
      </w:tr>
      <w:tr>
        <w:trPr>
          <w:cantSplit/>
        </w:trPr>
        <w:tc>
          <w:tcPr>
            <w:tcW w:type="dxa" w:w="230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Confirmed eGFR decline ≥40%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0.6958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0.7056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0.6249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0.6109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0.6889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0.7523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0.7506</w:t>
            </w:r>
          </w:p>
        </w:tc>
      </w:tr>
      <w:tr>
        <w:trPr>
          <w:cantSplit/>
        </w:trPr>
        <w:tc>
          <w:tcPr>
            <w:tcW w:type="dxa" w:w="230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Cardiorenal composite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0.6974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0.6652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0.6922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0.6696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0.7007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0.7430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0.7478</w:t>
            </w:r>
          </w:p>
        </w:tc>
      </w:tr>
      <w:tr>
        <w:trPr>
          <w:cantSplit/>
        </w:trPr>
        <w:tc>
          <w:tcPr>
            <w:tcW w:type="dxa" w:w="230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0.6949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0.6513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0.7268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0.6842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0.7031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0.7517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0.7599</w:t>
            </w:r>
          </w:p>
        </w:tc>
      </w:tr>
      <w:tr>
        <w:trPr>
          <w:cantSplit/>
        </w:trPr>
        <w:tc>
          <w:tcPr>
            <w:tcW w:type="dxa" w:w="230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Incident strict ASCVD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0.6630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0.6438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0.6316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0.6604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0.6718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0.6681</w:t>
            </w:r>
          </w:p>
        </w:tc>
        <w:tc>
          <w:tcPr>
            <w:tcW w:type="dxa" w:w="11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0.6792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All models included age and sex. NHANES L contains separate steatosis and fibrosis-risk axes; hospital L is clinical liver involvement.</w:t>
      </w:r>
      <w:r>
        <w:rPr>
          <w:rFonts w:ascii="Times New Roman" w:hAnsi="Times New Roman" w:eastAsia="Times New Roman"/>
          <w:b w:val="0"/>
          <w:i w:val="0"/>
          <w:sz w:val="16"/>
        </w:rPr>
        <w:t xml:space="preserve"> M+L denotes the combined metabolic- and liver-domain model.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S8. Domain redundancy and variance inflation.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440"/>
        <w:gridCol w:w="2232"/>
        <w:gridCol w:w="1080"/>
        <w:gridCol w:w="3816"/>
        <w:gridCol w:w="1224"/>
      </w:tblGrid>
      <w:tr>
        <w:trPr>
          <w:tblHeader w:val="true"/>
          <w:cantSplit/>
        </w:trPr>
        <w:tc>
          <w:tcPr>
            <w:tcW w:type="dxa" w:w="14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Cohort</w:t>
            </w:r>
          </w:p>
        </w:tc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Domain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</w:t>
            </w:r>
          </w:p>
        </w:tc>
        <w:tc>
          <w:tcPr>
            <w:tcW w:type="dxa" w:w="381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Variance explained by other domains, %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VIF</w:t>
            </w:r>
          </w:p>
        </w:tc>
      </w:tr>
      <w:tr>
        <w:trPr>
          <w:cantSplit/>
        </w:trPr>
        <w:tc>
          <w:tcPr>
            <w:tcW w:type="dxa" w:w="9792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Panel A. NHANES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7648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20.65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1.260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7648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4.76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1.050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7648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4.60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1.048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L-steatosis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7648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20.08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1.251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NHANES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L-fibrosis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7648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2.42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1.025</w:t>
            </w:r>
          </w:p>
        </w:tc>
      </w:tr>
      <w:tr>
        <w:trPr>
          <w:cantSplit/>
        </w:trPr>
        <w:tc>
          <w:tcPr>
            <w:tcW w:type="dxa" w:w="9792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Panel B. Hospital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18418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32.58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1.483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18418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3.13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1.032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18418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4.62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1.048</w:t>
            </w:r>
          </w:p>
        </w:tc>
      </w:tr>
      <w:tr>
        <w:trPr>
          <w:cantSplit/>
        </w:trPr>
        <w:tc>
          <w:tcPr>
            <w:tcW w:type="dxa" w:w="14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Hospital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Clinical L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18418</w:t>
            </w:r>
          </w:p>
        </w:tc>
        <w:tc>
          <w:tcPr>
            <w:tcW w:type="dxa" w:w="381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29.76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1.424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Low VIF indicates limited statistical collinearity; it does not establish biological independence or construct validity.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S9. Pairwise Spearman correlations among domains.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NHANES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7920"/>
        <w:gridCol w:w="1872"/>
      </w:tblGrid>
      <w:tr>
        <w:trPr>
          <w:tblHeader w:val="true"/>
          <w:cantSplit/>
        </w:trPr>
        <w:tc>
          <w:tcPr>
            <w:tcW w:type="dxa" w:w="792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Domain pair</w:t>
            </w:r>
          </w:p>
        </w:tc>
        <w:tc>
          <w:tcPr>
            <w:tcW w:type="dxa" w:w="187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Spearman ρ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0.091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0.087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L-steatosis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0.431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L-fibrosis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-0.051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K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0.180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 vs L-steatosis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-0.045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L-steatosis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-0.008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L-fibrosis vs L-steatosis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-0.087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 vs L-fibrosis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0.089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L-fibrosis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0.114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Hospital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7920"/>
        <w:gridCol w:w="1872"/>
      </w:tblGrid>
      <w:tr>
        <w:trPr>
          <w:tblHeader w:val="true"/>
          <w:cantSplit/>
        </w:trPr>
        <w:tc>
          <w:tcPr>
            <w:tcW w:type="dxa" w:w="792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Domain pair</w:t>
            </w:r>
          </w:p>
        </w:tc>
        <w:tc>
          <w:tcPr>
            <w:tcW w:type="dxa" w:w="187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Spearman ρ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0.158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0.205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Clinical L vs M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0.517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K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0.099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K vs Clinical L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0.072</w:t>
            </w:r>
          </w:p>
        </w:tc>
      </w:tr>
      <w:tr>
        <w:trPr>
          <w:cantSplit/>
        </w:trPr>
        <w:tc>
          <w:tcPr>
            <w:tcW w:type="dxa" w:w="792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 vs Clinical L</w:t>
            </w:r>
          </w:p>
        </w:tc>
        <w:tc>
          <w:tcPr>
            <w:tcW w:type="dxa" w:w="187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0.135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NHANES retained separate L-steatosis and L-fibrosis axes.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S10. Concordance of liver-domain measures with available imaging records.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NHANES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232"/>
        <w:gridCol w:w="3240"/>
        <w:gridCol w:w="936"/>
        <w:gridCol w:w="2232"/>
        <w:gridCol w:w="1080"/>
      </w:tblGrid>
      <w:tr>
        <w:trPr>
          <w:tblHeader w:val="true"/>
          <w:cantSplit/>
        </w:trPr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Index or phenotype</w:t>
            </w:r>
          </w:p>
        </w:tc>
        <w:tc>
          <w:tcPr>
            <w:tcW w:type="dxa" w:w="32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Imaging measure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</w:t>
            </w:r>
          </w:p>
        </w:tc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Association or concordance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value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FLI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Controlled attenuation parameter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455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ρ=0.549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HSI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Controlled attenuation parameter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851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ρ=0.484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FIB-4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Liver stiffness measurement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861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ρ=0.053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0.122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Hospital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232"/>
        <w:gridCol w:w="3240"/>
        <w:gridCol w:w="936"/>
        <w:gridCol w:w="2232"/>
        <w:gridCol w:w="1080"/>
      </w:tblGrid>
      <w:tr>
        <w:trPr>
          <w:tblHeader w:val="true"/>
          <w:cantSplit/>
        </w:trPr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Index or phenotype</w:t>
            </w:r>
          </w:p>
        </w:tc>
        <w:tc>
          <w:tcPr>
            <w:tcW w:type="dxa" w:w="32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Imaging measure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</w:t>
            </w:r>
          </w:p>
        </w:tc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Association or concordance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value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Clinical liver involvement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928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κ=0.921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FLI ≥60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716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κ=0.321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HSI ≥36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907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κ=0.415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Age-adjusted FIB-4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925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κ=-0.073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Hospital ultrasound and clinical diagnosis may arise from the same care pathway; this is construct concordance rather than independent validation.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S11. Associations of alternative hospital liver measures with clinical outcomes.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3240"/>
        <w:gridCol w:w="1080"/>
        <w:gridCol w:w="1080"/>
        <w:gridCol w:w="3096"/>
        <w:gridCol w:w="1224"/>
      </w:tblGrid>
      <w:tr>
        <w:trPr>
          <w:tblHeader w:val="true"/>
          <w:cantSplit/>
        </w:trPr>
        <w:tc>
          <w:tcPr>
            <w:tcW w:type="dxa" w:w="324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Liver measure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</w:t>
            </w:r>
          </w:p>
        </w:tc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Events</w:t>
            </w:r>
          </w:p>
        </w:tc>
        <w:tc>
          <w:tcPr>
            <w:tcW w:type="dxa" w:w="30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Adjusted HR (95% CI)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value</w:t>
            </w:r>
          </w:p>
        </w:tc>
      </w:tr>
      <w:tr>
        <w:trPr>
          <w:cantSplit/>
        </w:trPr>
        <w:tc>
          <w:tcPr>
            <w:tcW w:type="dxa" w:w="9720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Confirmed eGFR decline ≥40%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FLI ≥60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1371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78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1.060 (0.657–1.709)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0.812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HSI ≥36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2174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107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0.516 (0.347–0.769)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0.001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Age-adjusted FIB-4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10077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283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1.157 (0.893–1.498)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0.269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605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45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0.748 (0.406–1.377)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0.351</w:t>
            </w:r>
          </w:p>
        </w:tc>
      </w:tr>
      <w:tr>
        <w:trPr>
          <w:cantSplit/>
        </w:trPr>
        <w:tc>
          <w:tcPr>
            <w:tcW w:type="dxa" w:w="9720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Cardiorenal composite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FLI ≥60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1371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217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1.140 (0.846–1.538)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0.389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HSI ≥36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2174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333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0.943 (0.732–1.215)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0.648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Age-adjusted FIB-4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10077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1014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1.074 (0.928–1.243)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0.336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605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98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0.684 (0.442–1.061)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0.090</w:t>
            </w:r>
          </w:p>
        </w:tc>
      </w:tr>
      <w:tr>
        <w:trPr>
          <w:cantSplit/>
        </w:trPr>
        <w:tc>
          <w:tcPr>
            <w:tcW w:type="dxa" w:w="9720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Subsequent strict ASCVD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FLI ≥60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2086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156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1.005 (0.717–1.407)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0.979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HSI ≥36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3390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242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1.027 (0.774–1.361)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0.854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Age-adjusted FIB-4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14845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746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1.066 (0.823–1.382)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0.627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928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59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0.839 (0.479–1.469)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0.538</w:t>
            </w:r>
          </w:p>
        </w:tc>
      </w:tr>
      <w:tr>
        <w:trPr>
          <w:cantSplit/>
        </w:trPr>
        <w:tc>
          <w:tcPr>
            <w:tcW w:type="dxa" w:w="9720"/>
            <w:gridSpan w:val="5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Incident strict ASCVD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FLI ≥60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1868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100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0.904 (0.594–1.375)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0.637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HSI ≥36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3043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144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0.810 (0.574–1.144)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0.232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Age-adjusted FIB-4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14244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547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1.114 (0.929–1.337)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0.244</w:t>
            </w:r>
          </w:p>
        </w:tc>
      </w:tr>
      <w:tr>
        <w:trPr>
          <w:cantSplit/>
        </w:trPr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Recorded ultrasound steatosis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829</w:t>
            </w:r>
          </w:p>
        </w:tc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34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0.595 (0.286–1.241)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0.166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Each liver measure was entered separately into the same age-, sex-, C-, K-, and M-adjusted model in the subset with that measure observed.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S12. Time-standardised hospital risks by CKM burden and clinical liver-involvement status.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Confirmed eGFR decline ≥40%; Study-specific item-count score (0-5)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9693/184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0.011 (0.009–0.014); at risk 5337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0.022 (0.018–0.026); at risk 3018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1259/36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0.015 (0.009–0.025); at risk 815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0.027 (0.018–0.040); at risk 565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487/41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0.065 (0.044–0.096); at risk 213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0.143 (0.102–0.198); at risk 102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919/39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0.037 (0.025–0.053); at risk 526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0.046 (0.032–0.065); at risk 281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4-5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118/21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0.256 (0.169–0.376); at risk 26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0.256 (0.169–0.376); at risk 9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226/27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0.115 (0.076–0.173); at risk 106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0.161 (0.108–0.236); at risk 52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Cardiorenal composite; Study-specific item-count score (0-5)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9693/622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0.039 (0.035–0.044); at risk 5815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0.070 (0.064–0.077); at risk 3465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1259/182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0.086 (0.071–0.104); at risk 834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0.136 (0.115–0.159); at risk 580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487/120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0.208 (0.172–0.252); at risk 232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0.315 (0.265–0.372); at risk 110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919/148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0.127 (0.105–0.152); at risk 546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0.163 (0.138–0.193); at risk 326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4-5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118/49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0.457 (0.363–0.562); at risk 28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0.489 (0.383–0.606); at risk 11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226/78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0.340 (0.277–0.413); at risk 90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0.425 (0.350–0.508); at risk 42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C. Subsequent strict ASCVD; Study-specific item-count score (0-5)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13998/420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0.022 (0.020–0.025); at risk 6982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0.040 (0.036–0.045); at risk 4015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1799/150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0.061 (0.050–0.075); at risk 1043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0.095 (0.079–0.113); at risk 692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752/89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0.133 (0.106–0.165); at risk 299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0.159 (0.128–0.198); at risk 150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1382/111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0.074 (0.060–0.091); at risk 727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0.100 (0.082–0.121); at risk 404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4-5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162/33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0.222 (0.158–0.305); at risk 50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0.247 (0.173–0.345); at risk 20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325/63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0.221 (0.172–0.281); at risk 120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0.281 (0.221–0.353); at risk 54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D. Incident strict ASCVD; Study-specific item-count score (0-5)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13920/392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0.020 (0.018–0.023); at risk 6953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0.039 (0.034–0.043); at risk 4003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1777/145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0.059 (0.048–0.072); at risk 1032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0.093 (0.077–0.111); at risk 684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584/36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0.072 (0.049–0.103); at risk 234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0.092 (0.064–0.131); at risk 118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1265/69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0.048 (0.036–0.063); at risk 677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0.069 (0.053–0.089); at risk 373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4-5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83/12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0.215 (0.121–0.367); at risk 19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0.215 (0.121–0.367); at risk 11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161/8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0.061 (0.025–0.141); at risk 60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0.101 (0.048–0.207); at risk 30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E. Confirmed eGFR decline ≥40%; Equal-organ sensitivity score (0-3)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9699/174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0.010 (0.008–0.013); at risk 5368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0.021 (0.017–0.025); at risk 3043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2027/63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0.021 (0.015–0.030); at risk 1247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0.031 (0.023–0.042); at risk 785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549/59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0.104 (0.077–0.140); at risk 200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0.179 (0.134–0.236); at risk 85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347/32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0.080 (0.053–0.119); at risk 191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0.115 (0.080–0.165); at risk 110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50/13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0.419 (0.248–0.644); at risk 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0.419 (0.248–0.644); at risk 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30/7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0.250 (0.115–0.491); at risk 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0.250 (0.115–0.491); at risk 3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F. Cardiorenal composite; Equal-organ sensitivity score (0-3)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9699/605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0.037 (0.033–0.041); at risk 5860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0.068 (0.062–0.075); at risk 3493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2027/267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0.085 (0.073–0.099); at risk 1309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0.127 (0.111–0.145); at risk 855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549/160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0.282 (0.241–0.328); at risk 206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0.372 (0.321–0.429); at risk 91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347/128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0.332 (0.281–0.389); at risk 155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0.412 (0.355–0.475); at risk 91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50/26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0.599 (0.451–0.751); at risk 9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0.599 (0.451–0.751); at risk 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30/13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0.511 (0.327–0.725); at risk 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0.511 (0.327–0.725); at risk 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G. Subsequent strict ASCVD; Equal-organ sensitivity score (0-3)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14039/405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0.021 (0.018–0.024); at risk 7042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0.039 (0.035–0.044); at risk 4051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2958/204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0.053 (0.044–0.062); at risk 1672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0.082 (0.071–0.096); at risk 1031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811/123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0.182 (0.152–0.218); at risk 272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0.199 (0.166–0.238); at risk 130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504/112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0.235 (0.196–0.280); at risk 206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0.290 (0.243–0.343); at risk 117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62/14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0.278 (0.171–0.433); at risk 17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0.278 (0.171–0.433); at risk 4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44/8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0.265 (0.138–0.474); at risk 12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0.265 (0.138–0.474); at risk 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H. Incident strict ASCVD; Equal-organ sensitivity score (0-3)</w:t>
      </w:r>
    </w:p>
    <w:tbl>
      <w:tblPr>
        <w:tblW w:type="dxa" w:w="1044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1080"/>
        <w:gridCol w:w="1224"/>
        <w:gridCol w:w="1728"/>
        <w:gridCol w:w="1728"/>
        <w:gridCol w:w="1224"/>
        <w:gridCol w:w="1728"/>
        <w:gridCol w:w="1728"/>
      </w:tblGrid>
      <w:tr>
        <w:trPr>
          <w:tblHeader w:val="true"/>
          <w:cantSplit/>
        </w:trPr>
        <w:tc>
          <w:tcPr>
            <w:tcW w:type="dxa" w:w="1080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CKM burden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L− 5-year risk</w:t>
            </w:r>
          </w:p>
        </w:tc>
        <w:tc>
          <w:tcPr>
            <w:tcW w:type="dxa" w:w="12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n/events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L+ 3-year risk</w:t>
            </w:r>
          </w:p>
        </w:tc>
        <w:tc>
          <w:tcPr>
            <w:tcW w:type="dxa" w:w="17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L+ 5-year risk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0-1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14029/400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0.020 (0.018–0.023); at risk 7040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0.039 (0.035–0.044); at risk 4050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2956/204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0.053 (0.044–0.063); at risk 1671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0.082 (0.071–0.096); at risk 1031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529/35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0.102 (0.071–0.144); at risk 163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0.102 (0.071–0.144); at risk 81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238/18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0.082 (0.047–0.142); at risk 95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0.117 (0.071–0.190); at risk 56</w:t>
            </w:r>
          </w:p>
        </w:tc>
      </w:tr>
      <w:tr>
        <w:trPr>
          <w:cantSplit/>
        </w:trPr>
        <w:tc>
          <w:tcPr>
            <w:tcW w:type="dxa" w:w="108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29/5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0.374 (0.147–0.749); at risk 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0.374 (0.147–0.749); at risk 1</w:t>
            </w:r>
          </w:p>
        </w:tc>
        <w:tc>
          <w:tcPr>
            <w:tcW w:type="dxa" w:w="12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9/0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0.000 (0.000–0.000); at risk 3</w:t>
            </w:r>
          </w:p>
        </w:tc>
        <w:tc>
          <w:tcPr>
            <w:tcW w:type="dxa" w:w="17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0.000 (0.000–0.000); at risk 0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Risks are Kaplan-Meier estimates with 95% confidence intervals; the number at risk is shown after each estimate. The study-specific score sums obesity, hypertension, dyslipidaemia, K, and C (range 0-5). The equal-organ sensitivity score sums any M involvement, K, and C (range 0-3). Neither score is equivalent to AHA CKM staging.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S13. Proportional-hazards diagnostics.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NHANES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232"/>
        <w:gridCol w:w="3924"/>
        <w:gridCol w:w="3924"/>
      </w:tblGrid>
      <w:tr>
        <w:trPr>
          <w:tblHeader w:val="true"/>
          <w:cantSplit/>
        </w:trPr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Model term</w:t>
            </w:r>
          </w:p>
        </w:tc>
        <w:tc>
          <w:tcPr>
            <w:tcW w:type="dxa" w:w="39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All-cause mortality</w:t>
            </w:r>
          </w:p>
        </w:tc>
        <w:tc>
          <w:tcPr>
            <w:tcW w:type="dxa" w:w="392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Cardiovascular mortality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L-steatosis axis</w:t>
            </w:r>
          </w:p>
        </w:tc>
        <w:tc>
          <w:tcPr>
            <w:tcW w:type="dxa" w:w="39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0.001</w:t>
            </w:r>
          </w:p>
        </w:tc>
        <w:tc>
          <w:tcPr>
            <w:tcW w:type="dxa" w:w="39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0.005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L-fibrosis-risk axis</w:t>
            </w:r>
          </w:p>
        </w:tc>
        <w:tc>
          <w:tcPr>
            <w:tcW w:type="dxa" w:w="39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0.284</w:t>
            </w:r>
          </w:p>
        </w:tc>
        <w:tc>
          <w:tcPr>
            <w:tcW w:type="dxa" w:w="39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0.099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Global test</w:t>
            </w:r>
          </w:p>
        </w:tc>
        <w:tc>
          <w:tcPr>
            <w:tcW w:type="dxa" w:w="39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392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0.002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Hospital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232"/>
        <w:gridCol w:w="1962"/>
        <w:gridCol w:w="1962"/>
        <w:gridCol w:w="1962"/>
        <w:gridCol w:w="1962"/>
      </w:tblGrid>
      <w:tr>
        <w:trPr>
          <w:tblHeader w:val="true"/>
          <w:cantSplit/>
        </w:trPr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Model term</w:t>
            </w:r>
          </w:p>
        </w:tc>
        <w:tc>
          <w:tcPr>
            <w:tcW w:type="dxa" w:w="196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Confirmed eGFR decline ≥40%</w:t>
            </w:r>
          </w:p>
        </w:tc>
        <w:tc>
          <w:tcPr>
            <w:tcW w:type="dxa" w:w="196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Cardiorenal composite</w:t>
            </w:r>
          </w:p>
        </w:tc>
        <w:tc>
          <w:tcPr>
            <w:tcW w:type="dxa" w:w="196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Subsequent strict ASCVD</w:t>
            </w:r>
          </w:p>
        </w:tc>
        <w:tc>
          <w:tcPr>
            <w:tcW w:type="dxa" w:w="196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Incident strict ASCVD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domain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0.507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0.698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Kidney domain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0.513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0.314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0.625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Clinical liver involvement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0.339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0.906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0.655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0.422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Metabolic domain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0.116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0.393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0.203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0.782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Age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0.068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0.033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0.013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Female sex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0.869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0.114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0.633</w:t>
            </w:r>
          </w:p>
        </w:tc>
        <w:tc>
          <w:tcPr>
            <w:tcW w:type="dxa" w:w="196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0.883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NHANES steatosis-axis violations were examined with time-varying coefficient models; corresponding estimates are shown in Supplementary Figure S2.</w:t>
      </w:r>
    </w:p>
    <w:p>
      <w:pPr>
        <w:keepNext/>
        <w:pageBreakBefore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S14. Sensitivity analyses for missing data, covariate adjustment, and liver-disease exclusions.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NHANES: All-cause mortality</w:t>
      </w:r>
    </w:p>
    <w:tbl>
      <w:tblPr>
        <w:tblW w:type="dxa" w:w="1116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3528"/>
        <w:gridCol w:w="1152"/>
        <w:gridCol w:w="2232"/>
        <w:gridCol w:w="936"/>
        <w:gridCol w:w="2376"/>
        <w:gridCol w:w="936"/>
      </w:tblGrid>
      <w:tr>
        <w:trPr>
          <w:tblHeader w:val="true"/>
          <w:cantSplit/>
        </w:trPr>
        <w:tc>
          <w:tcPr>
            <w:tcW w:type="dxa" w:w="35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Analysis</w:t>
            </w:r>
          </w:p>
        </w:tc>
        <w:tc>
          <w:tcPr>
            <w:tcW w:type="dxa" w:w="115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n/events</w:t>
            </w:r>
          </w:p>
        </w:tc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Steatosis-axis HR (95% CI)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  <w:tc>
          <w:tcPr>
            <w:tcW w:type="dxa" w:w="237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Fibrosis-risk-axis HR (95% CI)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Primary complete-case model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7648/2122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0.821 (0.687–0.981)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0.030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1.693 (1.398–2.051)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Inverse-probability-of-completeness weighted model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7648/2122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0.820 (0.687–0.978)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0.027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1.694 (1.411–2.032)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Alcohol-observed sensitivity analysis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6608/1716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0.741 (0.619–0.887)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1.614 (1.304–1.998)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Expanded conventional-risk-factor model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3467/891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0.835 (0.648–1.075)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0.161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1.513 (1.136–2.015)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0.005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NHANES: Cardiovascular mortality</w:t>
      </w:r>
    </w:p>
    <w:tbl>
      <w:tblPr>
        <w:tblW w:type="dxa" w:w="1116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3528"/>
        <w:gridCol w:w="1152"/>
        <w:gridCol w:w="2232"/>
        <w:gridCol w:w="936"/>
        <w:gridCol w:w="2376"/>
        <w:gridCol w:w="936"/>
      </w:tblGrid>
      <w:tr>
        <w:trPr>
          <w:tblHeader w:val="true"/>
          <w:cantSplit/>
        </w:trPr>
        <w:tc>
          <w:tcPr>
            <w:tcW w:type="dxa" w:w="352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Analysis</w:t>
            </w:r>
          </w:p>
        </w:tc>
        <w:tc>
          <w:tcPr>
            <w:tcW w:type="dxa" w:w="115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n/events</w:t>
            </w:r>
          </w:p>
        </w:tc>
        <w:tc>
          <w:tcPr>
            <w:tcW w:type="dxa" w:w="2232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Steatosis-axis HR (95% CI)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  <w:tc>
          <w:tcPr>
            <w:tcW w:type="dxa" w:w="237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Fibrosis-risk-axis HR (95% CI)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Primary complete-case model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7648/722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0.856 (0.656–1.116)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0.251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1.574 (1.150–2.153)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0.005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Inverse-probability-of-completeness weighted model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7648/722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0.853 (0.656–1.108)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0.232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1.576 (1.158–2.144)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0.004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Alcohol-observed sensitivity analysis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6608/598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0.734 (0.548–0.984)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0.039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1.465 (1.059–2.027)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0.021</w:t>
            </w:r>
          </w:p>
        </w:tc>
      </w:tr>
      <w:tr>
        <w:trPr>
          <w:cantSplit/>
        </w:trPr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Expanded conventional-risk-factor model</w:t>
            </w:r>
          </w:p>
        </w:tc>
        <w:tc>
          <w:tcPr>
            <w:tcW w:type="dxa" w:w="115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3467/296</w:t>
            </w:r>
          </w:p>
        </w:tc>
        <w:tc>
          <w:tcPr>
            <w:tcW w:type="dxa" w:w="223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0.793 (0.494–1.274)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0.338</w:t>
            </w:r>
          </w:p>
        </w:tc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1.260 (0.750–2.115)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0.382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C. Hospital: Confirmed eGFR decline ≥40%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4536"/>
        <w:gridCol w:w="936"/>
        <w:gridCol w:w="1008"/>
        <w:gridCol w:w="2736"/>
        <w:gridCol w:w="1008"/>
      </w:tblGrid>
      <w:tr>
        <w:trPr>
          <w:tblHeader w:val="true"/>
          <w:cantSplit/>
        </w:trPr>
        <w:tc>
          <w:tcPr>
            <w:tcW w:type="dxa" w:w="45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Analysis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Events</w:t>
            </w:r>
          </w:p>
        </w:tc>
        <w:tc>
          <w:tcPr>
            <w:tcW w:type="dxa" w:w="27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Clinical liver involvement HR (95% CI)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Expanded complete-record clinical model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1951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99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0.857 (0.540–1.362)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0.514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viral hepatitis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12512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346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0.840 (0.640–1.102)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0.208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hepatitis, fibrosis, and cirrhosis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12504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345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0.836 (0.636–1.098)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0.199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D. Hospital: Cardiorenal composite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4536"/>
        <w:gridCol w:w="936"/>
        <w:gridCol w:w="1008"/>
        <w:gridCol w:w="2736"/>
        <w:gridCol w:w="1008"/>
      </w:tblGrid>
      <w:tr>
        <w:trPr>
          <w:tblHeader w:val="true"/>
          <w:cantSplit/>
        </w:trPr>
        <w:tc>
          <w:tcPr>
            <w:tcW w:type="dxa" w:w="45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Analysis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Events</w:t>
            </w:r>
          </w:p>
        </w:tc>
        <w:tc>
          <w:tcPr>
            <w:tcW w:type="dxa" w:w="27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Clinical liver involvement HR (95% CI)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Expanded complete-record clinical model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1951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298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0.861 (0.647–1.146)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0.304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viral hepatitis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12512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1187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1.121 (0.775–1.621)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0.544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hepatitis, fibrosis, and cirrhosis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12504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1185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1.115 (0.772–1.612)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0.561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E. Hospital: Subsequent strict ASCVD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4536"/>
        <w:gridCol w:w="936"/>
        <w:gridCol w:w="1008"/>
        <w:gridCol w:w="2736"/>
        <w:gridCol w:w="1008"/>
      </w:tblGrid>
      <w:tr>
        <w:trPr>
          <w:tblHeader w:val="true"/>
          <w:cantSplit/>
        </w:trPr>
        <w:tc>
          <w:tcPr>
            <w:tcW w:type="dxa" w:w="45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Analysis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Events</w:t>
            </w:r>
          </w:p>
        </w:tc>
        <w:tc>
          <w:tcPr>
            <w:tcW w:type="dxa" w:w="27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Clinical liver involvement HR (95% CI)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Expanded complete-record clinical model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3063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210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1.044 (0.745–1.463)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0.804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viral hepatitis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18136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857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1.597 (1.329–1.919)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hepatitis, fibrosis, and cirrhosis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18121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854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1.583 (1.316–1.905)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F. Hospital: Incident strict ASCVD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4536"/>
        <w:gridCol w:w="936"/>
        <w:gridCol w:w="1008"/>
        <w:gridCol w:w="2736"/>
        <w:gridCol w:w="1008"/>
      </w:tblGrid>
      <w:tr>
        <w:trPr>
          <w:tblHeader w:val="true"/>
          <w:cantSplit/>
        </w:trPr>
        <w:tc>
          <w:tcPr>
            <w:tcW w:type="dxa" w:w="45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Analysis</w:t>
            </w:r>
          </w:p>
        </w:tc>
        <w:tc>
          <w:tcPr>
            <w:tcW w:type="dxa" w:w="9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n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Events</w:t>
            </w:r>
          </w:p>
        </w:tc>
        <w:tc>
          <w:tcPr>
            <w:tcW w:type="dxa" w:w="273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Clinical liver involvement HR (95% CI)</w:t>
            </w:r>
          </w:p>
        </w:tc>
        <w:tc>
          <w:tcPr>
            <w:tcW w:type="dxa" w:w="1008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Expanded complete-record clinical model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2765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128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1.062 (0.709–1.590)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0.771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viral hepatitis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17532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659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1.795 (1.445–2.232)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45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Architecture model excluding hepatitis, fibrosis, and cirrhosis</w:t>
            </w:r>
          </w:p>
        </w:tc>
        <w:tc>
          <w:tcPr>
            <w:tcW w:type="dxa" w:w="9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17517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656</w:t>
            </w:r>
          </w:p>
        </w:tc>
        <w:tc>
          <w:tcPr>
            <w:tcW w:type="dxa" w:w="273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1.775 (1.426–2.210)</w:t>
            </w:r>
          </w:p>
        </w:tc>
        <w:tc>
          <w:tcPr>
            <w:tcW w:type="dxa" w:w="1008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&lt;0.001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Hospital expanded complete-record models used observed BMI, systolic blood pressure, smoking, HbA1c, and LDL cholesterol and were limited by structural missingness.</w:t>
      </w:r>
    </w:p>
    <w:p>
      <w:r>
        <w:br w:type="page"/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S15. Fixed-horizon reclassification indices.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NHANES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376"/>
        <w:gridCol w:w="1284"/>
        <w:gridCol w:w="1284"/>
        <w:gridCol w:w="1284"/>
        <w:gridCol w:w="1284"/>
        <w:gridCol w:w="1284"/>
        <w:gridCol w:w="1284"/>
      </w:tblGrid>
      <w:tr>
        <w:trPr>
          <w:tblHeader w:val="true"/>
          <w:cantSplit/>
        </w:trPr>
        <w:tc>
          <w:tcPr>
            <w:tcW w:type="dxa" w:w="237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Outcome</w:t>
            </w:r>
          </w:p>
        </w:tc>
        <w:tc>
          <w:tcPr>
            <w:tcW w:type="dxa" w:w="12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3 years IDI</w:t>
            </w:r>
          </w:p>
        </w:tc>
        <w:tc>
          <w:tcPr>
            <w:tcW w:type="dxa" w:w="12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3 years continuous NRI</w:t>
            </w:r>
          </w:p>
        </w:tc>
        <w:tc>
          <w:tcPr>
            <w:tcW w:type="dxa" w:w="12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5 years IDI</w:t>
            </w:r>
          </w:p>
        </w:tc>
        <w:tc>
          <w:tcPr>
            <w:tcW w:type="dxa" w:w="12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5 years continuous NRI</w:t>
            </w:r>
          </w:p>
        </w:tc>
        <w:tc>
          <w:tcPr>
            <w:tcW w:type="dxa" w:w="12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10 years IDI</w:t>
            </w:r>
          </w:p>
        </w:tc>
        <w:tc>
          <w:tcPr>
            <w:tcW w:type="dxa" w:w="1284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10 years continuous NRI</w:t>
            </w:r>
          </w:p>
        </w:tc>
      </w:tr>
      <w:tr>
        <w:trPr>
          <w:cantSplit/>
        </w:trPr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All-cause mortality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0.0056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-0.0506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0.0103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-0.0157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0.0051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-0.3017</w:t>
            </w:r>
          </w:p>
        </w:tc>
      </w:tr>
      <w:tr>
        <w:trPr>
          <w:cantSplit/>
        </w:trPr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Cardiovascular mortality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0.0019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-0.0935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0.0052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-0.0744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0.0028</w:t>
            </w:r>
          </w:p>
        </w:tc>
        <w:tc>
          <w:tcPr>
            <w:tcW w:type="dxa" w:w="128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-0.4255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Hospital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2376"/>
        <w:gridCol w:w="1926"/>
        <w:gridCol w:w="1926"/>
        <w:gridCol w:w="1926"/>
        <w:gridCol w:w="1926"/>
      </w:tblGrid>
      <w:tr>
        <w:trPr>
          <w:tblHeader w:val="true"/>
          <w:cantSplit/>
        </w:trPr>
        <w:tc>
          <w:tcPr>
            <w:tcW w:type="dxa" w:w="237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Outcome</w:t>
            </w:r>
          </w:p>
        </w:tc>
        <w:tc>
          <w:tcPr>
            <w:tcW w:type="dxa" w:w="192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3 years IDI</w:t>
            </w:r>
          </w:p>
        </w:tc>
        <w:tc>
          <w:tcPr>
            <w:tcW w:type="dxa" w:w="192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3 years continuous NRI</w:t>
            </w:r>
          </w:p>
        </w:tc>
        <w:tc>
          <w:tcPr>
            <w:tcW w:type="dxa" w:w="192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5 years IDI</w:t>
            </w:r>
          </w:p>
        </w:tc>
        <w:tc>
          <w:tcPr>
            <w:tcW w:type="dxa" w:w="192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5"/>
              </w:rPr>
              <w:t>5 years continuous NRI</w:t>
            </w:r>
          </w:p>
        </w:tc>
      </w:tr>
      <w:tr>
        <w:trPr>
          <w:cantSplit/>
        </w:trPr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Confirmed eGFR decline ≥40%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-0.0002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0.2555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-0.0002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0.1258</w:t>
            </w:r>
          </w:p>
        </w:tc>
      </w:tr>
      <w:tr>
        <w:trPr>
          <w:cantSplit/>
        </w:trPr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Cardiorenal composite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0.0008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0.3022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0.0006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0.2064</w:t>
            </w:r>
          </w:p>
        </w:tc>
      </w:tr>
      <w:tr>
        <w:trPr>
          <w:cantSplit/>
        </w:trPr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Subsequent strict ASCVD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0.0016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0.3964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0.0020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0.3224</w:t>
            </w:r>
          </w:p>
        </w:tc>
      </w:tr>
      <w:tr>
        <w:trPr>
          <w:cantSplit/>
        </w:trPr>
        <w:tc>
          <w:tcPr>
            <w:tcW w:type="dxa" w:w="237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Incident strict ASCVD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0.0011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0.3163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0.0015</w:t>
            </w:r>
          </w:p>
        </w:tc>
        <w:tc>
          <w:tcPr>
            <w:tcW w:type="dxa" w:w="192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5"/>
              </w:rPr>
              <w:t>0.2510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Reclassification indices were secondary because continuous NRI can be unstable when model differences are small. Values are point estimates from the prespecified fixed-horizon analyses.</w:t>
      </w:r>
    </w:p>
    <w:p>
      <w:pPr>
        <w:keepNext/>
        <w:spacing w:before="180" w:after="80"/>
      </w:pPr>
      <w:r>
        <w:rPr>
          <w:rFonts w:ascii="Times New Roman" w:hAnsi="Times New Roman" w:eastAsia="Times New Roman"/>
          <w:b/>
          <w:i w:val="0"/>
          <w:sz w:val="20"/>
        </w:rPr>
        <w:t>Supplementary Table S16. Confirmed kidney endpoint derivation and cardiorenal component counts.</w:t>
      </w:r>
    </w:p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A. Confirmed kidney endpoint derivation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8496"/>
        <w:gridCol w:w="1296"/>
      </w:tblGrid>
      <w:tr>
        <w:trPr>
          <w:tblHeader w:val="true"/>
          <w:cantSplit/>
        </w:trPr>
        <w:tc>
          <w:tcPr>
            <w:tcW w:type="dxa" w:w="84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Item</w:t>
            </w:r>
          </w:p>
        </w:tc>
        <w:tc>
          <w:tcPr>
            <w:tcW w:type="dxa" w:w="12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Day-180 landmark cohort with at least one post-landmark eGFR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18417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At least two post-landmark eGFR measurements (confirmable risk set)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12702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Single observed eGFR decline ≥40%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739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Decline confirmed by a later eGFR at least 28 days later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349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Confirmed event excluded for AKI within 30 days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Final confirmed eGFR decline ≥40%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348</w:t>
            </w:r>
          </w:p>
        </w:tc>
      </w:tr>
    </w:tbl>
    <w:p>
      <w:pPr>
        <w:keepNext/>
        <w:spacing w:before="100" w:after="60"/>
      </w:pPr>
      <w:r>
        <w:rPr>
          <w:rFonts w:ascii="Times New Roman" w:hAnsi="Times New Roman" w:eastAsia="Times New Roman"/>
          <w:b/>
          <w:i/>
          <w:sz w:val="18"/>
        </w:rPr>
        <w:t>Panel B. Cardiorenal component counts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  <w:tblBorders>
          <w:top w:val="single" w:sz="10" w:color="666666"/>
          <w:bottom w:val="single" w:sz="10" w:color="666666"/>
          <w:insideH w:val="single" w:sz="3" w:color="B8BDC4"/>
          <w:left w:val="nil" w:sz="0" w:color="FFFFFF"/>
          <w:right w:val="nil" w:sz="0" w:color="FFFFFF"/>
          <w:insideV w:val="nil" w:sz="0" w:color="FFFFFF"/>
        </w:tblBorders>
      </w:tblPr>
      <w:tblGrid>
        <w:gridCol w:w="8496"/>
        <w:gridCol w:w="1296"/>
      </w:tblGrid>
      <w:tr>
        <w:trPr>
          <w:tblHeader w:val="true"/>
          <w:cantSplit/>
        </w:trPr>
        <w:tc>
          <w:tcPr>
            <w:tcW w:type="dxa" w:w="84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Item</w:t>
            </w:r>
          </w:p>
        </w:tc>
        <w:tc>
          <w:tcPr>
            <w:tcW w:type="dxa" w:w="1296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n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Confirmed eGFR decline ≥40%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348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Strict ASCVD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739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Heart failure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296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Multiple components on the same first date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15</w:t>
            </w:r>
          </w:p>
        </w:tc>
      </w:tr>
      <w:tr>
        <w:trPr>
          <w:cantSplit/>
        </w:trPr>
        <w:tc>
          <w:tcPr>
            <w:tcW w:type="dxa" w:w="84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Composite, any first event</w:t>
            </w:r>
          </w:p>
        </w:tc>
        <w:tc>
          <w:tcPr>
            <w:tcW w:type="dxa" w:w="1296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1199</w:t>
            </w:r>
          </w:p>
        </w:tc>
      </w:tr>
    </w:tbl>
    <w:p>
      <w:pPr>
        <w:spacing w:before="60" w:after="140" w:line="240" w:lineRule="auto"/>
      </w:pPr>
      <w:r>
        <w:rPr>
          <w:rFonts w:ascii="Times New Roman" w:hAnsi="Times New Roman" w:eastAsia="Times New Roman"/>
          <w:b/>
          <w:i w:val="0"/>
          <w:sz w:val="16"/>
        </w:rPr>
        <w:t xml:space="preserve">Note: </w:t>
      </w:r>
      <w:r>
        <w:rPr>
          <w:rFonts w:ascii="Times New Roman" w:hAnsi="Times New Roman" w:eastAsia="Times New Roman"/>
          <w:b w:val="0"/>
          <w:i w:val="0"/>
          <w:sz w:val="16"/>
        </w:rPr>
        <w:t>For the composite, first-event-only counts were 305 confirmed eGFR declines, 681 strict ASCVD events, and 198 heart-failure events; 15 patients had multiple components on the same first date.</w:t>
      </w:r>
    </w:p>
    <w:p>
      <w:pPr>
        <w:spacing w:before="80" w:after="40"/>
      </w:pPr>
      <w:r>
        <w:rPr>
          <w:rFonts w:ascii="Times New Roman" w:hAnsi="Times New Roman" w:eastAsia="Times New Roman"/>
          <w:b/>
          <w:i w:val="0"/>
          <w:sz w:val="25"/>
        </w:rPr>
        <w:t>Supplementary Figure Legends</w:t>
      </w:r>
    </w:p>
    <w:p>
      <w:pPr>
        <w:spacing w:before="20" w:after="0"/>
      </w:pPr>
      <w:r>
        <w:rPr>
          <w:rFonts w:ascii="Times New Roman" w:hAnsi="Times New Roman" w:eastAsia="Times New Roman"/>
          <w:b/>
          <w:i w:val="0"/>
          <w:sz w:val="18"/>
        </w:rPr>
        <w:t>Supplementary Figure S1. Hospital alternative liver-proxy association estimates.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i w:val="0"/>
          <w:sz w:val="17"/>
        </w:rPr>
        <w:t>Hazard ratios and 95% confidence intervals are shown for FLI ≥60, HSI ≥36, age-adjusted FIB-4, and available ultrasound-recorded steatosis. Estimates are from proxy-specific architecture models in the subset with each measurement.</w:t>
      </w:r>
    </w:p>
    <w:p>
      <w:pPr>
        <w:spacing w:before="20" w:after="0"/>
      </w:pPr>
      <w:r>
        <w:rPr>
          <w:rFonts w:ascii="Times New Roman" w:hAnsi="Times New Roman" w:eastAsia="Times New Roman"/>
          <w:b/>
          <w:i w:val="0"/>
          <w:sz w:val="18"/>
        </w:rPr>
        <w:t>Supplementary Figure S2. Time-varying NHANES steatosis-axis associations.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i w:val="0"/>
          <w:sz w:val="17"/>
        </w:rPr>
        <w:t>Survey-weighted hazard ratios and 95% confidence intervals are shown at 1, 3, 5, 10, and 15 years for all-cause and cardiovascular mortality after a steatosis-by-log(time) term was added.</w:t>
      </w:r>
    </w:p>
    <w:p>
      <w:pPr>
        <w:spacing w:before="20" w:after="0"/>
      </w:pPr>
      <w:r>
        <w:rPr>
          <w:rFonts w:ascii="Times New Roman" w:hAnsi="Times New Roman" w:eastAsia="Times New Roman"/>
          <w:b/>
          <w:i w:val="0"/>
          <w:sz w:val="18"/>
        </w:rPr>
        <w:t>Supplementary Figure S3. Calibration of CKM and CKLM predictions.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i w:val="0"/>
          <w:sz w:val="17"/>
        </w:rPr>
        <w:t>Locally weighted curves fitted to tenths of mean out-of-fold predicted risk and Kaplan-Meier observed risk are shown at 5 years. The diagonal denotes perfect calibration.</w:t>
      </w:r>
    </w:p>
    <w:p>
      <w:pPr>
        <w:spacing w:before="20" w:after="0"/>
      </w:pPr>
      <w:r>
        <w:rPr>
          <w:rFonts w:ascii="Times New Roman" w:hAnsi="Times New Roman" w:eastAsia="Times New Roman"/>
          <w:b/>
          <w:i w:val="0"/>
          <w:sz w:val="18"/>
        </w:rPr>
        <w:t>Supplementary Figure S4. Decision curves for CKM and CKLM.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i w:val="0"/>
          <w:sz w:val="17"/>
        </w:rPr>
        <w:t>Censoring-adjusted net benefit is plotted over endpoint-specific threshold probabilities at 3 years. Threshold ranges were limited according to observed event risk.</w:t>
      </w:r>
    </w:p>
    <w:p>
      <w:pPr>
        <w:spacing w:before="20" w:after="0"/>
      </w:pPr>
      <w:r>
        <w:rPr>
          <w:rFonts w:ascii="Times New Roman" w:hAnsi="Times New Roman" w:eastAsia="Times New Roman"/>
          <w:b/>
          <w:i w:val="0"/>
          <w:sz w:val="18"/>
        </w:rPr>
        <w:t>Supplementary Figure S5. Exploratory cross-domain interactions.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i w:val="0"/>
          <w:sz w:val="17"/>
        </w:rPr>
        <w:t>Multiplicative hazard-ratio interaction terms between clinical liver involvement and continuous study-specific or equal-organ CKM burden are shown with 95% confidence intervals. Endpoint-specific sample sizes and events are annotated; category-specific counts are provided in Supplementary Table S12. No correction for multiple comparisons was applied, and estimates are hypothesis-generating.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- A liver-aware cardio-kidney-liver-metabolic risk architecture in adults with diabetes: a population-based and hospital-based cohort study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