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57660" w14:textId="77777777" w:rsidR="00E157E8" w:rsidRPr="007267F9" w:rsidRDefault="00E157E8" w:rsidP="00E157E8">
      <w:pPr>
        <w:spacing w:before="180" w:after="180" w:line="240" w:lineRule="auto"/>
        <w:rPr>
          <w:rFonts w:ascii="Times New Roman" w:eastAsia="新細明體" w:hAnsi="Times New Roman" w:cs="Times New Roman"/>
          <w:sz w:val="24"/>
          <w:szCs w:val="24"/>
        </w:rPr>
      </w:pPr>
      <w:bookmarkStart w:id="0" w:name="X53c928996cef5fcfcc8d20f1173425c91639e06"/>
      <w:r w:rsidRPr="007267F9">
        <w:rPr>
          <w:rFonts w:ascii="Times New Roman" w:eastAsia="新細明體" w:hAnsi="Times New Roman" w:cs="Times New Roman"/>
          <w:b/>
          <w:bCs/>
          <w:sz w:val="24"/>
          <w:szCs w:val="24"/>
        </w:rPr>
        <w:t>Supplementary Table S</w:t>
      </w:r>
      <w:r w:rsidRPr="007267F9">
        <w:rPr>
          <w:rFonts w:ascii="Times New Roman" w:eastAsia="新細明體" w:hAnsi="Times New Roman" w:cs="Times New Roman"/>
          <w:b/>
          <w:bCs/>
          <w:sz w:val="24"/>
          <w:szCs w:val="24"/>
          <w:lang w:eastAsia="zh-TW"/>
        </w:rPr>
        <w:t>4</w:t>
      </w:r>
      <w:r w:rsidRPr="007267F9">
        <w:rPr>
          <w:rFonts w:ascii="Times New Roman" w:eastAsia="新細明體" w:hAnsi="Times New Roman" w:cs="Times New Roman"/>
          <w:b/>
          <w:bCs/>
          <w:sz w:val="24"/>
          <w:szCs w:val="24"/>
        </w:rPr>
        <w:t>.</w:t>
      </w:r>
      <w:r w:rsidRPr="007267F9">
        <w:rPr>
          <w:rFonts w:ascii="Times New Roman" w:eastAsia="新細明體" w:hAnsi="Times New Roman" w:cs="Times New Roman"/>
          <w:sz w:val="24"/>
          <w:szCs w:val="24"/>
        </w:rPr>
        <w:t xml:space="preserve"> Metabolic safety outcomes</w:t>
      </w:r>
    </w:p>
    <w:p w14:paraId="6E7AFB2B" w14:textId="77777777" w:rsidR="00E157E8" w:rsidRPr="007267F9" w:rsidRDefault="00E157E8" w:rsidP="00E157E8">
      <w:pPr>
        <w:spacing w:before="180" w:after="180" w:line="240" w:lineRule="auto"/>
        <w:rPr>
          <w:rFonts w:ascii="Times New Roman" w:eastAsia="新細明體" w:hAnsi="Times New Roman" w:cs="Times New Roman"/>
          <w:sz w:val="24"/>
          <w:szCs w:val="24"/>
        </w:rPr>
      </w:pPr>
      <w:r w:rsidRPr="007267F9">
        <w:rPr>
          <w:rFonts w:ascii="Times New Roman" w:eastAsia="新細明體" w:hAnsi="Times New Roman" w:cs="Times New Roman"/>
          <w:sz w:val="24"/>
          <w:szCs w:val="24"/>
        </w:rPr>
        <w:t>Diabetic ketoacidosis, acute pancreatitis, and thyroid cancer were examined post hoc on a later extraction, using cohorts constructed under the eligibility protocol described in the Methods. These cohorts are not the same patient set as the primary analysis.</w:t>
      </w:r>
    </w:p>
    <w:p w14:paraId="7F028698" w14:textId="77777777" w:rsidR="00E157E8" w:rsidRPr="007267F9" w:rsidRDefault="00E157E8" w:rsidP="00E157E8">
      <w:pPr>
        <w:spacing w:after="0" w:line="240" w:lineRule="auto"/>
        <w:rPr>
          <w:rFonts w:ascii="Times New Roman" w:eastAsia="新細明體" w:hAnsi="Times New Roman" w:cs="Times New Roman"/>
          <w:b/>
          <w:bCs/>
          <w:sz w:val="24"/>
          <w:szCs w:val="24"/>
          <w:lang w:eastAsia="zh-TW"/>
        </w:rPr>
      </w:pPr>
    </w:p>
    <w:p w14:paraId="1EF27DAA" w14:textId="77777777" w:rsidR="00E157E8" w:rsidRPr="007267F9" w:rsidRDefault="00E157E8" w:rsidP="00E157E8">
      <w:pPr>
        <w:spacing w:after="0" w:line="240" w:lineRule="auto"/>
        <w:rPr>
          <w:rFonts w:ascii="Times New Roman" w:eastAsia="新細明體" w:hAnsi="Times New Roman" w:cs="Times New Roman"/>
          <w:b/>
          <w:bCs/>
          <w:sz w:val="20"/>
          <w:szCs w:val="20"/>
          <w:lang w:eastAsia="zh-TW"/>
        </w:rPr>
      </w:pPr>
      <w:r w:rsidRPr="007267F9">
        <w:rPr>
          <w:rFonts w:ascii="Times New Roman" w:eastAsia="新細明體" w:hAnsi="Times New Roman" w:cs="Times New Roman"/>
          <w:b/>
          <w:bCs/>
          <w:sz w:val="20"/>
          <w:szCs w:val="20"/>
          <w:lang w:eastAsia="zh-TW"/>
        </w:rPr>
        <w:t>S4A. Tirzepatide vs. GLP-1 RAs</w:t>
      </w:r>
    </w:p>
    <w:tbl>
      <w:tblPr>
        <w:tblStyle w:val="Table"/>
        <w:tblW w:w="5000" w:type="pct"/>
        <w:tblLook w:val="0020" w:firstRow="1" w:lastRow="0" w:firstColumn="0" w:lastColumn="0" w:noHBand="0" w:noVBand="0"/>
      </w:tblPr>
      <w:tblGrid>
        <w:gridCol w:w="1944"/>
        <w:gridCol w:w="1887"/>
        <w:gridCol w:w="1849"/>
        <w:gridCol w:w="1301"/>
        <w:gridCol w:w="816"/>
        <w:gridCol w:w="843"/>
      </w:tblGrid>
      <w:tr w:rsidR="00E157E8" w:rsidRPr="007267F9" w14:paraId="73E130F5" w14:textId="77777777" w:rsidTr="009F70ED">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4" w:space="0" w:color="auto"/>
              <w:bottom w:val="single" w:sz="4" w:space="0" w:color="auto"/>
            </w:tcBorders>
          </w:tcPr>
          <w:p w14:paraId="57CBB3C1" w14:textId="77777777" w:rsidR="00E157E8" w:rsidRPr="007267F9" w:rsidRDefault="00E157E8" w:rsidP="00E157E8">
            <w:pPr>
              <w:spacing w:before="36" w:after="36"/>
              <w:rPr>
                <w:rFonts w:ascii="Times New Roman" w:eastAsia="新細明體" w:hAnsi="Times New Roman" w:cs="Times New Roman"/>
                <w:sz w:val="20"/>
                <w:szCs w:val="20"/>
              </w:rPr>
            </w:pPr>
            <w:bookmarkStart w:id="1" w:name="s5a.-tirzepatide-vs.-glp-1-ras"/>
            <w:r w:rsidRPr="007267F9">
              <w:rPr>
                <w:rFonts w:ascii="Times New Roman" w:eastAsia="新細明體" w:hAnsi="Times New Roman" w:cs="Times New Roman"/>
                <w:sz w:val="20"/>
                <w:szCs w:val="20"/>
              </w:rPr>
              <w:t>Outcome</w:t>
            </w:r>
          </w:p>
        </w:tc>
        <w:tc>
          <w:tcPr>
            <w:tcW w:w="0" w:type="auto"/>
            <w:tcBorders>
              <w:top w:val="single" w:sz="4" w:space="0" w:color="auto"/>
              <w:bottom w:val="single" w:sz="4" w:space="0" w:color="auto"/>
            </w:tcBorders>
          </w:tcPr>
          <w:p w14:paraId="3CBBDA84"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Tirzepatide, n/N (%)</w:t>
            </w:r>
          </w:p>
        </w:tc>
        <w:tc>
          <w:tcPr>
            <w:tcW w:w="0" w:type="auto"/>
            <w:tcBorders>
              <w:top w:val="single" w:sz="4" w:space="0" w:color="auto"/>
              <w:bottom w:val="single" w:sz="4" w:space="0" w:color="auto"/>
            </w:tcBorders>
          </w:tcPr>
          <w:p w14:paraId="0DBAC6E8"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GLP-1 RA, n/N (%)</w:t>
            </w:r>
          </w:p>
        </w:tc>
        <w:tc>
          <w:tcPr>
            <w:tcW w:w="0" w:type="auto"/>
            <w:tcBorders>
              <w:top w:val="single" w:sz="4" w:space="0" w:color="auto"/>
              <w:bottom w:val="single" w:sz="4" w:space="0" w:color="auto"/>
            </w:tcBorders>
          </w:tcPr>
          <w:p w14:paraId="516D7AA9"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HR (95% CI)</w:t>
            </w:r>
          </w:p>
        </w:tc>
        <w:tc>
          <w:tcPr>
            <w:tcW w:w="0" w:type="auto"/>
            <w:tcBorders>
              <w:top w:val="single" w:sz="4" w:space="0" w:color="auto"/>
              <w:bottom w:val="single" w:sz="4" w:space="0" w:color="auto"/>
            </w:tcBorders>
          </w:tcPr>
          <w:p w14:paraId="70079110"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P value</w:t>
            </w:r>
          </w:p>
        </w:tc>
        <w:tc>
          <w:tcPr>
            <w:tcW w:w="0" w:type="auto"/>
            <w:tcBorders>
              <w:top w:val="single" w:sz="4" w:space="0" w:color="auto"/>
              <w:bottom w:val="single" w:sz="4" w:space="0" w:color="auto"/>
            </w:tcBorders>
          </w:tcPr>
          <w:p w14:paraId="6D5513B0"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E-value</w:t>
            </w:r>
          </w:p>
        </w:tc>
      </w:tr>
      <w:tr w:rsidR="00E157E8" w:rsidRPr="007267F9" w14:paraId="2FBA312F" w14:textId="77777777" w:rsidTr="009F70ED">
        <w:tc>
          <w:tcPr>
            <w:tcW w:w="0" w:type="auto"/>
            <w:tcBorders>
              <w:top w:val="single" w:sz="4" w:space="0" w:color="auto"/>
            </w:tcBorders>
          </w:tcPr>
          <w:p w14:paraId="2120281C"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Diabetic ketoacidosis</w:t>
            </w:r>
          </w:p>
        </w:tc>
        <w:tc>
          <w:tcPr>
            <w:tcW w:w="0" w:type="auto"/>
            <w:tcBorders>
              <w:top w:val="single" w:sz="4" w:space="0" w:color="auto"/>
            </w:tcBorders>
          </w:tcPr>
          <w:p w14:paraId="69AF6C72"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Borders>
              <w:top w:val="single" w:sz="4" w:space="0" w:color="auto"/>
            </w:tcBorders>
          </w:tcPr>
          <w:p w14:paraId="09E04D0D"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Borders>
              <w:top w:val="single" w:sz="4" w:space="0" w:color="auto"/>
            </w:tcBorders>
          </w:tcPr>
          <w:p w14:paraId="7CF893F5"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Borders>
              <w:top w:val="single" w:sz="4" w:space="0" w:color="auto"/>
            </w:tcBorders>
          </w:tcPr>
          <w:p w14:paraId="67510C99"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Borders>
              <w:top w:val="single" w:sz="4" w:space="0" w:color="auto"/>
            </w:tcBorders>
          </w:tcPr>
          <w:p w14:paraId="2B5D2752"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r>
      <w:tr w:rsidR="00E157E8" w:rsidRPr="007267F9" w14:paraId="20EBD8D6" w14:textId="77777777" w:rsidTr="009F70ED">
        <w:tc>
          <w:tcPr>
            <w:tcW w:w="0" w:type="auto"/>
          </w:tcPr>
          <w:p w14:paraId="14FD9AFD"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Acute pancreatitis</w:t>
            </w:r>
          </w:p>
        </w:tc>
        <w:tc>
          <w:tcPr>
            <w:tcW w:w="0" w:type="auto"/>
          </w:tcPr>
          <w:p w14:paraId="602F9740"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Pr>
          <w:p w14:paraId="1CCA6D0F"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Pr>
          <w:p w14:paraId="1CC6A720"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Pr>
          <w:p w14:paraId="0C0645D4"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Pr>
          <w:p w14:paraId="67B18944"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r>
      <w:tr w:rsidR="00E157E8" w:rsidRPr="007267F9" w14:paraId="366BDB59" w14:textId="77777777" w:rsidTr="009F70ED">
        <w:tc>
          <w:tcPr>
            <w:tcW w:w="0" w:type="auto"/>
            <w:tcBorders>
              <w:bottom w:val="single" w:sz="4" w:space="0" w:color="auto"/>
            </w:tcBorders>
          </w:tcPr>
          <w:p w14:paraId="12EA4922"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Thyroid cancer</w:t>
            </w:r>
          </w:p>
        </w:tc>
        <w:tc>
          <w:tcPr>
            <w:tcW w:w="0" w:type="auto"/>
            <w:tcBorders>
              <w:bottom w:val="single" w:sz="4" w:space="0" w:color="auto"/>
            </w:tcBorders>
          </w:tcPr>
          <w:p w14:paraId="41046A74"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Borders>
              <w:bottom w:val="single" w:sz="4" w:space="0" w:color="auto"/>
            </w:tcBorders>
          </w:tcPr>
          <w:p w14:paraId="6174BA75"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Borders>
              <w:bottom w:val="single" w:sz="4" w:space="0" w:color="auto"/>
            </w:tcBorders>
          </w:tcPr>
          <w:p w14:paraId="5621FDEF"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Borders>
              <w:bottom w:val="single" w:sz="4" w:space="0" w:color="auto"/>
            </w:tcBorders>
          </w:tcPr>
          <w:p w14:paraId="71179516"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Borders>
              <w:bottom w:val="single" w:sz="4" w:space="0" w:color="auto"/>
            </w:tcBorders>
          </w:tcPr>
          <w:p w14:paraId="30BF4FF9"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r>
    </w:tbl>
    <w:p w14:paraId="62CAC1A4" w14:textId="77777777" w:rsidR="00E157E8" w:rsidRPr="007267F9" w:rsidRDefault="00E157E8" w:rsidP="00E157E8">
      <w:pPr>
        <w:spacing w:after="0" w:line="240" w:lineRule="auto"/>
        <w:rPr>
          <w:rFonts w:ascii="Times New Roman" w:eastAsia="新細明體" w:hAnsi="Times New Roman" w:cs="Times New Roman"/>
          <w:b/>
          <w:bCs/>
          <w:sz w:val="20"/>
          <w:szCs w:val="20"/>
          <w:lang w:eastAsia="zh-TW"/>
        </w:rPr>
      </w:pPr>
      <w:bookmarkStart w:id="2" w:name="s5b.-tirzepatide-vs.-sglt2-inhibitors"/>
      <w:bookmarkEnd w:id="1"/>
    </w:p>
    <w:p w14:paraId="1773A864" w14:textId="77777777" w:rsidR="00E157E8" w:rsidRPr="007267F9" w:rsidRDefault="00E157E8" w:rsidP="00E157E8">
      <w:pPr>
        <w:spacing w:after="0" w:line="240" w:lineRule="auto"/>
        <w:rPr>
          <w:rFonts w:ascii="Times New Roman" w:eastAsia="新細明體" w:hAnsi="Times New Roman" w:cs="Times New Roman"/>
          <w:b/>
          <w:bCs/>
          <w:sz w:val="20"/>
          <w:szCs w:val="20"/>
          <w:lang w:eastAsia="zh-TW"/>
        </w:rPr>
      </w:pPr>
      <w:r w:rsidRPr="007267F9">
        <w:rPr>
          <w:rFonts w:ascii="Times New Roman" w:eastAsia="新細明體" w:hAnsi="Times New Roman" w:cs="Times New Roman"/>
          <w:b/>
          <w:bCs/>
          <w:sz w:val="20"/>
          <w:szCs w:val="20"/>
          <w:lang w:eastAsia="zh-TW"/>
        </w:rPr>
        <w:t>S4B. Tirzepatide vs. SGLT2 inhibitors</w:t>
      </w:r>
    </w:p>
    <w:tbl>
      <w:tblPr>
        <w:tblStyle w:val="Table"/>
        <w:tblW w:w="5000" w:type="pct"/>
        <w:tblLook w:val="0020" w:firstRow="1" w:lastRow="0" w:firstColumn="0" w:lastColumn="0" w:noHBand="0" w:noVBand="0"/>
      </w:tblPr>
      <w:tblGrid>
        <w:gridCol w:w="1853"/>
        <w:gridCol w:w="1799"/>
        <w:gridCol w:w="2155"/>
        <w:gridCol w:w="1223"/>
        <w:gridCol w:w="793"/>
        <w:gridCol w:w="817"/>
      </w:tblGrid>
      <w:tr w:rsidR="00E157E8" w:rsidRPr="007267F9" w14:paraId="0F1FBE6E" w14:textId="77777777" w:rsidTr="009F70ED">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4" w:space="0" w:color="auto"/>
              <w:bottom w:val="single" w:sz="4" w:space="0" w:color="auto"/>
            </w:tcBorders>
          </w:tcPr>
          <w:p w14:paraId="4B0FC8D0"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Outcome</w:t>
            </w:r>
          </w:p>
        </w:tc>
        <w:tc>
          <w:tcPr>
            <w:tcW w:w="0" w:type="auto"/>
            <w:tcBorders>
              <w:top w:val="single" w:sz="4" w:space="0" w:color="auto"/>
              <w:bottom w:val="single" w:sz="4" w:space="0" w:color="auto"/>
            </w:tcBorders>
          </w:tcPr>
          <w:p w14:paraId="3797AE27"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Tirzepatide, n/N (%)</w:t>
            </w:r>
          </w:p>
        </w:tc>
        <w:tc>
          <w:tcPr>
            <w:tcW w:w="0" w:type="auto"/>
            <w:tcBorders>
              <w:top w:val="single" w:sz="4" w:space="0" w:color="auto"/>
              <w:bottom w:val="single" w:sz="4" w:space="0" w:color="auto"/>
            </w:tcBorders>
          </w:tcPr>
          <w:p w14:paraId="5100D8CC"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SGLT2 inhibitor, n/N (%)</w:t>
            </w:r>
          </w:p>
        </w:tc>
        <w:tc>
          <w:tcPr>
            <w:tcW w:w="0" w:type="auto"/>
            <w:tcBorders>
              <w:top w:val="single" w:sz="4" w:space="0" w:color="auto"/>
              <w:bottom w:val="single" w:sz="4" w:space="0" w:color="auto"/>
            </w:tcBorders>
          </w:tcPr>
          <w:p w14:paraId="2889E0A7"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HR (95% CI)</w:t>
            </w:r>
          </w:p>
        </w:tc>
        <w:tc>
          <w:tcPr>
            <w:tcW w:w="0" w:type="auto"/>
            <w:tcBorders>
              <w:top w:val="single" w:sz="4" w:space="0" w:color="auto"/>
              <w:bottom w:val="single" w:sz="4" w:space="0" w:color="auto"/>
            </w:tcBorders>
          </w:tcPr>
          <w:p w14:paraId="4C7C38A4"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P value</w:t>
            </w:r>
          </w:p>
        </w:tc>
        <w:tc>
          <w:tcPr>
            <w:tcW w:w="0" w:type="auto"/>
            <w:tcBorders>
              <w:top w:val="single" w:sz="4" w:space="0" w:color="auto"/>
              <w:bottom w:val="single" w:sz="4" w:space="0" w:color="auto"/>
            </w:tcBorders>
          </w:tcPr>
          <w:p w14:paraId="5495BA7A"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E-value</w:t>
            </w:r>
          </w:p>
        </w:tc>
      </w:tr>
      <w:tr w:rsidR="00E157E8" w:rsidRPr="007267F9" w14:paraId="3106263C" w14:textId="77777777" w:rsidTr="009F70ED">
        <w:tc>
          <w:tcPr>
            <w:tcW w:w="0" w:type="auto"/>
            <w:tcBorders>
              <w:top w:val="single" w:sz="4" w:space="0" w:color="auto"/>
            </w:tcBorders>
          </w:tcPr>
          <w:p w14:paraId="4FD928D9"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Diabetic ketoacidosis</w:t>
            </w:r>
          </w:p>
        </w:tc>
        <w:tc>
          <w:tcPr>
            <w:tcW w:w="0" w:type="auto"/>
            <w:tcBorders>
              <w:top w:val="single" w:sz="4" w:space="0" w:color="auto"/>
            </w:tcBorders>
          </w:tcPr>
          <w:p w14:paraId="5900F116"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Borders>
              <w:top w:val="single" w:sz="4" w:space="0" w:color="auto"/>
            </w:tcBorders>
          </w:tcPr>
          <w:p w14:paraId="142DB42F"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Borders>
              <w:top w:val="single" w:sz="4" w:space="0" w:color="auto"/>
            </w:tcBorders>
          </w:tcPr>
          <w:p w14:paraId="386624B9"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Borders>
              <w:top w:val="single" w:sz="4" w:space="0" w:color="auto"/>
            </w:tcBorders>
          </w:tcPr>
          <w:p w14:paraId="419BA925"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Borders>
              <w:top w:val="single" w:sz="4" w:space="0" w:color="auto"/>
            </w:tcBorders>
          </w:tcPr>
          <w:p w14:paraId="0BB4C56A"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r>
      <w:tr w:rsidR="00E157E8" w:rsidRPr="007267F9" w14:paraId="30DC62EC" w14:textId="77777777" w:rsidTr="009F70ED">
        <w:tc>
          <w:tcPr>
            <w:tcW w:w="0" w:type="auto"/>
          </w:tcPr>
          <w:p w14:paraId="53F5A483"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Acute pancreatitis</w:t>
            </w:r>
          </w:p>
        </w:tc>
        <w:tc>
          <w:tcPr>
            <w:tcW w:w="0" w:type="auto"/>
          </w:tcPr>
          <w:p w14:paraId="11B511D4"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Pr>
          <w:p w14:paraId="6A79BC7E"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Pr>
          <w:p w14:paraId="5B411CBE"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Pr>
          <w:p w14:paraId="6BF87F3C"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Pr>
          <w:p w14:paraId="37361550"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r>
      <w:tr w:rsidR="00E157E8" w:rsidRPr="007267F9" w14:paraId="3E6129F6" w14:textId="77777777" w:rsidTr="009F70ED">
        <w:tc>
          <w:tcPr>
            <w:tcW w:w="0" w:type="auto"/>
            <w:tcBorders>
              <w:bottom w:val="single" w:sz="4" w:space="0" w:color="auto"/>
            </w:tcBorders>
          </w:tcPr>
          <w:p w14:paraId="11CBCECE"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Thyroid cancer</w:t>
            </w:r>
          </w:p>
        </w:tc>
        <w:tc>
          <w:tcPr>
            <w:tcW w:w="0" w:type="auto"/>
            <w:tcBorders>
              <w:bottom w:val="single" w:sz="4" w:space="0" w:color="auto"/>
            </w:tcBorders>
          </w:tcPr>
          <w:p w14:paraId="52C96ADC"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Borders>
              <w:bottom w:val="single" w:sz="4" w:space="0" w:color="auto"/>
            </w:tcBorders>
          </w:tcPr>
          <w:p w14:paraId="14155257"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Borders>
              <w:bottom w:val="single" w:sz="4" w:space="0" w:color="auto"/>
            </w:tcBorders>
          </w:tcPr>
          <w:p w14:paraId="110493F9"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Borders>
              <w:bottom w:val="single" w:sz="4" w:space="0" w:color="auto"/>
            </w:tcBorders>
          </w:tcPr>
          <w:p w14:paraId="77AD6C0E"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0" w:type="auto"/>
            <w:tcBorders>
              <w:bottom w:val="single" w:sz="4" w:space="0" w:color="auto"/>
            </w:tcBorders>
          </w:tcPr>
          <w:p w14:paraId="5317428E"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r>
    </w:tbl>
    <w:p w14:paraId="30939D2E" w14:textId="77777777" w:rsidR="00E157E8" w:rsidRPr="007267F9" w:rsidRDefault="00E157E8" w:rsidP="00E157E8">
      <w:pPr>
        <w:spacing w:after="0" w:line="240" w:lineRule="auto"/>
        <w:rPr>
          <w:rFonts w:ascii="Times New Roman" w:eastAsia="新細明體" w:hAnsi="Times New Roman" w:cs="Times New Roman"/>
          <w:b/>
          <w:bCs/>
          <w:sz w:val="20"/>
          <w:szCs w:val="20"/>
          <w:lang w:eastAsia="zh-TW"/>
        </w:rPr>
      </w:pPr>
      <w:bookmarkStart w:id="3" w:name="s5c.-glp-1-ras-vs.-sglt2-inhibitors"/>
      <w:bookmarkEnd w:id="2"/>
    </w:p>
    <w:p w14:paraId="2A01CD3F" w14:textId="77777777" w:rsidR="00E157E8" w:rsidRPr="007267F9" w:rsidRDefault="00E157E8" w:rsidP="00E157E8">
      <w:pPr>
        <w:spacing w:after="0" w:line="240" w:lineRule="auto"/>
        <w:rPr>
          <w:rFonts w:ascii="Times New Roman" w:eastAsia="新細明體" w:hAnsi="Times New Roman" w:cs="Times New Roman"/>
          <w:b/>
          <w:bCs/>
          <w:sz w:val="20"/>
          <w:szCs w:val="20"/>
          <w:lang w:eastAsia="zh-TW"/>
        </w:rPr>
      </w:pPr>
      <w:r w:rsidRPr="007267F9">
        <w:rPr>
          <w:rFonts w:ascii="Times New Roman" w:eastAsia="新細明體" w:hAnsi="Times New Roman" w:cs="Times New Roman"/>
          <w:b/>
          <w:bCs/>
          <w:sz w:val="20"/>
          <w:szCs w:val="20"/>
          <w:lang w:eastAsia="zh-TW"/>
        </w:rPr>
        <w:t>S4C. GLP-1 RAs vs. SGLT2 inhibitors</w:t>
      </w:r>
    </w:p>
    <w:tbl>
      <w:tblPr>
        <w:tblStyle w:val="Table"/>
        <w:tblW w:w="5000" w:type="pct"/>
        <w:tblLook w:val="0020" w:firstRow="1" w:lastRow="0" w:firstColumn="0" w:lastColumn="0" w:noHBand="0" w:noVBand="0"/>
      </w:tblPr>
      <w:tblGrid>
        <w:gridCol w:w="1824"/>
        <w:gridCol w:w="1581"/>
        <w:gridCol w:w="1840"/>
        <w:gridCol w:w="1560"/>
        <w:gridCol w:w="850"/>
        <w:gridCol w:w="985"/>
      </w:tblGrid>
      <w:tr w:rsidR="00E157E8" w:rsidRPr="007267F9" w14:paraId="1C09E376" w14:textId="77777777" w:rsidTr="00F476D3">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4" w:space="0" w:color="auto"/>
              <w:bottom w:val="single" w:sz="4" w:space="0" w:color="auto"/>
            </w:tcBorders>
            <w:vAlign w:val="top"/>
          </w:tcPr>
          <w:p w14:paraId="222BB411"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Outcome</w:t>
            </w:r>
          </w:p>
        </w:tc>
        <w:tc>
          <w:tcPr>
            <w:tcW w:w="915" w:type="pct"/>
            <w:tcBorders>
              <w:top w:val="single" w:sz="4" w:space="0" w:color="auto"/>
              <w:bottom w:val="single" w:sz="4" w:space="0" w:color="auto"/>
            </w:tcBorders>
            <w:vAlign w:val="top"/>
          </w:tcPr>
          <w:p w14:paraId="01A7C346"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GLP-1 RA, n/N (%)</w:t>
            </w:r>
          </w:p>
        </w:tc>
        <w:tc>
          <w:tcPr>
            <w:tcW w:w="1065" w:type="pct"/>
            <w:tcBorders>
              <w:top w:val="single" w:sz="4" w:space="0" w:color="auto"/>
              <w:bottom w:val="single" w:sz="4" w:space="0" w:color="auto"/>
            </w:tcBorders>
            <w:vAlign w:val="top"/>
          </w:tcPr>
          <w:p w14:paraId="1BFB18C4"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SGLT2 inhibitor, n/N (%)</w:t>
            </w:r>
          </w:p>
        </w:tc>
        <w:tc>
          <w:tcPr>
            <w:tcW w:w="903" w:type="pct"/>
            <w:tcBorders>
              <w:top w:val="single" w:sz="4" w:space="0" w:color="auto"/>
              <w:bottom w:val="single" w:sz="4" w:space="0" w:color="auto"/>
            </w:tcBorders>
            <w:vAlign w:val="top"/>
          </w:tcPr>
          <w:p w14:paraId="0AF1E3DC"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HR (95% CI)</w:t>
            </w:r>
          </w:p>
        </w:tc>
        <w:tc>
          <w:tcPr>
            <w:tcW w:w="492" w:type="pct"/>
            <w:tcBorders>
              <w:top w:val="single" w:sz="4" w:space="0" w:color="auto"/>
              <w:bottom w:val="single" w:sz="4" w:space="0" w:color="auto"/>
            </w:tcBorders>
            <w:vAlign w:val="top"/>
          </w:tcPr>
          <w:p w14:paraId="7CBF26ED"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P value</w:t>
            </w:r>
          </w:p>
        </w:tc>
        <w:tc>
          <w:tcPr>
            <w:tcW w:w="570" w:type="pct"/>
            <w:tcBorders>
              <w:top w:val="single" w:sz="4" w:space="0" w:color="auto"/>
              <w:bottom w:val="single" w:sz="4" w:space="0" w:color="auto"/>
            </w:tcBorders>
            <w:vAlign w:val="top"/>
          </w:tcPr>
          <w:p w14:paraId="4C455CE7"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E-value</w:t>
            </w:r>
          </w:p>
        </w:tc>
      </w:tr>
      <w:tr w:rsidR="00E157E8" w:rsidRPr="007267F9" w14:paraId="7ACFC65E" w14:textId="77777777" w:rsidTr="00F476D3">
        <w:tc>
          <w:tcPr>
            <w:tcW w:w="0" w:type="auto"/>
            <w:tcBorders>
              <w:top w:val="single" w:sz="4" w:space="0" w:color="auto"/>
            </w:tcBorders>
          </w:tcPr>
          <w:p w14:paraId="4267DBAA"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Diabetic ketoacidosis</w:t>
            </w:r>
          </w:p>
        </w:tc>
        <w:tc>
          <w:tcPr>
            <w:tcW w:w="915" w:type="pct"/>
            <w:tcBorders>
              <w:top w:val="single" w:sz="4" w:space="0" w:color="auto"/>
            </w:tcBorders>
          </w:tcPr>
          <w:p w14:paraId="2562F2A2"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34/4,910 (0.7)</w:t>
            </w:r>
          </w:p>
        </w:tc>
        <w:tc>
          <w:tcPr>
            <w:tcW w:w="1065" w:type="pct"/>
            <w:tcBorders>
              <w:top w:val="single" w:sz="4" w:space="0" w:color="auto"/>
            </w:tcBorders>
          </w:tcPr>
          <w:p w14:paraId="6002FD94"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29/4,910 (0.6)</w:t>
            </w:r>
          </w:p>
        </w:tc>
        <w:tc>
          <w:tcPr>
            <w:tcW w:w="903" w:type="pct"/>
            <w:tcBorders>
              <w:top w:val="single" w:sz="4" w:space="0" w:color="auto"/>
            </w:tcBorders>
          </w:tcPr>
          <w:p w14:paraId="6DC6F09A"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1.23 (0.75–2.01)</w:t>
            </w:r>
          </w:p>
        </w:tc>
        <w:tc>
          <w:tcPr>
            <w:tcW w:w="492" w:type="pct"/>
            <w:tcBorders>
              <w:top w:val="single" w:sz="4" w:space="0" w:color="auto"/>
            </w:tcBorders>
          </w:tcPr>
          <w:p w14:paraId="04093BFC"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0.404</w:t>
            </w:r>
          </w:p>
        </w:tc>
        <w:tc>
          <w:tcPr>
            <w:tcW w:w="570" w:type="pct"/>
            <w:tcBorders>
              <w:top w:val="single" w:sz="4" w:space="0" w:color="auto"/>
            </w:tcBorders>
          </w:tcPr>
          <w:p w14:paraId="714EE5B8"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1.76</w:t>
            </w:r>
          </w:p>
        </w:tc>
      </w:tr>
      <w:tr w:rsidR="00E157E8" w:rsidRPr="007267F9" w14:paraId="1061A6A9" w14:textId="77777777" w:rsidTr="00F476D3">
        <w:tc>
          <w:tcPr>
            <w:tcW w:w="0" w:type="auto"/>
          </w:tcPr>
          <w:p w14:paraId="0FF9EE2D"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Acute pancreatitis</w:t>
            </w:r>
          </w:p>
        </w:tc>
        <w:tc>
          <w:tcPr>
            <w:tcW w:w="915" w:type="pct"/>
          </w:tcPr>
          <w:p w14:paraId="0232E8BA"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20/4,910 (0.40)</w:t>
            </w:r>
          </w:p>
        </w:tc>
        <w:tc>
          <w:tcPr>
            <w:tcW w:w="1065" w:type="pct"/>
          </w:tcPr>
          <w:p w14:paraId="7616D9C5"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29/4,910 (0.60)</w:t>
            </w:r>
          </w:p>
        </w:tc>
        <w:tc>
          <w:tcPr>
            <w:tcW w:w="903" w:type="pct"/>
          </w:tcPr>
          <w:p w14:paraId="65AD4F3B"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0.69 (0.38–1.25)</w:t>
            </w:r>
          </w:p>
        </w:tc>
        <w:tc>
          <w:tcPr>
            <w:tcW w:w="492" w:type="pct"/>
          </w:tcPr>
          <w:p w14:paraId="44C57428"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0.218</w:t>
            </w:r>
          </w:p>
        </w:tc>
        <w:tc>
          <w:tcPr>
            <w:tcW w:w="570" w:type="pct"/>
          </w:tcPr>
          <w:p w14:paraId="660607AF"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2.26</w:t>
            </w:r>
          </w:p>
        </w:tc>
      </w:tr>
      <w:tr w:rsidR="00E157E8" w:rsidRPr="007267F9" w14:paraId="41912FA5" w14:textId="77777777" w:rsidTr="00F476D3">
        <w:tc>
          <w:tcPr>
            <w:tcW w:w="0" w:type="auto"/>
            <w:tcBorders>
              <w:bottom w:val="single" w:sz="4" w:space="0" w:color="auto"/>
            </w:tcBorders>
          </w:tcPr>
          <w:p w14:paraId="0D434BF5"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Thyroid cancer</w:t>
            </w:r>
          </w:p>
        </w:tc>
        <w:tc>
          <w:tcPr>
            <w:tcW w:w="915" w:type="pct"/>
            <w:tcBorders>
              <w:bottom w:val="single" w:sz="4" w:space="0" w:color="auto"/>
            </w:tcBorders>
          </w:tcPr>
          <w:p w14:paraId="69C5B012"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1065" w:type="pct"/>
            <w:tcBorders>
              <w:bottom w:val="single" w:sz="4" w:space="0" w:color="auto"/>
            </w:tcBorders>
          </w:tcPr>
          <w:p w14:paraId="600099F9"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903" w:type="pct"/>
            <w:tcBorders>
              <w:bottom w:val="single" w:sz="4" w:space="0" w:color="auto"/>
            </w:tcBorders>
          </w:tcPr>
          <w:p w14:paraId="121FD3D4"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492" w:type="pct"/>
            <w:tcBorders>
              <w:bottom w:val="single" w:sz="4" w:space="0" w:color="auto"/>
            </w:tcBorders>
          </w:tcPr>
          <w:p w14:paraId="6A0E34D8"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c>
          <w:tcPr>
            <w:tcW w:w="570" w:type="pct"/>
            <w:tcBorders>
              <w:bottom w:val="single" w:sz="4" w:space="0" w:color="auto"/>
            </w:tcBorders>
          </w:tcPr>
          <w:p w14:paraId="3E0E3196" w14:textId="77777777" w:rsidR="00E157E8" w:rsidRPr="007267F9" w:rsidRDefault="00E157E8" w:rsidP="00E157E8">
            <w:pPr>
              <w:spacing w:before="36" w:after="36"/>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w:t>
            </w:r>
          </w:p>
        </w:tc>
      </w:tr>
    </w:tbl>
    <w:p w14:paraId="79DD92D9" w14:textId="77777777" w:rsidR="00E157E8" w:rsidRPr="007267F9" w:rsidRDefault="00E157E8" w:rsidP="00E157E8">
      <w:pPr>
        <w:spacing w:before="180" w:after="180" w:line="240" w:lineRule="auto"/>
        <w:rPr>
          <w:rFonts w:ascii="Times New Roman" w:eastAsia="新細明體" w:hAnsi="Times New Roman" w:cs="Times New Roman"/>
          <w:sz w:val="20"/>
          <w:szCs w:val="20"/>
        </w:rPr>
      </w:pPr>
      <w:r w:rsidRPr="007267F9">
        <w:rPr>
          <w:rFonts w:ascii="Times New Roman" w:eastAsia="新細明體" w:hAnsi="Times New Roman" w:cs="Times New Roman"/>
          <w:b/>
          <w:bCs/>
          <w:sz w:val="20"/>
          <w:szCs w:val="20"/>
        </w:rPr>
        <w:t>Outcome definitions.</w:t>
      </w:r>
      <w:r w:rsidRPr="007267F9">
        <w:rPr>
          <w:rFonts w:ascii="Times New Roman" w:eastAsia="新細明體" w:hAnsi="Times New Roman" w:cs="Times New Roman"/>
          <w:sz w:val="20"/>
          <w:szCs w:val="20"/>
        </w:rPr>
        <w:t xml:space="preserve"> Acute pancreatitis, ICD-10-CM K85; diabetic ketoacidosis, ICD-10-CM E11.1 and E13.1; malignant neoplasm of the thyroid gland, ICD-10-CM C73.</w:t>
      </w:r>
    </w:p>
    <w:p w14:paraId="44577ABB" w14:textId="77777777" w:rsidR="00E157E8" w:rsidRPr="007267F9" w:rsidRDefault="00E157E8" w:rsidP="00E157E8">
      <w:pPr>
        <w:spacing w:before="180" w:after="180" w:line="240" w:lineRule="auto"/>
        <w:rPr>
          <w:rFonts w:ascii="Times New Roman" w:eastAsia="新細明體" w:hAnsi="Times New Roman" w:cs="Times New Roman"/>
          <w:sz w:val="20"/>
          <w:szCs w:val="20"/>
        </w:rPr>
      </w:pPr>
      <w:r w:rsidRPr="007267F9">
        <w:rPr>
          <w:rFonts w:ascii="Times New Roman" w:eastAsia="新細明體" w:hAnsi="Times New Roman" w:cs="Times New Roman"/>
          <w:sz w:val="20"/>
          <w:szCs w:val="20"/>
        </w:rPr>
        <w:t>NE denotes not estimable: fewer than 10 patients met the outcome definition in at least one cohort, and the platform suppressed the detailed result. Fewer than 10 events in cohorts of 821 to 1,059 patients bounds the incidence of each outcome below approximately 1.2%.</w:t>
      </w:r>
    </w:p>
    <w:p w14:paraId="37C742DC" w14:textId="44F80E33" w:rsidR="00E157E8" w:rsidRPr="007267F9" w:rsidRDefault="00E157E8" w:rsidP="00874EFB">
      <w:pPr>
        <w:spacing w:before="180" w:after="180" w:line="240" w:lineRule="auto"/>
        <w:rPr>
          <w:rFonts w:ascii="Times New Roman" w:eastAsia="新細明體" w:hAnsi="Times New Roman" w:cs="Times New Roman"/>
          <w:lang w:eastAsia="zh-TW"/>
        </w:rPr>
      </w:pPr>
      <w:r w:rsidRPr="007267F9">
        <w:rPr>
          <w:rFonts w:ascii="Times New Roman" w:eastAsia="新細明體" w:hAnsi="Times New Roman" w:cs="Times New Roman"/>
          <w:b/>
          <w:bCs/>
          <w:sz w:val="20"/>
          <w:szCs w:val="20"/>
        </w:rPr>
        <w:t>Abbreviations:</w:t>
      </w:r>
      <w:r w:rsidRPr="007267F9">
        <w:rPr>
          <w:rFonts w:ascii="Times New Roman" w:eastAsia="新細明體" w:hAnsi="Times New Roman" w:cs="Times New Roman"/>
          <w:sz w:val="20"/>
          <w:szCs w:val="20"/>
        </w:rPr>
        <w:t xml:space="preserve"> CI, confidence interval; GLP-1 RA, glucagon-like peptide-1 receptor agonist; HR, hazard ratio; NE, not estimable; SGLT2, sodium–glucose cotransporter 2.</w:t>
      </w:r>
      <w:bookmarkEnd w:id="0"/>
      <w:bookmarkEnd w:id="3"/>
    </w:p>
    <w:sectPr w:rsidR="00E157E8" w:rsidRPr="007267F9"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3127F" w14:textId="77777777" w:rsidR="00723278" w:rsidRDefault="00723278" w:rsidP="006A1F86">
      <w:pPr>
        <w:spacing w:after="0" w:line="240" w:lineRule="auto"/>
      </w:pPr>
      <w:r>
        <w:separator/>
      </w:r>
    </w:p>
  </w:endnote>
  <w:endnote w:type="continuationSeparator" w:id="0">
    <w:p w14:paraId="02BD47A0" w14:textId="77777777" w:rsidR="00723278" w:rsidRDefault="00723278" w:rsidP="006A1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F0ECE" w14:textId="77777777" w:rsidR="00723278" w:rsidRDefault="00723278" w:rsidP="006A1F86">
      <w:pPr>
        <w:spacing w:after="0" w:line="240" w:lineRule="auto"/>
      </w:pPr>
      <w:r>
        <w:separator/>
      </w:r>
    </w:p>
  </w:footnote>
  <w:footnote w:type="continuationSeparator" w:id="0">
    <w:p w14:paraId="6DEAE458" w14:textId="77777777" w:rsidR="00723278" w:rsidRDefault="00723278" w:rsidP="006A1F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83923882">
    <w:abstractNumId w:val="8"/>
  </w:num>
  <w:num w:numId="2" w16cid:durableId="1643188998">
    <w:abstractNumId w:val="6"/>
  </w:num>
  <w:num w:numId="3" w16cid:durableId="575483130">
    <w:abstractNumId w:val="5"/>
  </w:num>
  <w:num w:numId="4" w16cid:durableId="244845520">
    <w:abstractNumId w:val="4"/>
  </w:num>
  <w:num w:numId="5" w16cid:durableId="22216779">
    <w:abstractNumId w:val="7"/>
  </w:num>
  <w:num w:numId="6" w16cid:durableId="507601684">
    <w:abstractNumId w:val="3"/>
  </w:num>
  <w:num w:numId="7" w16cid:durableId="1514997905">
    <w:abstractNumId w:val="2"/>
  </w:num>
  <w:num w:numId="8" w16cid:durableId="2142260866">
    <w:abstractNumId w:val="1"/>
  </w:num>
  <w:num w:numId="9" w16cid:durableId="381945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F68"/>
    <w:rsid w:val="00034616"/>
    <w:rsid w:val="00054928"/>
    <w:rsid w:val="0006063C"/>
    <w:rsid w:val="0007120B"/>
    <w:rsid w:val="00095ED3"/>
    <w:rsid w:val="000A6CD2"/>
    <w:rsid w:val="0010121C"/>
    <w:rsid w:val="001026EF"/>
    <w:rsid w:val="0015074B"/>
    <w:rsid w:val="001942AF"/>
    <w:rsid w:val="00196A64"/>
    <w:rsid w:val="001A1884"/>
    <w:rsid w:val="001A7993"/>
    <w:rsid w:val="001B7F37"/>
    <w:rsid w:val="001D245D"/>
    <w:rsid w:val="00245F6A"/>
    <w:rsid w:val="00257216"/>
    <w:rsid w:val="0028072D"/>
    <w:rsid w:val="00281C9C"/>
    <w:rsid w:val="00294A24"/>
    <w:rsid w:val="0029639D"/>
    <w:rsid w:val="002B33EA"/>
    <w:rsid w:val="002D40E3"/>
    <w:rsid w:val="002F3103"/>
    <w:rsid w:val="00317A18"/>
    <w:rsid w:val="00326F90"/>
    <w:rsid w:val="00343E0F"/>
    <w:rsid w:val="003618E4"/>
    <w:rsid w:val="003642B1"/>
    <w:rsid w:val="003A1518"/>
    <w:rsid w:val="003C1C4E"/>
    <w:rsid w:val="003E1122"/>
    <w:rsid w:val="00400A6A"/>
    <w:rsid w:val="00405BCB"/>
    <w:rsid w:val="00413AD1"/>
    <w:rsid w:val="004242D8"/>
    <w:rsid w:val="00424461"/>
    <w:rsid w:val="004A60C9"/>
    <w:rsid w:val="004B78B2"/>
    <w:rsid w:val="004E6572"/>
    <w:rsid w:val="004F2A5F"/>
    <w:rsid w:val="00537AFF"/>
    <w:rsid w:val="005717D2"/>
    <w:rsid w:val="00573C49"/>
    <w:rsid w:val="005F0FB3"/>
    <w:rsid w:val="006633E8"/>
    <w:rsid w:val="00674070"/>
    <w:rsid w:val="006A1F86"/>
    <w:rsid w:val="006E5F63"/>
    <w:rsid w:val="006F5CB0"/>
    <w:rsid w:val="00712401"/>
    <w:rsid w:val="00723278"/>
    <w:rsid w:val="007267F9"/>
    <w:rsid w:val="00751D09"/>
    <w:rsid w:val="00755174"/>
    <w:rsid w:val="00772BFF"/>
    <w:rsid w:val="007820FD"/>
    <w:rsid w:val="007D6A71"/>
    <w:rsid w:val="007F2DEC"/>
    <w:rsid w:val="00814620"/>
    <w:rsid w:val="0083643B"/>
    <w:rsid w:val="00874EFB"/>
    <w:rsid w:val="00887820"/>
    <w:rsid w:val="008B5936"/>
    <w:rsid w:val="0090199A"/>
    <w:rsid w:val="00916FA4"/>
    <w:rsid w:val="0092771C"/>
    <w:rsid w:val="00936BD6"/>
    <w:rsid w:val="00955BE3"/>
    <w:rsid w:val="00975FCF"/>
    <w:rsid w:val="00A35827"/>
    <w:rsid w:val="00A65BD1"/>
    <w:rsid w:val="00AA1D8D"/>
    <w:rsid w:val="00AC7AF8"/>
    <w:rsid w:val="00AE36CD"/>
    <w:rsid w:val="00AE5906"/>
    <w:rsid w:val="00B0738E"/>
    <w:rsid w:val="00B47730"/>
    <w:rsid w:val="00B62178"/>
    <w:rsid w:val="00B72A1D"/>
    <w:rsid w:val="00BA53AC"/>
    <w:rsid w:val="00BD0C7D"/>
    <w:rsid w:val="00C120F5"/>
    <w:rsid w:val="00C24067"/>
    <w:rsid w:val="00C86F49"/>
    <w:rsid w:val="00C96CF0"/>
    <w:rsid w:val="00CA30C0"/>
    <w:rsid w:val="00CB0664"/>
    <w:rsid w:val="00CB4272"/>
    <w:rsid w:val="00D0668C"/>
    <w:rsid w:val="00D17143"/>
    <w:rsid w:val="00DE3262"/>
    <w:rsid w:val="00E157E8"/>
    <w:rsid w:val="00E52534"/>
    <w:rsid w:val="00E5413B"/>
    <w:rsid w:val="00EA3182"/>
    <w:rsid w:val="00ED11E8"/>
    <w:rsid w:val="00ED6E37"/>
    <w:rsid w:val="00EE6A32"/>
    <w:rsid w:val="00F20E29"/>
    <w:rsid w:val="00F476D3"/>
    <w:rsid w:val="00F82404"/>
    <w:rsid w:val="00F93B13"/>
    <w:rsid w:val="00F95814"/>
    <w:rsid w:val="00FB4B5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DB703C"/>
  <w14:defaultImageDpi w14:val="300"/>
  <w15:docId w15:val="{B26FF8DA-9587-6141-9C30-73031BB09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
    <w:name w:val="Table"/>
    <w:semiHidden/>
    <w:unhideWhenUsed/>
    <w:qFormat/>
    <w:rsid w:val="00E157E8"/>
    <w:pPr>
      <w:spacing w:line="240" w:lineRule="auto"/>
    </w:pPr>
    <w:rPr>
      <w:sz w:val="24"/>
      <w:szCs w:val="24"/>
      <w:lang w:eastAsia="zh-TW"/>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affa">
    <w:name w:val="Revision"/>
    <w:hidden/>
    <w:uiPriority w:val="99"/>
    <w:semiHidden/>
    <w:rsid w:val="006E5F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醫師 李</cp:lastModifiedBy>
  <cp:revision>3</cp:revision>
  <cp:lastPrinted>2026-08-14T09:12:00Z</cp:lastPrinted>
  <dcterms:created xsi:type="dcterms:W3CDTF">2026-08-17T10:03:00Z</dcterms:created>
  <dcterms:modified xsi:type="dcterms:W3CDTF">2026-08-17T10:04:00Z</dcterms:modified>
  <cp:category/>
</cp:coreProperties>
</file>