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61D090">
      <w:pPr>
        <w:jc w:val="center"/>
        <w:rPr>
          <w:rFonts w:hint="default" w:ascii="Times New Roman" w:hAnsi="Times New Roman" w:cs="Times New Roman" w:eastAsiaTheme="minorEastAsia"/>
          <w:b/>
          <w:bCs/>
          <w:sz w:val="32"/>
          <w:szCs w:val="20"/>
          <w:lang w:val="en-US" w:eastAsia="zh-CN"/>
        </w:rPr>
      </w:pPr>
      <w:r>
        <w:rPr>
          <w:rFonts w:hint="default" w:ascii="Times New Roman" w:hAnsi="Times New Roman" w:cs="Times New Roman"/>
          <w:b/>
          <w:bCs/>
          <w:sz w:val="32"/>
          <w:szCs w:val="20"/>
        </w:rPr>
        <w:t>Supplementary Materials</w:t>
      </w:r>
    </w:p>
    <w:p w14:paraId="7BB0FB8A">
      <w:pPr>
        <w:rPr>
          <w:rFonts w:hint="eastAsia" w:ascii="Times New Roman" w:hAnsi="Times New Roman" w:cs="Times New Roman" w:eastAsiaTheme="minorEastAsia"/>
          <w:lang w:eastAsia="zh-CN"/>
        </w:rPr>
      </w:pPr>
    </w:p>
    <w:p w14:paraId="2F4261BE">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71135" cy="3900170"/>
            <wp:effectExtent l="0" t="0" r="5715" b="5080"/>
            <wp:docPr id="8" name="图片 8" descr="Supplementary 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upplementary Figure S1"/>
                    <pic:cNvPicPr>
                      <a:picLocks noChangeAspect="1"/>
                    </pic:cNvPicPr>
                  </pic:nvPicPr>
                  <pic:blipFill>
                    <a:blip r:embed="rId4"/>
                    <a:srcRect t="11214" b="14002"/>
                    <a:stretch>
                      <a:fillRect/>
                    </a:stretch>
                  </pic:blipFill>
                  <pic:spPr>
                    <a:xfrm>
                      <a:off x="0" y="0"/>
                      <a:ext cx="5271135" cy="3900170"/>
                    </a:xfrm>
                    <a:prstGeom prst="rect">
                      <a:avLst/>
                    </a:prstGeom>
                  </pic:spPr>
                </pic:pic>
              </a:graphicData>
            </a:graphic>
          </wp:inline>
        </w:drawing>
      </w:r>
    </w:p>
    <w:p w14:paraId="3F3D0164">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cs="Times New Roman" w:eastAsiaTheme="minorEastAsia"/>
          <w:lang w:eastAsia="zh-CN"/>
        </w:rPr>
      </w:pPr>
      <w:r>
        <w:rPr>
          <w:rFonts w:hint="eastAsia" w:ascii="Times New Roman" w:hAnsi="Times New Roman" w:cs="Times New Roman" w:eastAsiaTheme="minorEastAsia"/>
          <w:b/>
          <w:bCs/>
          <w:lang w:eastAsia="zh-CN"/>
        </w:rPr>
        <w:t>Supplementary Figure S1.</w:t>
      </w:r>
      <w:r>
        <w:rPr>
          <w:rFonts w:hint="eastAsia" w:ascii="Times New Roman" w:hAnsi="Times New Roman" w:cs="Times New Roman" w:eastAsiaTheme="minorEastAsia"/>
          <w:lang w:eastAsia="zh-CN"/>
        </w:rPr>
        <w:t xml:space="preserve"> Participant flow diagram. NBPHS</w:t>
      </w:r>
      <w:r>
        <w:rPr>
          <w:rFonts w:hint="eastAsia" w:ascii="Times New Roman" w:hAnsi="Times New Roman" w:cs="Times New Roman"/>
          <w:lang w:val="en-US" w:eastAsia="zh-CN"/>
        </w:rPr>
        <w:t>-</w:t>
      </w:r>
      <w:r>
        <w:rPr>
          <w:rFonts w:hint="eastAsia" w:ascii="Times New Roman" w:hAnsi="Times New Roman" w:cs="Times New Roman" w:eastAsiaTheme="minorEastAsia"/>
          <w:lang w:eastAsia="zh-CN"/>
        </w:rPr>
        <w:t>S, National Basic Public Health Service Screening; CKM, cardiovascular</w:t>
      </w:r>
      <w:r>
        <w:rPr>
          <w:rFonts w:hint="eastAsia" w:ascii="Times New Roman" w:hAnsi="Times New Roman" w:cs="Times New Roman"/>
          <w:lang w:val="en-US" w:eastAsia="zh-CN"/>
        </w:rPr>
        <w:t>-</w:t>
      </w:r>
      <w:r>
        <w:rPr>
          <w:rFonts w:hint="eastAsia" w:ascii="Times New Roman" w:hAnsi="Times New Roman" w:cs="Times New Roman" w:eastAsiaTheme="minorEastAsia"/>
          <w:lang w:eastAsia="zh-CN"/>
        </w:rPr>
        <w:t>kidney</w:t>
      </w:r>
      <w:r>
        <w:rPr>
          <w:rFonts w:hint="eastAsia" w:ascii="Times New Roman" w:hAnsi="Times New Roman" w:cs="Times New Roman"/>
          <w:lang w:val="en-US" w:eastAsia="zh-CN"/>
        </w:rPr>
        <w:t>-</w:t>
      </w:r>
      <w:r>
        <w:rPr>
          <w:rFonts w:hint="eastAsia" w:ascii="Times New Roman" w:hAnsi="Times New Roman" w:cs="Times New Roman" w:eastAsiaTheme="minorEastAsia"/>
          <w:lang w:eastAsia="zh-CN"/>
        </w:rPr>
        <w:t>metabolic; TyG, triglyceride</w:t>
      </w:r>
      <w:r>
        <w:rPr>
          <w:rFonts w:hint="eastAsia" w:ascii="Times New Roman" w:hAnsi="Times New Roman" w:cs="Times New Roman"/>
          <w:lang w:val="en-US" w:eastAsia="zh-CN"/>
        </w:rPr>
        <w:t>-</w:t>
      </w:r>
      <w:r>
        <w:rPr>
          <w:rFonts w:hint="eastAsia" w:ascii="Times New Roman" w:hAnsi="Times New Roman" w:cs="Times New Roman" w:eastAsiaTheme="minorEastAsia"/>
          <w:lang w:eastAsia="zh-CN"/>
        </w:rPr>
        <w:t>glucose; CVD, cardiovascular disease; CKD, chronic kidney disease; ESKD, end</w:t>
      </w:r>
      <w:r>
        <w:rPr>
          <w:rFonts w:hint="eastAsia" w:ascii="Times New Roman" w:hAnsi="Times New Roman" w:cs="Times New Roman"/>
          <w:lang w:val="en-US" w:eastAsia="zh-CN"/>
        </w:rPr>
        <w:t>-</w:t>
      </w:r>
      <w:r>
        <w:rPr>
          <w:rFonts w:hint="eastAsia" w:ascii="Times New Roman" w:hAnsi="Times New Roman" w:cs="Times New Roman" w:eastAsiaTheme="minorEastAsia"/>
          <w:lang w:eastAsia="zh-CN"/>
        </w:rPr>
        <w:t>stage kidney disease.</w:t>
      </w:r>
    </w:p>
    <w:p w14:paraId="3D5C2B0A">
      <w:pPr>
        <w:jc w:val="both"/>
        <w:outlineLvl w:val="0"/>
        <w:rPr>
          <w:rFonts w:hint="eastAsia" w:ascii="Times New Roman" w:hAnsi="Times New Roman" w:eastAsia="宋体" w:cs="Times New Roman"/>
          <w:b/>
          <w:bCs/>
          <w:szCs w:val="21"/>
        </w:rPr>
      </w:pPr>
    </w:p>
    <w:p w14:paraId="41F7CAF2">
      <w:pPr>
        <w:jc w:val="both"/>
        <w:outlineLvl w:val="0"/>
        <w:rPr>
          <w:rFonts w:hint="eastAsia" w:ascii="Times New Roman" w:hAnsi="Times New Roman" w:eastAsia="宋体" w:cs="Times New Roman"/>
          <w:b/>
          <w:bCs/>
          <w:szCs w:val="21"/>
        </w:rPr>
      </w:pPr>
    </w:p>
    <w:p w14:paraId="48712838">
      <w:pPr>
        <w:jc w:val="both"/>
        <w:outlineLvl w:val="0"/>
        <w:rPr>
          <w:rFonts w:ascii="Times New Roman" w:hAnsi="Times New Roman" w:eastAsia="宋体" w:cs="Times New Roman"/>
          <w:b/>
          <w:bCs/>
          <w:szCs w:val="21"/>
        </w:rPr>
      </w:pPr>
      <w:r>
        <w:rPr>
          <w:rFonts w:hint="eastAsia" w:ascii="Times New Roman" w:hAnsi="Times New Roman" w:eastAsia="宋体" w:cs="Times New Roman"/>
          <w:b/>
          <w:bCs/>
          <w:szCs w:val="21"/>
        </w:rPr>
        <w:t>Table S1</w:t>
      </w:r>
      <w:r>
        <w:rPr>
          <w:rFonts w:hint="default" w:ascii="Times New Roman" w:hAnsi="Times New Roman" w:cs="Times New Roman" w:eastAsiaTheme="minorEastAsia"/>
          <w:b/>
          <w:bCs/>
          <w:highlight w:val="none"/>
          <w:lang w:val="en-US" w:eastAsia="zh-CN"/>
        </w:rPr>
        <w:t>.</w:t>
      </w:r>
      <w:r>
        <w:rPr>
          <w:rFonts w:hint="eastAsia" w:ascii="Times New Roman" w:hAnsi="Times New Roman" w:eastAsia="宋体" w:cs="Times New Roman"/>
          <w:b/>
          <w:bCs/>
          <w:szCs w:val="21"/>
        </w:rPr>
        <w:t xml:space="preserve"> Definitions of Cardiovascular-Kidney-Metabolic syndrome (CKMs) stages</w:t>
      </w:r>
      <w:r>
        <w:rPr>
          <w:rFonts w:hint="eastAsia" w:ascii="Times New Roman" w:hAnsi="Times New Roman" w:eastAsia="宋体" w:cs="Times New Roman"/>
          <w:b/>
          <w:bCs/>
          <w:szCs w:val="21"/>
          <w:lang w:val="en-US" w:eastAsia="zh-CN"/>
        </w:rPr>
        <w:t>.</w:t>
      </w:r>
      <w:r>
        <w:rPr>
          <w:rFonts w:hint="eastAsia" w:ascii="Times New Roman" w:hAnsi="Times New Roman" w:eastAsia="宋体" w:cs="Times New Roman"/>
          <w:b/>
          <w:bCs/>
          <w:szCs w:val="21"/>
        </w:rPr>
        <w:t xml:space="preserve"> </w:t>
      </w:r>
    </w:p>
    <w:p w14:paraId="3820BC98">
      <w:pPr>
        <w:spacing w:line="100" w:lineRule="exact"/>
        <w:jc w:val="center"/>
        <w:rPr>
          <w:rFonts w:ascii="Times New Roman" w:hAnsi="Times New Roman" w:eastAsia="宋体" w:cs="Times New Roman"/>
          <w:b/>
          <w:bCs/>
          <w:szCs w:val="21"/>
        </w:rPr>
      </w:pPr>
    </w:p>
    <w:tbl>
      <w:tblPr>
        <w:tblStyle w:val="3"/>
        <w:tblW w:w="48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
        <w:gridCol w:w="3544"/>
        <w:gridCol w:w="3765"/>
      </w:tblGrid>
      <w:tr w14:paraId="17C75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pct"/>
          </w:tcPr>
          <w:p w14:paraId="5AEFDB4C">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CKM</w:t>
            </w:r>
            <w:r>
              <w:rPr>
                <w:rFonts w:hint="eastAsia" w:ascii="Times New Roman" w:hAnsi="Times New Roman" w:cs="Times New Roman"/>
                <w:color w:val="000000" w:themeColor="text1"/>
                <w:szCs w:val="21"/>
                <w14:textFill>
                  <w14:solidFill>
                    <w14:schemeClr w14:val="tx1"/>
                  </w14:solidFill>
                </w14:textFill>
              </w:rPr>
              <w:t>s</w:t>
            </w:r>
            <w:r>
              <w:rPr>
                <w:rFonts w:ascii="Times New Roman" w:hAnsi="Times New Roman" w:cs="Times New Roman"/>
                <w:color w:val="000000" w:themeColor="text1"/>
                <w:szCs w:val="21"/>
                <w14:textFill>
                  <w14:solidFill>
                    <w14:schemeClr w14:val="tx1"/>
                  </w14:solidFill>
                </w14:textFill>
              </w:rPr>
              <w:t xml:space="preserve"> stages</w:t>
            </w:r>
          </w:p>
        </w:tc>
        <w:tc>
          <w:tcPr>
            <w:tcW w:w="2156" w:type="pct"/>
          </w:tcPr>
          <w:p w14:paraId="3EBCE8C6">
            <w:pPr>
              <w:jc w:val="left"/>
              <w:rPr>
                <w:rFonts w:hint="default" w:ascii="Times New Roman" w:hAnsi="Times New Roman" w:cs="Times New Roman" w:eastAsiaTheme="minorEastAsia"/>
                <w:color w:val="000000" w:themeColor="text1"/>
                <w:szCs w:val="21"/>
                <w:lang w:val="en-US" w:eastAsia="zh-CN"/>
                <w14:textFill>
                  <w14:solidFill>
                    <w14:schemeClr w14:val="tx1"/>
                  </w14:solidFill>
                </w14:textFill>
              </w:rPr>
            </w:pPr>
            <w:r>
              <w:rPr>
                <w:rFonts w:ascii="Times New Roman" w:hAnsi="Times New Roman" w:cs="Times New Roman"/>
                <w:szCs w:val="21"/>
              </w:rPr>
              <w:t>Definition according to the AHA statement</w:t>
            </w:r>
            <w:r>
              <w:rPr>
                <w:rFonts w:hint="eastAsia" w:ascii="Times New Roman" w:hAnsi="Times New Roman" w:cs="Times New Roman"/>
                <w:szCs w:val="21"/>
                <w:lang w:val="en-US" w:eastAsia="zh-CN"/>
              </w:rPr>
              <w:t>s</w:t>
            </w:r>
            <w:r>
              <w:rPr>
                <w:rFonts w:hint="eastAsia" w:ascii="Times New Roman" w:hAnsi="Times New Roman" w:cs="Times New Roman" w:eastAsiaTheme="minorEastAsia"/>
                <w:b w:val="0"/>
                <w:bCs w:val="0"/>
                <w:sz w:val="21"/>
                <w:szCs w:val="21"/>
                <w:vertAlign w:val="superscript"/>
                <w:lang w:val="en-US" w:eastAsia="zh-CN"/>
              </w:rPr>
              <w:t>[1]</w:t>
            </w:r>
          </w:p>
        </w:tc>
        <w:tc>
          <w:tcPr>
            <w:tcW w:w="2290" w:type="pct"/>
          </w:tcPr>
          <w:p w14:paraId="703AB890">
            <w:pPr>
              <w:jc w:val="left"/>
              <w:rPr>
                <w:rFonts w:hint="eastAsia" w:ascii="Times New Roman" w:hAnsi="Times New Roman" w:cs="Times New Roman" w:eastAsiaTheme="minorEastAsia"/>
                <w:color w:val="000000" w:themeColor="text1"/>
                <w:szCs w:val="21"/>
                <w:lang w:val="en-US" w:eastAsia="zh-CN"/>
                <w14:textFill>
                  <w14:solidFill>
                    <w14:schemeClr w14:val="tx1"/>
                  </w14:solidFill>
                </w14:textFill>
              </w:rPr>
            </w:pPr>
            <w:r>
              <w:rPr>
                <w:rFonts w:hint="eastAsia" w:ascii="Times New Roman" w:hAnsi="Times New Roman" w:cs="Times New Roman"/>
                <w:szCs w:val="21"/>
                <w:lang w:val="en-US" w:eastAsia="zh-CN"/>
              </w:rPr>
              <w:t>A</w:t>
            </w:r>
            <w:r>
              <w:rPr>
                <w:rFonts w:ascii="Times New Roman" w:hAnsi="Times New Roman" w:cs="Times New Roman"/>
                <w:szCs w:val="21"/>
              </w:rPr>
              <w:t>dapted definition</w:t>
            </w:r>
            <w:r>
              <w:rPr>
                <w:rFonts w:hint="eastAsia" w:ascii="Times New Roman" w:hAnsi="Times New Roman" w:cs="Times New Roman"/>
                <w:szCs w:val="21"/>
                <w:lang w:val="en-US" w:eastAsia="zh-CN"/>
              </w:rPr>
              <w:t>s</w:t>
            </w:r>
          </w:p>
        </w:tc>
      </w:tr>
      <w:tr w14:paraId="7D36F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pct"/>
          </w:tcPr>
          <w:p w14:paraId="550E7E91">
            <w:pPr>
              <w:jc w:val="left"/>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 xml:space="preserve">Stage 0: </w:t>
            </w:r>
          </w:p>
          <w:p w14:paraId="281A5EF0">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No CKM</w:t>
            </w:r>
            <w:r>
              <w:rPr>
                <w:rFonts w:hint="eastAsia" w:ascii="Times New Roman" w:hAnsi="Times New Roman" w:cs="Times New Roman"/>
                <w:color w:val="000000" w:themeColor="text1"/>
                <w:szCs w:val="21"/>
                <w14:textFill>
                  <w14:solidFill>
                    <w14:schemeClr w14:val="tx1"/>
                  </w14:solidFill>
                </w14:textFill>
              </w:rPr>
              <w:t>s</w:t>
            </w:r>
            <w:r>
              <w:rPr>
                <w:rFonts w:ascii="Times New Roman" w:hAnsi="Times New Roman" w:cs="Times New Roman"/>
                <w:color w:val="000000" w:themeColor="text1"/>
                <w:szCs w:val="21"/>
                <w14:textFill>
                  <w14:solidFill>
                    <w14:schemeClr w14:val="tx1"/>
                  </w14:solidFill>
                </w14:textFill>
              </w:rPr>
              <w:t xml:space="preserve"> risk factors</w:t>
            </w:r>
          </w:p>
        </w:tc>
        <w:tc>
          <w:tcPr>
            <w:tcW w:w="2156" w:type="pct"/>
          </w:tcPr>
          <w:p w14:paraId="16B8E3FF">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Normal BMI</w:t>
            </w:r>
            <w:r>
              <w:rPr>
                <w:rFonts w:hint="eastAsia" w:ascii="Times New Roman" w:hAnsi="Times New Roman" w:cs="Times New Roman"/>
                <w:color w:val="000000" w:themeColor="text1"/>
                <w:szCs w:val="21"/>
                <w14:textFill>
                  <w14:solidFill>
                    <w14:schemeClr w14:val="tx1"/>
                  </w14:solidFill>
                </w14:textFill>
              </w:rPr>
              <w:t xml:space="preserve"> (&lt; 23 kg/m)</w:t>
            </w:r>
            <w:r>
              <w:rPr>
                <w:rFonts w:ascii="Times New Roman" w:hAnsi="Times New Roman" w:cs="Times New Roman"/>
                <w:color w:val="000000" w:themeColor="text1"/>
                <w:szCs w:val="21"/>
                <w14:textFill>
                  <w14:solidFill>
                    <w14:schemeClr w14:val="tx1"/>
                  </w14:solidFill>
                </w14:textFill>
              </w:rPr>
              <w:t>, and</w:t>
            </w:r>
          </w:p>
          <w:p w14:paraId="4E0F7A10">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Normal waist circumference (</w:t>
            </w:r>
            <w:r>
              <w:rPr>
                <w:rFonts w:ascii="Times New Roman" w:hAnsi="Times New Roman" w:eastAsia="微软雅黑" w:cs="Times New Roman"/>
                <w:color w:val="000000" w:themeColor="text1"/>
                <w:szCs w:val="21"/>
                <w14:textFill>
                  <w14:solidFill>
                    <w14:schemeClr w14:val="tx1"/>
                  </w14:solidFill>
                </w14:textFill>
              </w:rPr>
              <w:t>&lt;</w:t>
            </w:r>
            <w:r>
              <w:rPr>
                <w:rFonts w:ascii="Times New Roman" w:hAnsi="Times New Roman" w:cs="Times New Roman"/>
                <w:color w:val="000000" w:themeColor="text1"/>
                <w:szCs w:val="21"/>
                <w14:textFill>
                  <w14:solidFill>
                    <w14:schemeClr w14:val="tx1"/>
                  </w14:solidFill>
                </w14:textFill>
              </w:rPr>
              <w:t>88/102 cm in women/men), and</w:t>
            </w:r>
          </w:p>
          <w:p w14:paraId="42CA9C24">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Normoglycemia</w:t>
            </w:r>
            <w:r>
              <w:rPr>
                <w:rFonts w:hint="eastAsia" w:ascii="Times New Roman" w:hAnsi="Times New Roman" w:cs="Times New Roman"/>
                <w:color w:val="000000" w:themeColor="text1"/>
                <w:szCs w:val="21"/>
                <w14:textFill>
                  <w14:solidFill>
                    <w14:schemeClr w14:val="tx1"/>
                  </w14:solidFill>
                </w14:textFill>
              </w:rPr>
              <w:t xml:space="preserve"> (f</w:t>
            </w:r>
            <w:r>
              <w:rPr>
                <w:rFonts w:ascii="Times New Roman" w:hAnsi="Times New Roman" w:cs="Times New Roman"/>
                <w:color w:val="000000" w:themeColor="text1"/>
                <w:szCs w:val="21"/>
                <w14:textFill>
                  <w14:solidFill>
                    <w14:schemeClr w14:val="tx1"/>
                  </w14:solidFill>
                </w14:textFill>
              </w:rPr>
              <w:t>asting blood glucose</w:t>
            </w:r>
            <w:r>
              <w:rPr>
                <w:rFonts w:ascii="Times New Roman" w:hAnsi="Times New Roman" w:eastAsia="微软雅黑" w:cs="Times New Roman"/>
                <w:color w:val="000000" w:themeColor="text1"/>
                <w:szCs w:val="21"/>
                <w14:textFill>
                  <w14:solidFill>
                    <w14:schemeClr w14:val="tx1"/>
                  </w14:solidFill>
                </w14:textFill>
              </w:rPr>
              <w:t>&lt;</w:t>
            </w:r>
            <w:r>
              <w:rPr>
                <w:rFonts w:ascii="Times New Roman" w:hAnsi="Times New Roman" w:cs="Times New Roman"/>
                <w:color w:val="000000" w:themeColor="text1"/>
                <w:szCs w:val="21"/>
                <w14:textFill>
                  <w14:solidFill>
                    <w14:schemeClr w14:val="tx1"/>
                  </w14:solidFill>
                </w14:textFill>
              </w:rPr>
              <w:t xml:space="preserve">100 mg/dL or </w:t>
            </w:r>
          </w:p>
          <w:p w14:paraId="71D4F33B">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glycated hemoglobin</w:t>
            </w:r>
            <w:r>
              <w:rPr>
                <w:rFonts w:hint="eastAsia" w:ascii="Times New Roman" w:hAnsi="Times New Roman" w:cs="Times New Roman"/>
                <w:color w:val="000000" w:themeColor="text1"/>
                <w:szCs w:val="21"/>
                <w14:textFill>
                  <w14:solidFill>
                    <w14:schemeClr w14:val="tx1"/>
                  </w14:solidFill>
                </w14:textFill>
              </w:rPr>
              <w:t xml:space="preserve"> A</w:t>
            </w:r>
            <w:r>
              <w:rPr>
                <w:rFonts w:hint="eastAsia" w:ascii="Times New Roman" w:hAnsi="Times New Roman" w:cs="Times New Roman"/>
                <w:color w:val="000000" w:themeColor="text1"/>
                <w:szCs w:val="21"/>
                <w:vertAlign w:val="subscript"/>
                <w14:textFill>
                  <w14:solidFill>
                    <w14:schemeClr w14:val="tx1"/>
                  </w14:solidFill>
                </w14:textFill>
              </w:rPr>
              <w:t>1c</w:t>
            </w:r>
            <w:r>
              <w:rPr>
                <w:rFonts w:ascii="Times New Roman" w:hAnsi="Times New Roman" w:eastAsia="微软雅黑" w:cs="Times New Roman"/>
                <w:color w:val="000000" w:themeColor="text1"/>
                <w:szCs w:val="21"/>
                <w14:textFill>
                  <w14:solidFill>
                    <w14:schemeClr w14:val="tx1"/>
                  </w14:solidFill>
                </w14:textFill>
              </w:rPr>
              <w:t>&lt;</w:t>
            </w:r>
            <w:r>
              <w:rPr>
                <w:rFonts w:ascii="Times New Roman" w:hAnsi="Times New Roman" w:cs="Times New Roman"/>
                <w:color w:val="000000" w:themeColor="text1"/>
                <w:szCs w:val="21"/>
                <w14:textFill>
                  <w14:solidFill>
                    <w14:schemeClr w14:val="tx1"/>
                  </w14:solidFill>
                </w14:textFill>
              </w:rPr>
              <w:t>5.7%</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 and</w:t>
            </w:r>
          </w:p>
          <w:p w14:paraId="11841CB1">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Normotension</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systolic blood pressure</w:t>
            </w:r>
            <w:r>
              <w:rPr>
                <w:rFonts w:ascii="Times New Roman" w:hAnsi="Times New Roman" w:eastAsia="微软雅黑" w:cs="Times New Roman"/>
                <w:color w:val="000000" w:themeColor="text1"/>
                <w:szCs w:val="21"/>
                <w14:textFill>
                  <w14:solidFill>
                    <w14:schemeClr w14:val="tx1"/>
                  </w14:solidFill>
                </w14:textFill>
              </w:rPr>
              <w:t>&lt;</w:t>
            </w:r>
            <w:r>
              <w:rPr>
                <w:rFonts w:ascii="Times New Roman" w:hAnsi="Times New Roman" w:cs="Times New Roman"/>
                <w:color w:val="000000" w:themeColor="text1"/>
                <w:szCs w:val="21"/>
                <w14:textFill>
                  <w14:solidFill>
                    <w14:schemeClr w14:val="tx1"/>
                  </w14:solidFill>
                </w14:textFill>
              </w:rPr>
              <w:t>130 mmHg or diastolic blood pressure</w:t>
            </w:r>
            <w:r>
              <w:rPr>
                <w:rFonts w:ascii="Times New Roman" w:hAnsi="Times New Roman" w:eastAsia="微软雅黑" w:cs="Times New Roman"/>
                <w:color w:val="000000" w:themeColor="text1"/>
                <w:szCs w:val="21"/>
                <w14:textFill>
                  <w14:solidFill>
                    <w14:schemeClr w14:val="tx1"/>
                  </w14:solidFill>
                </w14:textFill>
              </w:rPr>
              <w:t>&lt;</w:t>
            </w:r>
            <w:r>
              <w:rPr>
                <w:rFonts w:ascii="Times New Roman" w:hAnsi="Times New Roman" w:cs="Times New Roman"/>
                <w:color w:val="000000" w:themeColor="text1"/>
                <w:szCs w:val="21"/>
                <w14:textFill>
                  <w14:solidFill>
                    <w14:schemeClr w14:val="tx1"/>
                  </w14:solidFill>
                </w14:textFill>
              </w:rPr>
              <w:t>80 mmHg</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 xml:space="preserve">, and </w:t>
            </w:r>
          </w:p>
          <w:p w14:paraId="144D6854">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Normal lipid profile, and</w:t>
            </w:r>
          </w:p>
          <w:p w14:paraId="78A81091">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No evidence of CKD or subclinical or clinical CVD</w:t>
            </w:r>
          </w:p>
        </w:tc>
        <w:tc>
          <w:tcPr>
            <w:tcW w:w="2290" w:type="pct"/>
          </w:tcPr>
          <w:p w14:paraId="62907167">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Normal BMI</w:t>
            </w:r>
            <w:r>
              <w:rPr>
                <w:rFonts w:hint="eastAsia" w:ascii="Times New Roman" w:hAnsi="Times New Roman" w:cs="Times New Roman"/>
                <w:color w:val="000000" w:themeColor="text1"/>
                <w:szCs w:val="21"/>
                <w14:textFill>
                  <w14:solidFill>
                    <w14:schemeClr w14:val="tx1"/>
                  </w14:solidFill>
                </w14:textFill>
              </w:rPr>
              <w:t xml:space="preserve"> (&lt; 24 kg/m</w:t>
            </w:r>
            <w:r>
              <w:rPr>
                <w:rFonts w:hint="eastAsia" w:ascii="Times New Roman" w:hAnsi="Times New Roman" w:cs="Times New Roman"/>
                <w:color w:val="000000" w:themeColor="text1"/>
                <w:szCs w:val="21"/>
                <w:vertAlign w:val="superscript"/>
                <w14:textFill>
                  <w14:solidFill>
                    <w14:schemeClr w14:val="tx1"/>
                  </w14:solidFill>
                </w14:textFill>
              </w:rPr>
              <w:t>2</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 and</w:t>
            </w:r>
          </w:p>
          <w:p w14:paraId="5A5B5774">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Normal waist circumference (</w:t>
            </w:r>
            <w:r>
              <w:rPr>
                <w:rFonts w:hint="eastAsia" w:ascii="Times New Roman" w:hAnsi="Times New Roman" w:cs="Times New Roman"/>
                <w:color w:val="000000" w:themeColor="text1"/>
                <w:szCs w:val="21"/>
                <w14:textFill>
                  <w14:solidFill>
                    <w14:schemeClr w14:val="tx1"/>
                  </w14:solidFill>
                </w14:textFill>
              </w:rPr>
              <w:t xml:space="preserve">WC </w:t>
            </w:r>
            <w:r>
              <w:rPr>
                <w:rFonts w:ascii="Times New Roman" w:hAnsi="Times New Roman" w:eastAsia="微软雅黑" w:cs="Times New Roman"/>
                <w:color w:val="000000" w:themeColor="text1"/>
                <w:szCs w:val="21"/>
                <w14:textFill>
                  <w14:solidFill>
                    <w14:schemeClr w14:val="tx1"/>
                  </w14:solidFill>
                </w14:textFill>
              </w:rPr>
              <w:t>&lt;</w:t>
            </w:r>
            <w:r>
              <w:rPr>
                <w:rFonts w:hint="eastAsia" w:ascii="Times New Roman" w:hAnsi="Times New Roman" w:eastAsia="微软雅黑" w:cs="Times New Roman"/>
                <w:color w:val="000000" w:themeColor="text1"/>
                <w:szCs w:val="21"/>
                <w14:textFill>
                  <w14:solidFill>
                    <w14:schemeClr w14:val="tx1"/>
                  </w14:solidFill>
                </w14:textFill>
              </w:rPr>
              <w:t xml:space="preserve"> 85</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90</w:t>
            </w:r>
            <w:r>
              <w:rPr>
                <w:rFonts w:ascii="Times New Roman" w:hAnsi="Times New Roman" w:cs="Times New Roman"/>
                <w:color w:val="000000" w:themeColor="text1"/>
                <w:szCs w:val="21"/>
                <w14:textFill>
                  <w14:solidFill>
                    <w14:schemeClr w14:val="tx1"/>
                  </w14:solidFill>
                </w14:textFill>
              </w:rPr>
              <w:t xml:space="preserve"> cm in women/men</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 xml:space="preserve">, and </w:t>
            </w:r>
            <w:r>
              <w:rPr>
                <w:rFonts w:hint="eastAsia" w:ascii="Times New Roman" w:hAnsi="Times New Roman" w:cs="Times New Roman"/>
                <w:color w:val="000000" w:themeColor="text1"/>
                <w:szCs w:val="21"/>
                <w14:textFill>
                  <w14:solidFill>
                    <w14:schemeClr w14:val="tx1"/>
                  </w14:solidFill>
                </w14:textFill>
              </w:rPr>
              <w:t>p</w:t>
            </w:r>
            <w:r>
              <w:rPr>
                <w:rFonts w:ascii="Times New Roman" w:hAnsi="Times New Roman" w:cs="Times New Roman"/>
                <w:color w:val="000000" w:themeColor="text1"/>
                <w:szCs w:val="21"/>
                <w14:textFill>
                  <w14:solidFill>
                    <w14:schemeClr w14:val="tx1"/>
                  </w14:solidFill>
                </w14:textFill>
              </w:rPr>
              <w:t>articipants who di</w:t>
            </w:r>
            <w:r>
              <w:rPr>
                <w:rFonts w:hint="eastAsia" w:ascii="Times New Roman" w:hAnsi="Times New Roman" w:cs="Times New Roman"/>
                <w:color w:val="000000" w:themeColor="text1"/>
                <w:szCs w:val="21"/>
                <w14:textFill>
                  <w14:solidFill>
                    <w14:schemeClr w14:val="tx1"/>
                  </w14:solidFill>
                </w14:textFill>
              </w:rPr>
              <w:t>d</w:t>
            </w:r>
            <w:r>
              <w:rPr>
                <w:rFonts w:ascii="Times New Roman" w:hAnsi="Times New Roman" w:cs="Times New Roman"/>
                <w:color w:val="000000" w:themeColor="text1"/>
                <w:szCs w:val="21"/>
                <w14:textFill>
                  <w14:solidFill>
                    <w14:schemeClr w14:val="tx1"/>
                  </w14:solidFill>
                </w14:textFill>
              </w:rPr>
              <w:t xml:space="preserve">n’t </w:t>
            </w:r>
            <w:r>
              <w:rPr>
                <w:rFonts w:hint="eastAsia" w:ascii="Times New Roman" w:hAnsi="Times New Roman" w:cs="Times New Roman"/>
                <w:color w:val="000000" w:themeColor="text1"/>
                <w:szCs w:val="21"/>
                <w14:textFill>
                  <w14:solidFill>
                    <w14:schemeClr w14:val="tx1"/>
                  </w14:solidFill>
                </w14:textFill>
              </w:rPr>
              <w:t>have other metabolic risk factors and didn</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 xml:space="preserve">t </w:t>
            </w:r>
            <w:r>
              <w:rPr>
                <w:rFonts w:ascii="Times New Roman" w:hAnsi="Times New Roman" w:cs="Times New Roman"/>
                <w:color w:val="000000" w:themeColor="text1"/>
                <w:szCs w:val="21"/>
                <w14:textFill>
                  <w14:solidFill>
                    <w14:schemeClr w14:val="tx1"/>
                  </w14:solidFill>
                </w14:textFill>
              </w:rPr>
              <w:t>meet criteria for the other stages</w:t>
            </w:r>
          </w:p>
        </w:tc>
      </w:tr>
      <w:tr w14:paraId="62727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pct"/>
          </w:tcPr>
          <w:p w14:paraId="3FDE9EF2">
            <w:pPr>
              <w:jc w:val="left"/>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 xml:space="preserve">Stage 1: </w:t>
            </w:r>
          </w:p>
          <w:p w14:paraId="5A847E35">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Excess or dysfunctional adiposity</w:t>
            </w:r>
          </w:p>
        </w:tc>
        <w:tc>
          <w:tcPr>
            <w:tcW w:w="2156" w:type="pct"/>
          </w:tcPr>
          <w:p w14:paraId="27EA9E5B">
            <w:pPr>
              <w:jc w:val="left"/>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O</w:t>
            </w:r>
            <w:r>
              <w:rPr>
                <w:rFonts w:ascii="Times New Roman" w:hAnsi="Times New Roman" w:cs="Times New Roman"/>
                <w:color w:val="000000" w:themeColor="text1"/>
                <w:szCs w:val="21"/>
                <w14:textFill>
                  <w14:solidFill>
                    <w14:schemeClr w14:val="tx1"/>
                  </w14:solidFill>
                </w14:textFill>
              </w:rPr>
              <w:t>verweight/obesity</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BMI≥25 kg/m</w:t>
            </w:r>
            <w:r>
              <w:rPr>
                <w:rFonts w:ascii="Times New Roman" w:hAnsi="Times New Roman" w:cs="Times New Roman"/>
                <w:color w:val="000000" w:themeColor="text1"/>
                <w:szCs w:val="21"/>
                <w:vertAlign w:val="superscript"/>
                <w14:textFill>
                  <w14:solidFill>
                    <w14:schemeClr w14:val="tx1"/>
                  </w14:solidFill>
                </w14:textFill>
              </w:rPr>
              <w:t>2</w:t>
            </w:r>
            <w:r>
              <w:rPr>
                <w:rFonts w:hint="eastAsia" w:ascii="Times New Roman" w:hAnsi="Times New Roman" w:cs="Times New Roman"/>
                <w:color w:val="000000" w:themeColor="text1"/>
                <w:szCs w:val="21"/>
                <w14:textFill>
                  <w14:solidFill>
                    <w14:schemeClr w14:val="tx1"/>
                  </w14:solidFill>
                </w14:textFill>
              </w:rPr>
              <w:t xml:space="preserve">, or </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23 kg/m</w:t>
            </w:r>
            <w:r>
              <w:rPr>
                <w:rFonts w:hint="eastAsia" w:ascii="Times New Roman" w:hAnsi="Times New Roman" w:cs="Times New Roman"/>
                <w:color w:val="000000" w:themeColor="text1"/>
                <w:szCs w:val="21"/>
                <w:vertAlign w:val="superscript"/>
                <w14:textFill>
                  <w14:solidFill>
                    <w14:schemeClr w14:val="tx1"/>
                  </w14:solidFill>
                </w14:textFill>
              </w:rPr>
              <w:t>2</w:t>
            </w:r>
            <w:r>
              <w:rPr>
                <w:rFonts w:hint="eastAsia" w:ascii="Times New Roman" w:hAnsi="Times New Roman" w:cs="Times New Roman"/>
                <w:color w:val="000000" w:themeColor="text1"/>
                <w:szCs w:val="21"/>
                <w14:textFill>
                  <w14:solidFill>
                    <w14:schemeClr w14:val="tx1"/>
                  </w14:solidFill>
                </w14:textFill>
              </w:rPr>
              <w:t xml:space="preserve"> if Asian ancestry)</w:t>
            </w:r>
            <w:r>
              <w:rPr>
                <w:rFonts w:ascii="Times New Roman" w:hAnsi="Times New Roman" w:cs="Times New Roman"/>
                <w:color w:val="000000" w:themeColor="text1"/>
                <w:szCs w:val="21"/>
                <w14:textFill>
                  <w14:solidFill>
                    <w14:schemeClr w14:val="tx1"/>
                  </w14:solidFill>
                </w14:textFill>
              </w:rPr>
              <w:t xml:space="preserve">, </w:t>
            </w:r>
            <w:r>
              <w:rPr>
                <w:rFonts w:hint="eastAsia" w:ascii="Times New Roman" w:hAnsi="Times New Roman" w:cs="Times New Roman"/>
                <w:color w:val="000000" w:themeColor="text1"/>
                <w:szCs w:val="21"/>
                <w14:textFill>
                  <w14:solidFill>
                    <w14:schemeClr w14:val="tx1"/>
                  </w14:solidFill>
                </w14:textFill>
              </w:rPr>
              <w:t>or</w:t>
            </w:r>
          </w:p>
          <w:p w14:paraId="6EC9E07F">
            <w:pPr>
              <w:jc w:val="left"/>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A</w:t>
            </w:r>
            <w:r>
              <w:rPr>
                <w:rFonts w:ascii="Times New Roman" w:hAnsi="Times New Roman" w:cs="Times New Roman"/>
                <w:color w:val="000000" w:themeColor="text1"/>
                <w:szCs w:val="21"/>
                <w14:textFill>
                  <w14:solidFill>
                    <w14:schemeClr w14:val="tx1"/>
                  </w14:solidFill>
                </w14:textFill>
              </w:rPr>
              <w:t>bdominal obesity</w:t>
            </w:r>
            <w:r>
              <w:rPr>
                <w:rFonts w:hint="eastAsia" w:ascii="Times New Roman" w:hAnsi="Times New Roman" w:cs="Times New Roman"/>
                <w:color w:val="000000" w:themeColor="text1"/>
                <w:szCs w:val="21"/>
                <w14:textFill>
                  <w14:solidFill>
                    <w14:schemeClr w14:val="tx1"/>
                  </w14:solidFill>
                </w14:textFill>
              </w:rPr>
              <w:t xml:space="preserve"> (w</w:t>
            </w:r>
            <w:r>
              <w:rPr>
                <w:rFonts w:ascii="Times New Roman" w:hAnsi="Times New Roman" w:cs="Times New Roman"/>
                <w:color w:val="000000" w:themeColor="text1"/>
                <w:szCs w:val="21"/>
                <w14:textFill>
                  <w14:solidFill>
                    <w14:schemeClr w14:val="tx1"/>
                  </w14:solidFill>
                </w14:textFill>
              </w:rPr>
              <w:t>aist circumference≥88/102 cm in women/men</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or if Asian ancestry≥80/90 cm in women/men</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 xml:space="preserve">, or </w:t>
            </w:r>
          </w:p>
          <w:p w14:paraId="51B6675D">
            <w:pPr>
              <w:jc w:val="left"/>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D</w:t>
            </w:r>
            <w:r>
              <w:rPr>
                <w:rFonts w:ascii="Times New Roman" w:hAnsi="Times New Roman" w:cs="Times New Roman"/>
                <w:color w:val="000000" w:themeColor="text1"/>
                <w:szCs w:val="21"/>
                <w14:textFill>
                  <w14:solidFill>
                    <w14:schemeClr w14:val="tx1"/>
                  </w14:solidFill>
                </w14:textFill>
              </w:rPr>
              <w:t>ysfunctional adipose tissue</w:t>
            </w:r>
            <w:r>
              <w:rPr>
                <w:rFonts w:hint="eastAsia" w:ascii="Times New Roman" w:hAnsi="Times New Roman" w:cs="Times New Roman"/>
                <w:color w:val="000000" w:themeColor="text1"/>
                <w:szCs w:val="21"/>
                <w14:textFill>
                  <w14:solidFill>
                    <w14:schemeClr w14:val="tx1"/>
                  </w14:solidFill>
                </w14:textFill>
              </w:rPr>
              <w:t>, or</w:t>
            </w:r>
          </w:p>
          <w:p w14:paraId="5DA8451B">
            <w:pPr>
              <w:jc w:val="left"/>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W</w:t>
            </w:r>
            <w:r>
              <w:rPr>
                <w:rFonts w:ascii="Times New Roman" w:hAnsi="Times New Roman" w:cs="Times New Roman"/>
                <w:color w:val="000000" w:themeColor="text1"/>
                <w:szCs w:val="21"/>
                <w14:textFill>
                  <w14:solidFill>
                    <w14:schemeClr w14:val="tx1"/>
                  </w14:solidFill>
                </w14:textFill>
              </w:rPr>
              <w:t>ithout the presence of other metabolic risk factors</w:t>
            </w:r>
            <w:r>
              <w:rPr>
                <w:rFonts w:hint="eastAsia" w:ascii="Times New Roman" w:hAnsi="Times New Roman" w:cs="Times New Roman"/>
                <w:color w:val="000000" w:themeColor="text1"/>
                <w:szCs w:val="21"/>
                <w14:textFill>
                  <w14:solidFill>
                    <w14:schemeClr w14:val="tx1"/>
                  </w14:solidFill>
                </w14:textFill>
              </w:rPr>
              <w:t xml:space="preserve"> (f</w:t>
            </w:r>
            <w:r>
              <w:rPr>
                <w:rFonts w:ascii="Times New Roman" w:hAnsi="Times New Roman" w:cs="Times New Roman"/>
                <w:color w:val="000000" w:themeColor="text1"/>
                <w:szCs w:val="21"/>
                <w14:textFill>
                  <w14:solidFill>
                    <w14:schemeClr w14:val="tx1"/>
                  </w14:solidFill>
                </w14:textFill>
              </w:rPr>
              <w:t>asting blood glucose</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100</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12</w:t>
            </w:r>
            <w:r>
              <w:rPr>
                <w:rFonts w:hint="eastAsia" w:ascii="Times New Roman" w:hAnsi="Times New Roman" w:cs="Times New Roman"/>
                <w:color w:val="000000" w:themeColor="text1"/>
                <w:szCs w:val="21"/>
                <w14:textFill>
                  <w14:solidFill>
                    <w14:schemeClr w14:val="tx1"/>
                  </w14:solidFill>
                </w14:textFill>
              </w:rPr>
              <w:t>5</w:t>
            </w:r>
            <w:r>
              <w:rPr>
                <w:rFonts w:ascii="Times New Roman" w:hAnsi="Times New Roman" w:cs="Times New Roman"/>
                <w:color w:val="000000" w:themeColor="text1"/>
                <w:szCs w:val="21"/>
                <w14:textFill>
                  <w14:solidFill>
                    <w14:schemeClr w14:val="tx1"/>
                  </w14:solidFill>
                </w14:textFill>
              </w:rPr>
              <w:t xml:space="preserve"> mg/dL or </w:t>
            </w:r>
          </w:p>
          <w:p w14:paraId="1B701359">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glycated hemoglobin</w:t>
            </w:r>
            <w:r>
              <w:rPr>
                <w:rFonts w:hint="eastAsia" w:ascii="Times New Roman" w:hAnsi="Times New Roman" w:cs="Times New Roman"/>
                <w:color w:val="000000" w:themeColor="text1"/>
                <w:szCs w:val="21"/>
                <w14:textFill>
                  <w14:solidFill>
                    <w14:schemeClr w14:val="tx1"/>
                  </w14:solidFill>
                </w14:textFill>
              </w:rPr>
              <w:t xml:space="preserve"> A</w:t>
            </w:r>
            <w:r>
              <w:rPr>
                <w:rFonts w:hint="eastAsia" w:ascii="Times New Roman" w:hAnsi="Times New Roman" w:cs="Times New Roman"/>
                <w:color w:val="000000" w:themeColor="text1"/>
                <w:szCs w:val="21"/>
                <w:vertAlign w:val="subscript"/>
                <w14:textFill>
                  <w14:solidFill>
                    <w14:schemeClr w14:val="tx1"/>
                  </w14:solidFill>
                </w14:textFill>
              </w:rPr>
              <w:t>1c</w:t>
            </w:r>
            <w:r>
              <w:rPr>
                <w:rFonts w:ascii="Times New Roman" w:hAnsi="Times New Roman" w:cs="Times New Roman"/>
                <w:color w:val="000000" w:themeColor="text1"/>
                <w:szCs w:val="21"/>
                <w14:textFill>
                  <w14:solidFill>
                    <w14:schemeClr w14:val="tx1"/>
                  </w14:solidFill>
                </w14:textFill>
              </w:rPr>
              <w:t xml:space="preserve"> 5.7%</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6.4%</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 xml:space="preserve"> </w:t>
            </w:r>
            <w:r>
              <w:rPr>
                <w:rFonts w:hint="eastAsia" w:ascii="Times New Roman" w:hAnsi="Times New Roman" w:cs="Times New Roman"/>
                <w:color w:val="000000" w:themeColor="text1"/>
                <w:szCs w:val="21"/>
                <w14:textFill>
                  <w14:solidFill>
                    <w14:schemeClr w14:val="tx1"/>
                  </w14:solidFill>
                </w14:textFill>
              </w:rPr>
              <w:t>or</w:t>
            </w:r>
          </w:p>
          <w:p w14:paraId="35A2FE72">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CKD</w:t>
            </w:r>
            <w:r>
              <w:rPr>
                <w:rFonts w:hint="eastAsia" w:ascii="Times New Roman" w:hAnsi="Times New Roman" w:cs="Times New Roman"/>
                <w:color w:val="000000" w:themeColor="text1"/>
                <w:szCs w:val="21"/>
                <w14:textFill>
                  <w14:solidFill>
                    <w14:schemeClr w14:val="tx1"/>
                  </w14:solidFill>
                </w14:textFill>
              </w:rPr>
              <w:t xml:space="preserve"> </w:t>
            </w:r>
          </w:p>
        </w:tc>
        <w:tc>
          <w:tcPr>
            <w:tcW w:w="2290" w:type="pct"/>
          </w:tcPr>
          <w:p w14:paraId="49082F55">
            <w:pPr>
              <w:jc w:val="left"/>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E</w:t>
            </w:r>
            <w:r>
              <w:rPr>
                <w:rFonts w:ascii="Times New Roman" w:hAnsi="Times New Roman" w:cs="Times New Roman"/>
                <w:color w:val="000000" w:themeColor="text1"/>
                <w:szCs w:val="21"/>
                <w14:textFill>
                  <w14:solidFill>
                    <w14:schemeClr w14:val="tx1"/>
                  </w14:solidFill>
                </w14:textFill>
              </w:rPr>
              <w:t>levated BMI</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BMI≥</w:t>
            </w:r>
            <w:r>
              <w:rPr>
                <w:rFonts w:hint="eastAsia" w:ascii="Times New Roman" w:hAnsi="Times New Roman" w:cs="Times New Roman"/>
                <w:color w:val="000000" w:themeColor="text1"/>
                <w:szCs w:val="21"/>
                <w14:textFill>
                  <w14:solidFill>
                    <w14:schemeClr w14:val="tx1"/>
                  </w14:solidFill>
                </w14:textFill>
              </w:rPr>
              <w:t>24</w:t>
            </w:r>
            <w:r>
              <w:rPr>
                <w:rFonts w:ascii="Times New Roman" w:hAnsi="Times New Roman" w:cs="Times New Roman"/>
                <w:color w:val="000000" w:themeColor="text1"/>
                <w:szCs w:val="21"/>
                <w14:textFill>
                  <w14:solidFill>
                    <w14:schemeClr w14:val="tx1"/>
                  </w14:solidFill>
                </w14:textFill>
              </w:rPr>
              <w:t xml:space="preserve"> kg/m</w:t>
            </w:r>
            <w:r>
              <w:rPr>
                <w:rFonts w:ascii="Times New Roman" w:hAnsi="Times New Roman" w:cs="Times New Roman"/>
                <w:color w:val="000000" w:themeColor="text1"/>
                <w:szCs w:val="21"/>
                <w:vertAlign w:val="superscript"/>
                <w14:textFill>
                  <w14:solidFill>
                    <w14:schemeClr w14:val="tx1"/>
                  </w14:solidFill>
                </w14:textFill>
              </w:rPr>
              <w:t>2</w:t>
            </w:r>
            <w:r>
              <w:rPr>
                <w:rFonts w:hint="eastAsia" w:ascii="Times New Roman" w:hAnsi="Times New Roman" w:cs="Times New Roman"/>
                <w:color w:val="000000" w:themeColor="text1"/>
                <w:szCs w:val="21"/>
                <w14:textFill>
                  <w14:solidFill>
                    <w14:schemeClr w14:val="tx1"/>
                  </w14:solidFill>
                </w14:textFill>
              </w:rPr>
              <w:t>), or</w:t>
            </w:r>
          </w:p>
          <w:p w14:paraId="5A0CBA80">
            <w:pPr>
              <w:jc w:val="left"/>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E</w:t>
            </w:r>
            <w:r>
              <w:rPr>
                <w:rFonts w:ascii="Times New Roman" w:hAnsi="Times New Roman" w:cs="Times New Roman"/>
                <w:color w:val="000000" w:themeColor="text1"/>
                <w:szCs w:val="21"/>
                <w14:textFill>
                  <w14:solidFill>
                    <w14:schemeClr w14:val="tx1"/>
                  </w14:solidFill>
                </w14:textFill>
              </w:rPr>
              <w:t>levated waist circumference</w:t>
            </w:r>
            <w:r>
              <w:rPr>
                <w:rFonts w:hint="eastAsia" w:ascii="Times New Roman" w:hAnsi="Times New Roman" w:cs="Times New Roman"/>
                <w:color w:val="000000" w:themeColor="text1"/>
                <w:szCs w:val="21"/>
                <w14:textFill>
                  <w14:solidFill>
                    <w14:schemeClr w14:val="tx1"/>
                  </w14:solidFill>
                </w14:textFill>
              </w:rPr>
              <w:t xml:space="preserve"> (WC </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 xml:space="preserve"> </w:t>
            </w:r>
            <w:r>
              <w:rPr>
                <w:rFonts w:hint="eastAsia" w:ascii="Times New Roman" w:hAnsi="Times New Roman" w:eastAsia="微软雅黑" w:cs="Times New Roman"/>
                <w:color w:val="000000" w:themeColor="text1"/>
                <w:szCs w:val="21"/>
                <w14:textFill>
                  <w14:solidFill>
                    <w14:schemeClr w14:val="tx1"/>
                  </w14:solidFill>
                </w14:textFill>
              </w:rPr>
              <w:t>85</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90</w:t>
            </w:r>
            <w:r>
              <w:rPr>
                <w:rFonts w:ascii="Times New Roman" w:hAnsi="Times New Roman" w:cs="Times New Roman"/>
                <w:color w:val="000000" w:themeColor="text1"/>
                <w:szCs w:val="21"/>
                <w14:textFill>
                  <w14:solidFill>
                    <w14:schemeClr w14:val="tx1"/>
                  </w14:solidFill>
                </w14:textFill>
              </w:rPr>
              <w:t xml:space="preserve"> cm in women/men</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 xml:space="preserve">, or </w:t>
            </w:r>
          </w:p>
          <w:p w14:paraId="355BAC8C">
            <w:pPr>
              <w:jc w:val="left"/>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P</w:t>
            </w:r>
            <w:r>
              <w:rPr>
                <w:rFonts w:ascii="Times New Roman" w:hAnsi="Times New Roman" w:cs="Times New Roman"/>
                <w:color w:val="000000" w:themeColor="text1"/>
                <w:szCs w:val="21"/>
                <w14:textFill>
                  <w14:solidFill>
                    <w14:schemeClr w14:val="tx1"/>
                  </w14:solidFill>
                </w14:textFill>
              </w:rPr>
              <w:t xml:space="preserve">rediabetes (defined as a fasting </w:t>
            </w:r>
            <w:r>
              <w:rPr>
                <w:rFonts w:hint="eastAsia" w:ascii="Times New Roman" w:hAnsi="Times New Roman" w:cs="Times New Roman"/>
                <w:color w:val="000000" w:themeColor="text1"/>
                <w:szCs w:val="21"/>
                <w14:textFill>
                  <w14:solidFill>
                    <w14:schemeClr w14:val="tx1"/>
                  </w14:solidFill>
                </w14:textFill>
              </w:rPr>
              <w:t>plasma</w:t>
            </w:r>
            <w:r>
              <w:rPr>
                <w:rFonts w:ascii="Times New Roman" w:hAnsi="Times New Roman" w:cs="Times New Roman"/>
                <w:color w:val="000000" w:themeColor="text1"/>
                <w:szCs w:val="21"/>
                <w14:textFill>
                  <w14:solidFill>
                    <w14:schemeClr w14:val="tx1"/>
                  </w14:solidFill>
                </w14:textFill>
              </w:rPr>
              <w:t xml:space="preserve"> glucose</w:t>
            </w:r>
            <w:r>
              <w:rPr>
                <w:rFonts w:hint="eastAsia" w:ascii="Times New Roman" w:hAnsi="Times New Roman" w:cs="Times New Roman"/>
                <w:color w:val="000000" w:themeColor="text1"/>
                <w:szCs w:val="21"/>
                <w14:textFill>
                  <w14:solidFill>
                    <w14:schemeClr w14:val="tx1"/>
                  </w14:solidFill>
                </w14:textFill>
              </w:rPr>
              <w:t xml:space="preserve"> (FPG)</w:t>
            </w:r>
            <w:r>
              <w:rPr>
                <w:rFonts w:ascii="Times New Roman" w:hAnsi="Times New Roman" w:cs="Times New Roman"/>
                <w:color w:val="000000" w:themeColor="text1"/>
                <w:szCs w:val="21"/>
                <w14:textFill>
                  <w14:solidFill>
                    <w14:schemeClr w14:val="tx1"/>
                  </w14:solidFill>
                </w14:textFill>
              </w:rPr>
              <w:t xml:space="preserve"> of </w:t>
            </w:r>
            <w:r>
              <w:rPr>
                <w:rFonts w:hint="eastAsia" w:ascii="Times New Roman" w:hAnsi="Times New Roman" w:cs="Times New Roman"/>
                <w:color w:val="000000" w:themeColor="text1"/>
                <w:szCs w:val="21"/>
                <w14:textFill>
                  <w14:solidFill>
                    <w14:schemeClr w14:val="tx1"/>
                  </w14:solidFill>
                </w14:textFill>
              </w:rPr>
              <w:t>6.1mmol/L</w:t>
            </w:r>
            <w:r>
              <w:rPr>
                <w:rFonts w:ascii="Times New Roman" w:hAnsi="Times New Roman" w:cs="Times New Roman"/>
                <w:color w:val="000000" w:themeColor="text1"/>
                <w:szCs w:val="21"/>
                <w14:textFill>
                  <w14:solidFill>
                    <w14:schemeClr w14:val="tx1"/>
                  </w14:solidFill>
                </w14:textFill>
              </w:rPr>
              <w:t xml:space="preserve"> to &lt;</w:t>
            </w:r>
            <w:r>
              <w:rPr>
                <w:rFonts w:hint="eastAsia" w:ascii="Times New Roman" w:hAnsi="Times New Roman" w:cs="Times New Roman"/>
                <w:color w:val="000000" w:themeColor="text1"/>
                <w:szCs w:val="21"/>
                <w14:textFill>
                  <w14:solidFill>
                    <w14:schemeClr w14:val="tx1"/>
                  </w14:solidFill>
                </w14:textFill>
              </w:rPr>
              <w:t xml:space="preserve"> 7.0</w:t>
            </w:r>
            <w:r>
              <w:rPr>
                <w:rFonts w:ascii="Times New Roman" w:hAnsi="Times New Roman" w:cs="Times New Roman"/>
                <w:color w:val="000000" w:themeColor="text1"/>
                <w:szCs w:val="21"/>
                <w14:textFill>
                  <w14:solidFill>
                    <w14:schemeClr w14:val="tx1"/>
                  </w14:solidFill>
                </w14:textFill>
              </w:rPr>
              <w:t xml:space="preserve"> </w:t>
            </w:r>
            <w:r>
              <w:rPr>
                <w:rFonts w:hint="eastAsia" w:ascii="Times New Roman" w:hAnsi="Times New Roman" w:cs="Times New Roman"/>
                <w:color w:val="000000" w:themeColor="text1"/>
                <w:szCs w:val="21"/>
                <w14:textFill>
                  <w14:solidFill>
                    <w14:schemeClr w14:val="tx1"/>
                  </w14:solidFill>
                </w14:textFill>
              </w:rPr>
              <w:t>mmol/L</w:t>
            </w:r>
            <w:r>
              <w:rPr>
                <w:rFonts w:ascii="Times New Roman" w:hAnsi="Times New Roman" w:cs="Times New Roman"/>
                <w:color w:val="000000" w:themeColor="text1"/>
                <w:szCs w:val="21"/>
                <w14:textFill>
                  <w14:solidFill>
                    <w14:schemeClr w14:val="tx1"/>
                  </w14:solidFill>
                </w14:textFill>
              </w:rPr>
              <w:t>)</w:t>
            </w:r>
          </w:p>
          <w:p w14:paraId="18F74DDB">
            <w:pPr>
              <w:jc w:val="left"/>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G</w:t>
            </w:r>
            <w:r>
              <w:rPr>
                <w:rFonts w:ascii="Times New Roman" w:hAnsi="Times New Roman" w:cs="Times New Roman"/>
                <w:color w:val="000000" w:themeColor="text1"/>
                <w:szCs w:val="21"/>
                <w14:textFill>
                  <w14:solidFill>
                    <w14:schemeClr w14:val="tx1"/>
                  </w14:solidFill>
                </w14:textFill>
              </w:rPr>
              <w:t xml:space="preserve">lycated hemoglobin </w:t>
            </w:r>
            <w:r>
              <w:rPr>
                <w:rFonts w:hint="eastAsia" w:ascii="Times New Roman" w:hAnsi="Times New Roman" w:cs="Times New Roman"/>
                <w:color w:val="000000" w:themeColor="text1"/>
                <w:szCs w:val="21"/>
                <w14:textFill>
                  <w14:solidFill>
                    <w14:schemeClr w14:val="tx1"/>
                  </w14:solidFill>
                </w14:textFill>
              </w:rPr>
              <w:t>A1c (HbA1c) was not available</w:t>
            </w:r>
          </w:p>
        </w:tc>
      </w:tr>
      <w:tr w14:paraId="23806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pct"/>
          </w:tcPr>
          <w:p w14:paraId="5CB05892">
            <w:pPr>
              <w:jc w:val="left"/>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 xml:space="preserve">Stage 2: </w:t>
            </w:r>
          </w:p>
          <w:p w14:paraId="7442BF63">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Metabolic risk factors and CKD</w:t>
            </w:r>
          </w:p>
        </w:tc>
        <w:tc>
          <w:tcPr>
            <w:tcW w:w="2156" w:type="pct"/>
          </w:tcPr>
          <w:p w14:paraId="3FB53DD0">
            <w:pPr>
              <w:jc w:val="left"/>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M</w:t>
            </w:r>
            <w:r>
              <w:rPr>
                <w:rFonts w:ascii="Times New Roman" w:hAnsi="Times New Roman" w:cs="Times New Roman"/>
                <w:color w:val="000000" w:themeColor="text1"/>
                <w:szCs w:val="21"/>
                <w14:textFill>
                  <w14:solidFill>
                    <w14:schemeClr w14:val="tx1"/>
                  </w14:solidFill>
                </w14:textFill>
              </w:rPr>
              <w:t>etabolic risk factors (</w:t>
            </w:r>
            <w:r>
              <w:rPr>
                <w:rFonts w:ascii="Times New Roman" w:hAnsi="Times New Roman" w:cs="Times New Roman"/>
                <w:szCs w:val="21"/>
              </w:rPr>
              <w:t>fasting serum triglycerides</w:t>
            </w:r>
            <w:r>
              <w:rPr>
                <w:rFonts w:ascii="Times New Roman" w:hAnsi="Times New Roman" w:cs="Times New Roman"/>
                <w:color w:val="000000" w:themeColor="text1"/>
                <w:szCs w:val="21"/>
                <w14:textFill>
                  <w14:solidFill>
                    <w14:schemeClr w14:val="tx1"/>
                  </w14:solidFill>
                </w14:textFill>
              </w:rPr>
              <w:t xml:space="preserve"> ≥135 mg/dL, hypertension</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systolic blood pressure ≥130 mmHg or diastolic blood pressure ≥80 mmHg and/or use of antihypertensive medications, diabetes</w:t>
            </w:r>
            <w:r>
              <w:rPr>
                <w:rFonts w:hint="eastAsia" w:ascii="Times New Roman" w:hAnsi="Times New Roman" w:cs="Times New Roman"/>
                <w:color w:val="000000" w:themeColor="text1"/>
                <w:szCs w:val="21"/>
                <w14:textFill>
                  <w14:solidFill>
                    <w14:schemeClr w14:val="tx1"/>
                  </w14:solidFill>
                </w14:textFill>
              </w:rPr>
              <w:t>: f</w:t>
            </w:r>
            <w:r>
              <w:rPr>
                <w:rFonts w:ascii="Times New Roman" w:hAnsi="Times New Roman" w:cs="Times New Roman"/>
                <w:color w:val="000000" w:themeColor="text1"/>
                <w:szCs w:val="21"/>
                <w14:textFill>
                  <w14:solidFill>
                    <w14:schemeClr w14:val="tx1"/>
                  </w14:solidFill>
                </w14:textFill>
              </w:rPr>
              <w:t>asting blood glucose≥1</w:t>
            </w:r>
            <w:r>
              <w:rPr>
                <w:rFonts w:hint="eastAsia" w:ascii="Times New Roman" w:hAnsi="Times New Roman" w:cs="Times New Roman"/>
                <w:color w:val="000000" w:themeColor="text1"/>
                <w:szCs w:val="21"/>
                <w14:textFill>
                  <w14:solidFill>
                    <w14:schemeClr w14:val="tx1"/>
                  </w14:solidFill>
                </w14:textFill>
              </w:rPr>
              <w:t>26</w:t>
            </w:r>
            <w:r>
              <w:rPr>
                <w:rFonts w:ascii="Times New Roman" w:hAnsi="Times New Roman" w:cs="Times New Roman"/>
                <w:color w:val="000000" w:themeColor="text1"/>
                <w:szCs w:val="21"/>
                <w14:textFill>
                  <w14:solidFill>
                    <w14:schemeClr w14:val="tx1"/>
                  </w14:solidFill>
                </w14:textFill>
              </w:rPr>
              <w:t xml:space="preserve"> mg/dL or glycated hemoglobin</w:t>
            </w:r>
            <w:r>
              <w:rPr>
                <w:rFonts w:hint="eastAsia" w:ascii="Times New Roman" w:hAnsi="Times New Roman" w:cs="Times New Roman"/>
                <w:color w:val="000000" w:themeColor="text1"/>
                <w:szCs w:val="21"/>
                <w14:textFill>
                  <w14:solidFill>
                    <w14:schemeClr w14:val="tx1"/>
                  </w14:solidFill>
                </w14:textFill>
              </w:rPr>
              <w:t xml:space="preserve"> A</w:t>
            </w:r>
            <w:r>
              <w:rPr>
                <w:rFonts w:hint="eastAsia" w:ascii="Times New Roman" w:hAnsi="Times New Roman" w:cs="Times New Roman"/>
                <w:color w:val="000000" w:themeColor="text1"/>
                <w:szCs w:val="21"/>
                <w:vertAlign w:val="subscript"/>
                <w14:textFill>
                  <w14:solidFill>
                    <w14:schemeClr w14:val="tx1"/>
                  </w14:solidFill>
                </w14:textFill>
              </w:rPr>
              <w:t>1c</w:t>
            </w:r>
            <w:r>
              <w:rPr>
                <w:rFonts w:ascii="Times New Roman" w:hAnsi="Times New Roman" w:cs="Times New Roman"/>
                <w:color w:val="000000" w:themeColor="text1"/>
                <w:szCs w:val="21"/>
                <w14:textFill>
                  <w14:solidFill>
                    <w14:schemeClr w14:val="tx1"/>
                  </w14:solidFill>
                </w14:textFill>
              </w:rPr>
              <w:t>≥6.</w:t>
            </w:r>
            <w:r>
              <w:rPr>
                <w:rFonts w:hint="eastAsia" w:ascii="Times New Roman" w:hAnsi="Times New Roman" w:cs="Times New Roman"/>
                <w:color w:val="000000" w:themeColor="text1"/>
                <w:szCs w:val="21"/>
                <w14:textFill>
                  <w14:solidFill>
                    <w14:schemeClr w14:val="tx1"/>
                  </w14:solidFill>
                </w14:textFill>
              </w:rPr>
              <w:t>5</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 xml:space="preserve"> or use of </w:t>
            </w:r>
            <w:r>
              <w:rPr>
                <w:rFonts w:hint="eastAsia" w:ascii="Times New Roman" w:hAnsi="Times New Roman" w:cs="Times New Roman"/>
                <w:szCs w:val="21"/>
              </w:rPr>
              <w:t xml:space="preserve">anti-diabetes treatment, </w:t>
            </w:r>
            <w:r>
              <w:rPr>
                <w:rFonts w:ascii="Times New Roman" w:hAnsi="Times New Roman" w:cs="Times New Roman"/>
                <w:color w:val="000000" w:themeColor="text1"/>
                <w:szCs w:val="21"/>
                <w14:textFill>
                  <w14:solidFill>
                    <w14:schemeClr w14:val="tx1"/>
                  </w14:solidFill>
                </w14:textFill>
              </w:rPr>
              <w:t>MetS), or</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CKD</w:t>
            </w:r>
          </w:p>
          <w:p w14:paraId="2711305A">
            <w:pPr>
              <w:ind w:left="239" w:leftChars="114"/>
              <w:jc w:val="left"/>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MetS </w:t>
            </w:r>
            <w:r>
              <w:rPr>
                <w:rFonts w:ascii="Times New Roman" w:hAnsi="Times New Roman" w:cs="Times New Roman"/>
                <w:color w:val="000000" w:themeColor="text1"/>
                <w:szCs w:val="21"/>
                <w14:textFill>
                  <w14:solidFill>
                    <w14:schemeClr w14:val="tx1"/>
                  </w14:solidFill>
                </w14:textFill>
              </w:rPr>
              <w:t>is defined by the presence of 3 or more of the following: (1) waist circumference≥88 cm for women and ≥102 cm for men (≥80 cm for women and ≥90 cm for men if Asian ancestry); (2) HDL cholesterol&lt;40 mg/dL for men and &lt;50 mg/dL for women; (3) triglycerides≥150 mg/dL; (4) elevated blood pressure (systolic blood pressure≥130 mmHg or diastolic blood pressure≥80 mmHg and/or use of antihypertensive medications); and (5) fasting blood glucose≥100 mg/dL</w:t>
            </w:r>
          </w:p>
        </w:tc>
        <w:tc>
          <w:tcPr>
            <w:tcW w:w="2290" w:type="pct"/>
          </w:tcPr>
          <w:p w14:paraId="5978B3BA">
            <w:pPr>
              <w:spacing w:after="156" w:afterLines="50"/>
              <w:jc w:val="left"/>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M</w:t>
            </w:r>
            <w:r>
              <w:rPr>
                <w:rFonts w:ascii="Times New Roman" w:hAnsi="Times New Roman" w:cs="Times New Roman"/>
                <w:color w:val="000000" w:themeColor="text1"/>
                <w:szCs w:val="21"/>
                <w14:textFill>
                  <w14:solidFill>
                    <w14:schemeClr w14:val="tx1"/>
                  </w14:solidFill>
                </w14:textFill>
              </w:rPr>
              <w:t>etabolic risk factors</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 xml:space="preserve"> or </w:t>
            </w:r>
            <w:r>
              <w:rPr>
                <w:rFonts w:hint="eastAsia" w:ascii="Times New Roman" w:hAnsi="Times New Roman" w:cs="Times New Roman"/>
                <w:color w:val="000000" w:themeColor="text1"/>
                <w:szCs w:val="21"/>
                <w14:textFill>
                  <w14:solidFill>
                    <w14:schemeClr w14:val="tx1"/>
                  </w14:solidFill>
                </w14:textFill>
              </w:rPr>
              <w:t>m</w:t>
            </w:r>
            <w:r>
              <w:rPr>
                <w:rFonts w:ascii="Times New Roman" w:hAnsi="Times New Roman" w:cs="Times New Roman"/>
                <w:color w:val="000000" w:themeColor="text1"/>
                <w:szCs w:val="21"/>
                <w14:textFill>
                  <w14:solidFill>
                    <w14:schemeClr w14:val="tx1"/>
                  </w14:solidFill>
                </w14:textFill>
              </w:rPr>
              <w:t>oderate-to-high-risk CKD per Kidney Disease Improving Global Outcomes (KDIGO) criteria</w:t>
            </w:r>
            <w:r>
              <w:rPr>
                <w:rFonts w:hint="eastAsia" w:ascii="Times New Roman" w:hAnsi="Times New Roman" w:cs="Times New Roman"/>
                <w:color w:val="000000" w:themeColor="text1"/>
                <w:szCs w:val="21"/>
                <w:vertAlign w:val="superscript"/>
                <w:lang w:val="en-US" w:eastAsia="zh-CN"/>
                <w14:textFill>
                  <w14:solidFill>
                    <w14:schemeClr w14:val="tx1"/>
                  </w14:solidFill>
                </w14:textFill>
              </w:rPr>
              <w:t xml:space="preserve"> [2]</w:t>
            </w:r>
            <w:r>
              <w:rPr>
                <w:rFonts w:ascii="Times New Roman" w:hAnsi="Times New Roman" w:cs="Times New Roman"/>
                <w:color w:val="000000" w:themeColor="text1"/>
                <w:szCs w:val="21"/>
                <w14:textFill>
                  <w14:solidFill>
                    <w14:schemeClr w14:val="tx1"/>
                  </w14:solidFill>
                </w14:textFill>
              </w:rPr>
              <w:t>, as recommended by the AHA</w:t>
            </w:r>
          </w:p>
          <w:p w14:paraId="0693C7E8">
            <w:pPr>
              <w:ind w:left="239" w:leftChars="114"/>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Qualifying metabolic risk factors included</w:t>
            </w:r>
            <w:r>
              <w:rPr>
                <w:rFonts w:hint="eastAsia" w:ascii="Times New Roman" w:hAnsi="Times New Roman" w:cs="Times New Roman"/>
                <w:color w:val="000000" w:themeColor="text1"/>
                <w:szCs w:val="21"/>
                <w14:textFill>
                  <w14:solidFill>
                    <w14:schemeClr w14:val="tx1"/>
                  </w14:solidFill>
                </w14:textFill>
              </w:rPr>
              <w:t xml:space="preserve">: </w:t>
            </w:r>
          </w:p>
          <w:p w14:paraId="6E68C0E2">
            <w:pPr>
              <w:ind w:left="239" w:leftChars="114"/>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elevated fasting serum triglycerides (≥</w:t>
            </w:r>
            <w:r>
              <w:rPr>
                <w:rFonts w:hint="eastAsia" w:ascii="Times New Roman" w:hAnsi="Times New Roman" w:cs="Times New Roman"/>
                <w:color w:val="000000" w:themeColor="text1"/>
                <w:szCs w:val="21"/>
                <w14:textFill>
                  <w14:solidFill>
                    <w14:schemeClr w14:val="tx1"/>
                  </w14:solidFill>
                </w14:textFill>
              </w:rPr>
              <w:t>1.7</w:t>
            </w:r>
            <w:r>
              <w:rPr>
                <w:rFonts w:ascii="Times New Roman" w:hAnsi="Times New Roman" w:cs="Times New Roman"/>
                <w:color w:val="000000" w:themeColor="text1"/>
                <w:szCs w:val="21"/>
                <w14:textFill>
                  <w14:solidFill>
                    <w14:schemeClr w14:val="tx1"/>
                  </w14:solidFill>
                </w14:textFill>
              </w:rPr>
              <w:t xml:space="preserve"> m</w:t>
            </w:r>
            <w:r>
              <w:rPr>
                <w:rFonts w:hint="eastAsia" w:ascii="Times New Roman" w:hAnsi="Times New Roman" w:cs="Times New Roman"/>
                <w:color w:val="000000" w:themeColor="text1"/>
                <w:szCs w:val="21"/>
                <w14:textFill>
                  <w14:solidFill>
                    <w14:schemeClr w14:val="tx1"/>
                  </w14:solidFill>
                </w14:textFill>
              </w:rPr>
              <w:t>mol</w:t>
            </w:r>
            <w:r>
              <w:rPr>
                <w:rFonts w:ascii="Times New Roman" w:hAnsi="Times New Roman" w:cs="Times New Roman"/>
                <w:color w:val="000000" w:themeColor="text1"/>
                <w:szCs w:val="21"/>
                <w14:textFill>
                  <w14:solidFill>
                    <w14:schemeClr w14:val="tx1"/>
                  </w14:solidFill>
                </w14:textFill>
              </w:rPr>
              <w:t>/L), hypertension, diabetes</w:t>
            </w:r>
            <w:r>
              <w:rPr>
                <w:rFonts w:hint="eastAsia" w:ascii="Times New Roman" w:hAnsi="Times New Roman" w:cs="Times New Roman"/>
                <w:color w:val="000000" w:themeColor="text1"/>
                <w:szCs w:val="21"/>
                <w14:textFill>
                  <w14:solidFill>
                    <w14:schemeClr w14:val="tx1"/>
                  </w14:solidFill>
                </w14:textFill>
              </w:rPr>
              <w:t xml:space="preserve"> (FBG </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 xml:space="preserve"> 7.0</w:t>
            </w:r>
            <w:r>
              <w:rPr>
                <w:rFonts w:ascii="Times New Roman" w:hAnsi="Times New Roman" w:cs="Times New Roman"/>
                <w:color w:val="000000" w:themeColor="text1"/>
                <w:szCs w:val="21"/>
                <w14:textFill>
                  <w14:solidFill>
                    <w14:schemeClr w14:val="tx1"/>
                  </w14:solidFill>
                </w14:textFill>
              </w:rPr>
              <w:t xml:space="preserve"> m</w:t>
            </w:r>
            <w:r>
              <w:rPr>
                <w:rFonts w:hint="eastAsia" w:ascii="Times New Roman" w:hAnsi="Times New Roman" w:cs="Times New Roman"/>
                <w:color w:val="000000" w:themeColor="text1"/>
                <w:szCs w:val="21"/>
                <w14:textFill>
                  <w14:solidFill>
                    <w14:schemeClr w14:val="tx1"/>
                  </w14:solidFill>
                </w14:textFill>
              </w:rPr>
              <w:t>mol</w:t>
            </w:r>
            <w:r>
              <w:rPr>
                <w:rFonts w:ascii="Times New Roman" w:hAnsi="Times New Roman" w:cs="Times New Roman"/>
                <w:color w:val="000000" w:themeColor="text1"/>
                <w:szCs w:val="21"/>
                <w14:textFill>
                  <w14:solidFill>
                    <w14:schemeClr w14:val="tx1"/>
                  </w14:solidFill>
                </w14:textFill>
              </w:rPr>
              <w:t>/L</w:t>
            </w:r>
            <w:r>
              <w:rPr>
                <w:rFonts w:hint="eastAsia" w:ascii="Times New Roman" w:hAnsi="Times New Roman" w:cs="Times New Roman"/>
                <w:color w:val="000000" w:themeColor="text1"/>
                <w:szCs w:val="21"/>
                <w14:textFill>
                  <w14:solidFill>
                    <w14:schemeClr w14:val="tx1"/>
                  </w14:solidFill>
                </w14:textFill>
              </w:rPr>
              <w:t xml:space="preserve"> or use of </w:t>
            </w:r>
            <w:r>
              <w:rPr>
                <w:rFonts w:hint="eastAsia" w:ascii="Times New Roman" w:hAnsi="Times New Roman" w:cs="Times New Roman"/>
                <w:szCs w:val="21"/>
              </w:rPr>
              <w:t>anti-diabetes treatment</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 xml:space="preserve">, or metabolic syndrome (≥3 of the following: </w:t>
            </w:r>
          </w:p>
          <w:p w14:paraId="43BC8162">
            <w:pPr>
              <w:numPr>
                <w:ilvl w:val="0"/>
                <w:numId w:val="1"/>
              </w:numPr>
              <w:ind w:left="239" w:leftChars="114"/>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elevated waist circumference</w:t>
            </w:r>
            <w:r>
              <w:rPr>
                <w:rFonts w:hint="eastAsia" w:ascii="Times New Roman" w:hAnsi="Times New Roman" w:cs="Times New Roman"/>
                <w:color w:val="000000" w:themeColor="text1"/>
                <w:szCs w:val="21"/>
                <w14:textFill>
                  <w14:solidFill>
                    <w14:schemeClr w14:val="tx1"/>
                  </w14:solidFill>
                </w14:textFill>
              </w:rPr>
              <w:t xml:space="preserve"> (WC </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 xml:space="preserve"> </w:t>
            </w:r>
            <w:r>
              <w:rPr>
                <w:rFonts w:hint="eastAsia" w:ascii="Times New Roman" w:hAnsi="Times New Roman" w:eastAsia="微软雅黑" w:cs="Times New Roman"/>
                <w:color w:val="000000" w:themeColor="text1"/>
                <w:szCs w:val="21"/>
                <w14:textFill>
                  <w14:solidFill>
                    <w14:schemeClr w14:val="tx1"/>
                  </w14:solidFill>
                </w14:textFill>
              </w:rPr>
              <w:t>85</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90</w:t>
            </w:r>
            <w:r>
              <w:rPr>
                <w:rFonts w:ascii="Times New Roman" w:hAnsi="Times New Roman" w:cs="Times New Roman"/>
                <w:color w:val="000000" w:themeColor="text1"/>
                <w:szCs w:val="21"/>
                <w14:textFill>
                  <w14:solidFill>
                    <w14:schemeClr w14:val="tx1"/>
                  </w14:solidFill>
                </w14:textFill>
              </w:rPr>
              <w:t xml:space="preserve"> cm in women/men</w:t>
            </w:r>
            <w:r>
              <w:rPr>
                <w:rFonts w:hint="eastAsia" w:ascii="Times New Roman" w:hAnsi="Times New Roman" w:cs="Times New Roman"/>
                <w:color w:val="000000" w:themeColor="text1"/>
                <w:szCs w:val="21"/>
                <w14:textFill>
                  <w14:solidFill>
                    <w14:schemeClr w14:val="tx1"/>
                  </w14:solidFill>
                </w14:textFill>
              </w:rPr>
              <w:t>)</w:t>
            </w:r>
          </w:p>
          <w:p w14:paraId="31BC5A01">
            <w:pPr>
              <w:numPr>
                <w:ilvl w:val="0"/>
                <w:numId w:val="1"/>
              </w:numPr>
              <w:ind w:left="239" w:leftChars="114"/>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low high density lipoprotein cholesterol (HDL) level </w:t>
            </w:r>
            <w:r>
              <w:rPr>
                <w:rFonts w:hint="eastAsia" w:ascii="Times New Roman" w:hAnsi="Times New Roman" w:cs="Times New Roman"/>
                <w:color w:val="000000" w:themeColor="text1"/>
                <w:szCs w:val="21"/>
                <w14:textFill>
                  <w14:solidFill>
                    <w14:schemeClr w14:val="tx1"/>
                  </w14:solidFill>
                </w14:textFill>
              </w:rPr>
              <w:t xml:space="preserve">(HDL </w:t>
            </w:r>
            <w:r>
              <w:rPr>
                <w:rFonts w:ascii="Times New Roman" w:hAnsi="Times New Roman" w:cs="Times New Roman"/>
                <w:color w:val="000000" w:themeColor="text1"/>
                <w:szCs w:val="21"/>
                <w14:textFill>
                  <w14:solidFill>
                    <w14:schemeClr w14:val="tx1"/>
                  </w14:solidFill>
                </w14:textFill>
              </w:rPr>
              <w:t>&lt;</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1.04 mmol/L</w:t>
            </w:r>
            <w:r>
              <w:rPr>
                <w:rFonts w:hint="eastAsia" w:ascii="Times New Roman" w:hAnsi="Times New Roman" w:cs="Times New Roman"/>
                <w:color w:val="000000" w:themeColor="text1"/>
                <w:szCs w:val="21"/>
                <w14:textFill>
                  <w14:solidFill>
                    <w14:schemeClr w14:val="tx1"/>
                  </w14:solidFill>
                </w14:textFill>
              </w:rPr>
              <w:t>)</w:t>
            </w:r>
          </w:p>
          <w:p w14:paraId="21D5A431">
            <w:pPr>
              <w:numPr>
                <w:ilvl w:val="0"/>
                <w:numId w:val="1"/>
              </w:numPr>
              <w:ind w:left="239" w:leftChars="114"/>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fasting serum triglycerides</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 xml:space="preserve"> 1.7</w:t>
            </w:r>
            <w:r>
              <w:rPr>
                <w:rFonts w:ascii="Times New Roman" w:hAnsi="Times New Roman" w:cs="Times New Roman"/>
                <w:color w:val="000000" w:themeColor="text1"/>
                <w:szCs w:val="21"/>
                <w14:textFill>
                  <w14:solidFill>
                    <w14:schemeClr w14:val="tx1"/>
                  </w14:solidFill>
                </w14:textFill>
              </w:rPr>
              <w:t xml:space="preserve"> m</w:t>
            </w:r>
            <w:r>
              <w:rPr>
                <w:rFonts w:hint="eastAsia" w:ascii="Times New Roman" w:hAnsi="Times New Roman" w:cs="Times New Roman"/>
                <w:color w:val="000000" w:themeColor="text1"/>
                <w:szCs w:val="21"/>
                <w14:textFill>
                  <w14:solidFill>
                    <w14:schemeClr w14:val="tx1"/>
                  </w14:solidFill>
                </w14:textFill>
              </w:rPr>
              <w:t>mol</w:t>
            </w:r>
            <w:r>
              <w:rPr>
                <w:rFonts w:ascii="Times New Roman" w:hAnsi="Times New Roman" w:cs="Times New Roman"/>
                <w:color w:val="000000" w:themeColor="text1"/>
                <w:szCs w:val="21"/>
                <w14:textFill>
                  <w14:solidFill>
                    <w14:schemeClr w14:val="tx1"/>
                  </w14:solidFill>
                </w14:textFill>
              </w:rPr>
              <w:t>/L</w:t>
            </w:r>
          </w:p>
          <w:p w14:paraId="1C08BEC0">
            <w:pPr>
              <w:numPr>
                <w:ilvl w:val="0"/>
                <w:numId w:val="1"/>
              </w:numPr>
              <w:ind w:left="239" w:leftChars="114"/>
              <w:jc w:val="left"/>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 xml:space="preserve">FPG </w:t>
            </w:r>
            <w:r>
              <w:rPr>
                <w:rFonts w:ascii="Times New Roman" w:hAnsi="Times New Roman" w:cs="Times New Roman"/>
                <w:color w:val="000000" w:themeColor="text1"/>
                <w:szCs w:val="21"/>
                <w14:textFill>
                  <w14:solidFill>
                    <w14:schemeClr w14:val="tx1"/>
                  </w14:solidFill>
                </w14:textFill>
              </w:rPr>
              <w:t>≥</w:t>
            </w:r>
            <w:r>
              <w:rPr>
                <w:rFonts w:hint="eastAsia" w:ascii="Times New Roman" w:hAnsi="Times New Roman" w:cs="Times New Roman"/>
                <w:color w:val="000000" w:themeColor="text1"/>
                <w:szCs w:val="21"/>
                <w14:textFill>
                  <w14:solidFill>
                    <w14:schemeClr w14:val="tx1"/>
                  </w14:solidFill>
                </w14:textFill>
              </w:rPr>
              <w:t xml:space="preserve"> 6.1mmol/L</w:t>
            </w:r>
          </w:p>
          <w:p w14:paraId="168A8227">
            <w:pPr>
              <w:numPr>
                <w:ilvl w:val="0"/>
                <w:numId w:val="1"/>
              </w:numPr>
              <w:ind w:left="239" w:leftChars="114"/>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elevated blood pressure [systolic blood pressure≥130, diastolic blood pressure≥8</w:t>
            </w:r>
            <w:r>
              <w:rPr>
                <w:rFonts w:hint="eastAsia" w:ascii="Times New Roman" w:hAnsi="Times New Roman" w:cs="Times New Roman"/>
                <w:color w:val="000000" w:themeColor="text1"/>
                <w:szCs w:val="21"/>
                <w14:textFill>
                  <w14:solidFill>
                    <w14:schemeClr w14:val="tx1"/>
                  </w14:solidFill>
                </w14:textFill>
              </w:rPr>
              <w:t>5</w:t>
            </w:r>
            <w:r>
              <w:rPr>
                <w:rFonts w:ascii="Times New Roman" w:hAnsi="Times New Roman" w:cs="Times New Roman"/>
                <w:color w:val="000000" w:themeColor="text1"/>
                <w:szCs w:val="21"/>
                <w14:textFill>
                  <w14:solidFill>
                    <w14:schemeClr w14:val="tx1"/>
                  </w14:solidFill>
                </w14:textFill>
              </w:rPr>
              <w:t xml:space="preserve"> mmHg, and/or use of blood pressure-lowering medications])</w:t>
            </w:r>
          </w:p>
          <w:p w14:paraId="5AAFC0B2">
            <w:pPr>
              <w:ind w:left="239" w:leftChars="114"/>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CKD stages were identified based on GFR and urinary albumin-to-creatinine ratio</w:t>
            </w:r>
          </w:p>
        </w:tc>
      </w:tr>
      <w:tr w14:paraId="46FB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pct"/>
          </w:tcPr>
          <w:p w14:paraId="0FB53FA5">
            <w:pPr>
              <w:jc w:val="left"/>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bCs/>
                <w:color w:val="000000" w:themeColor="text1"/>
                <w:szCs w:val="21"/>
                <w14:textFill>
                  <w14:solidFill>
                    <w14:schemeClr w14:val="tx1"/>
                  </w14:solidFill>
                </w14:textFill>
              </w:rPr>
              <w:t xml:space="preserve">Stage 3: </w:t>
            </w:r>
          </w:p>
          <w:p w14:paraId="37575271">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Subclinical CVD in CKM</w:t>
            </w:r>
            <w:r>
              <w:rPr>
                <w:rFonts w:hint="eastAsia" w:ascii="Times New Roman" w:hAnsi="Times New Roman" w:cs="Times New Roman"/>
                <w:color w:val="000000" w:themeColor="text1"/>
                <w:szCs w:val="21"/>
                <w14:textFill>
                  <w14:solidFill>
                    <w14:schemeClr w14:val="tx1"/>
                  </w14:solidFill>
                </w14:textFill>
              </w:rPr>
              <w:t>s</w:t>
            </w:r>
          </w:p>
        </w:tc>
        <w:tc>
          <w:tcPr>
            <w:tcW w:w="2156" w:type="pct"/>
          </w:tcPr>
          <w:p w14:paraId="2C02870D">
            <w:pPr>
              <w:spacing w:after="156" w:afterLines="50"/>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Subclinical ASCVD or subclinical heart failure among individuals with excess/dysfunctional adiposity, other metabolic risk factors, or CKD</w:t>
            </w:r>
          </w:p>
          <w:p w14:paraId="7803DAEE">
            <w:pPr>
              <w:numPr>
                <w:ilvl w:val="0"/>
                <w:numId w:val="2"/>
              </w:numPr>
              <w:ind w:left="239" w:leftChars="114"/>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 xml:space="preserve">Subclinical ASCVD to be principally diagnosed by coronary artery calcification (subclinical </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atherosclerosis by coronary catheterization/CT angiography also meets criteria)</w:t>
            </w:r>
          </w:p>
          <w:p w14:paraId="46F2DB2A">
            <w:pPr>
              <w:numPr>
                <w:ilvl w:val="0"/>
                <w:numId w:val="2"/>
              </w:numPr>
              <w:spacing w:after="156" w:afterLines="50"/>
              <w:ind w:left="239" w:leftChars="114"/>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Subclinical heart failure diagnosed by elevated cardiac</w:t>
            </w:r>
            <w:r>
              <w:rPr>
                <w:rFonts w:hint="eastAsia" w:ascii="Times New Roman" w:hAnsi="Times New Roman" w:cs="Times New Roman"/>
                <w:color w:val="000000" w:themeColor="text1"/>
                <w:szCs w:val="21"/>
                <w14:textFill>
                  <w14:solidFill>
                    <w14:schemeClr w14:val="tx1"/>
                  </w14:solidFill>
                </w14:textFill>
              </w:rPr>
              <w:t xml:space="preserve"> </w:t>
            </w:r>
            <w:r>
              <w:rPr>
                <w:rFonts w:ascii="Times New Roman" w:hAnsi="Times New Roman" w:cs="Times New Roman"/>
                <w:color w:val="000000" w:themeColor="text1"/>
                <w:szCs w:val="21"/>
                <w14:textFill>
                  <w14:solidFill>
                    <w14:schemeClr w14:val="tx1"/>
                  </w14:solidFill>
                </w14:textFill>
              </w:rPr>
              <w:t>biomarkers (NT-proBNP≥125 pg/mL, hs-troponin T≥14 ng/L for women and ≥22 ng/L for men, hs</w:t>
            </w:r>
            <w:r>
              <w:rPr>
                <w:rFonts w:hint="eastAsia" w:ascii="Times New Roman" w:hAnsi="Times New Roman" w:cs="Times New Roman"/>
                <w:color w:val="000000" w:themeColor="text1"/>
                <w:szCs w:val="21"/>
                <w14:textFill>
                  <w14:solidFill>
                    <w14:schemeClr w14:val="tx1"/>
                  </w14:solidFill>
                </w14:textFill>
              </w:rPr>
              <w:t>-</w:t>
            </w:r>
            <w:r>
              <w:rPr>
                <w:rFonts w:ascii="Times New Roman" w:hAnsi="Times New Roman" w:cs="Times New Roman"/>
                <w:color w:val="000000" w:themeColor="text1"/>
                <w:szCs w:val="21"/>
                <w14:textFill>
                  <w14:solidFill>
                    <w14:schemeClr w14:val="tx1"/>
                  </w14:solidFill>
                </w14:textFill>
              </w:rPr>
              <w:t>troponin I≥10 ng/L for women and ≥12 ng/L for men) or by echocardiographic parameters, with a combination of the 2 indicating highest HF risk</w:t>
            </w:r>
          </w:p>
          <w:p w14:paraId="6DCEBA17">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Risk equivalents of subclinical CVD</w:t>
            </w:r>
          </w:p>
          <w:p w14:paraId="2EC5EA69">
            <w:pPr>
              <w:numPr>
                <w:ilvl w:val="0"/>
                <w:numId w:val="3"/>
              </w:numPr>
              <w:ind w:left="239" w:leftChars="114"/>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Very high-risk CKD (stage G4 or G5 CKD or very high risk per Kidney Disease Improving Global Outcomes (KDIGO) classification)</w:t>
            </w:r>
          </w:p>
          <w:p w14:paraId="79BE80E7">
            <w:pPr>
              <w:numPr>
                <w:ilvl w:val="0"/>
                <w:numId w:val="3"/>
              </w:numPr>
              <w:ind w:left="239" w:leftChars="114"/>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High predicted 10-y</w:t>
            </w:r>
            <w:r>
              <w:rPr>
                <w:rFonts w:hint="eastAsia" w:ascii="Times New Roman" w:hAnsi="Times New Roman" w:cs="Times New Roman"/>
                <w:color w:val="000000" w:themeColor="text1"/>
                <w:szCs w:val="21"/>
                <w14:textFill>
                  <w14:solidFill>
                    <w14:schemeClr w14:val="tx1"/>
                  </w14:solidFill>
                </w14:textFill>
              </w:rPr>
              <w:t>ear</w:t>
            </w:r>
            <w:r>
              <w:rPr>
                <w:rFonts w:ascii="Times New Roman" w:hAnsi="Times New Roman" w:cs="Times New Roman"/>
                <w:color w:val="000000" w:themeColor="text1"/>
                <w:szCs w:val="21"/>
                <w14:textFill>
                  <w14:solidFill>
                    <w14:schemeClr w14:val="tx1"/>
                  </w14:solidFill>
                </w14:textFill>
              </w:rPr>
              <w:t xml:space="preserve"> CVD risk</w:t>
            </w:r>
          </w:p>
        </w:tc>
        <w:tc>
          <w:tcPr>
            <w:tcW w:w="2290" w:type="pct"/>
          </w:tcPr>
          <w:p w14:paraId="49B9398E">
            <w:pPr>
              <w:jc w:val="left"/>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(1) Subclinical cardiovascular disease diagnosed by board-certified physicians (associate chief physician or above) based on instrumental examinations, including but not limited to:</w:t>
            </w:r>
          </w:p>
          <w:p w14:paraId="382150C2">
            <w:pPr>
              <w:jc w:val="left"/>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Coronary artery calcification detected by cardiac CT;</w:t>
            </w:r>
            <w:r>
              <w:rPr>
                <w:rFonts w:hint="eastAsia" w:ascii="Times New Roman" w:hAnsi="Times New Roman" w:cs="Times New Roman"/>
                <w:color w:val="000000" w:themeColor="text1"/>
                <w:szCs w:val="21"/>
                <w:lang w:val="en-US" w:eastAsia="zh-CN"/>
                <w14:textFill>
                  <w14:solidFill>
                    <w14:schemeClr w14:val="tx1"/>
                  </w14:solidFill>
                </w14:textFill>
              </w:rPr>
              <w:t xml:space="preserve"> </w:t>
            </w:r>
            <w:r>
              <w:rPr>
                <w:rFonts w:hint="eastAsia" w:ascii="Times New Roman" w:hAnsi="Times New Roman" w:cs="Times New Roman"/>
                <w:color w:val="000000" w:themeColor="text1"/>
                <w:szCs w:val="21"/>
                <w14:textFill>
                  <w14:solidFill>
                    <w14:schemeClr w14:val="tx1"/>
                  </w14:solidFill>
                </w14:textFill>
              </w:rPr>
              <w:t>Abnormal echocardiographic parameters (e.g., left ventricular hypertrophy, reduced ejection fraction, elevated cardiac biomarkers);</w:t>
            </w:r>
            <w:r>
              <w:rPr>
                <w:rFonts w:hint="eastAsia" w:ascii="Times New Roman" w:hAnsi="Times New Roman" w:cs="Times New Roman"/>
                <w:color w:val="000000" w:themeColor="text1"/>
                <w:szCs w:val="21"/>
                <w:lang w:val="en-US" w:eastAsia="zh-CN"/>
                <w14:textFill>
                  <w14:solidFill>
                    <w14:schemeClr w14:val="tx1"/>
                  </w14:solidFill>
                </w14:textFill>
              </w:rPr>
              <w:t xml:space="preserve"> </w:t>
            </w:r>
            <w:r>
              <w:rPr>
                <w:rFonts w:hint="eastAsia" w:ascii="Times New Roman" w:hAnsi="Times New Roman" w:cs="Times New Roman"/>
                <w:color w:val="000000" w:themeColor="text1"/>
                <w:szCs w:val="21"/>
                <w14:textFill>
                  <w14:solidFill>
                    <w14:schemeClr w14:val="tx1"/>
                  </w14:solidFill>
                </w14:textFill>
              </w:rPr>
              <w:t>Carotid artery intima-media thickening.</w:t>
            </w:r>
          </w:p>
          <w:p w14:paraId="211DA8B7">
            <w:pPr>
              <w:jc w:val="left"/>
              <w:rPr>
                <w:rFonts w:hint="eastAsia" w:ascii="Times New Roman" w:hAnsi="Times New Roman" w:cs="Times New Roman"/>
                <w:color w:val="000000" w:themeColor="text1"/>
                <w:szCs w:val="21"/>
                <w14:textFill>
                  <w14:solidFill>
                    <w14:schemeClr w14:val="tx1"/>
                  </w14:solidFill>
                </w14:textFill>
              </w:rPr>
            </w:pPr>
          </w:p>
          <w:p w14:paraId="1C64180E">
            <w:pPr>
              <w:jc w:val="left"/>
              <w:rPr>
                <w:rFonts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14:textFill>
                  <w14:solidFill>
                    <w14:schemeClr w14:val="tx1"/>
                  </w14:solidFill>
                </w14:textFill>
              </w:rPr>
              <w:t>(2) Very-high-risk chronic kidney disease (CKD), defined as eGFR &lt; 30 mL/min/1.73 m² (KDIGO stages G4–G5)</w:t>
            </w:r>
            <w:r>
              <w:rPr>
                <w:rFonts w:hint="eastAsia" w:ascii="Times New Roman" w:hAnsi="Times New Roman" w:cs="Times New Roman"/>
                <w:color w:val="000000" w:themeColor="text1"/>
                <w:szCs w:val="21"/>
                <w:vertAlign w:val="superscript"/>
                <w:lang w:val="en-US" w:eastAsia="zh-CN"/>
                <w14:textFill>
                  <w14:solidFill>
                    <w14:schemeClr w14:val="tx1"/>
                  </w14:solidFill>
                </w14:textFill>
              </w:rPr>
              <w:t xml:space="preserve"> [2]</w:t>
            </w:r>
            <w:r>
              <w:rPr>
                <w:rFonts w:hint="eastAsia" w:ascii="Times New Roman" w:hAnsi="Times New Roman" w:cs="Times New Roman"/>
                <w:color w:val="000000" w:themeColor="text1"/>
                <w:szCs w:val="21"/>
                <w14:textFill>
                  <w14:solidFill>
                    <w14:schemeClr w14:val="tx1"/>
                  </w14:solidFill>
                </w14:textFill>
              </w:rPr>
              <w:t>. eGFR was calculated using the CKD-EPI 2021 equation</w:t>
            </w:r>
            <w:r>
              <w:rPr>
                <w:rFonts w:hint="eastAsia" w:ascii="Times New Roman" w:hAnsi="Times New Roman" w:cs="Times New Roman"/>
                <w:color w:val="000000" w:themeColor="text1"/>
                <w:szCs w:val="21"/>
                <w:vertAlign w:val="superscript"/>
                <w:lang w:val="en-US" w:eastAsia="zh-CN"/>
                <w14:textFill>
                  <w14:solidFill>
                    <w14:schemeClr w14:val="tx1"/>
                  </w14:solidFill>
                </w14:textFill>
              </w:rPr>
              <w:t>[3]</w:t>
            </w:r>
            <w:r>
              <w:rPr>
                <w:rFonts w:hint="eastAsia" w:ascii="Times New Roman" w:hAnsi="Times New Roman" w:cs="Times New Roman"/>
                <w:color w:val="000000" w:themeColor="text1"/>
                <w:szCs w:val="21"/>
                <w:lang w:val="en-US" w:eastAsia="zh-CN"/>
                <w14:textFill>
                  <w14:solidFill>
                    <w14:schemeClr w14:val="tx1"/>
                  </w14:solidFill>
                </w14:textFill>
              </w:rPr>
              <w:t>.</w:t>
            </w:r>
          </w:p>
        </w:tc>
      </w:tr>
      <w:tr w14:paraId="50260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553" w:type="pct"/>
          </w:tcPr>
          <w:p w14:paraId="3A8C54D0">
            <w:pPr>
              <w:jc w:val="left"/>
              <w:rPr>
                <w:rFonts w:ascii="Times New Roman" w:hAnsi="Times New Roman" w:cs="Times New Roman"/>
                <w:b/>
                <w:bCs/>
                <w:color w:val="000000" w:themeColor="text1"/>
                <w:szCs w:val="21"/>
                <w14:textFill>
                  <w14:solidFill>
                    <w14:schemeClr w14:val="tx1"/>
                  </w14:solidFill>
                </w14:textFill>
              </w:rPr>
            </w:pPr>
            <w:r>
              <w:rPr>
                <w:rFonts w:ascii="Times New Roman" w:hAnsi="Times New Roman" w:cs="Times New Roman"/>
                <w:b/>
                <w:bCs/>
                <w:szCs w:val="21"/>
              </w:rPr>
              <w:t>Stage 4:</w:t>
            </w:r>
            <w:r>
              <w:rPr>
                <w:rFonts w:ascii="Times New Roman" w:hAnsi="Times New Roman" w:cs="Times New Roman"/>
                <w:b/>
                <w:bCs/>
                <w:color w:val="000000" w:themeColor="text1"/>
                <w:szCs w:val="21"/>
                <w14:textFill>
                  <w14:solidFill>
                    <w14:schemeClr w14:val="tx1"/>
                  </w14:solidFill>
                </w14:textFill>
              </w:rPr>
              <w:t xml:space="preserve"> </w:t>
            </w:r>
          </w:p>
          <w:p w14:paraId="349E7D90">
            <w:pPr>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Clinical CVD in CKM</w:t>
            </w:r>
            <w:r>
              <w:rPr>
                <w:rFonts w:hint="eastAsia" w:ascii="Times New Roman" w:hAnsi="Times New Roman" w:cs="Times New Roman"/>
                <w:color w:val="000000" w:themeColor="text1"/>
                <w:szCs w:val="21"/>
                <w14:textFill>
                  <w14:solidFill>
                    <w14:schemeClr w14:val="tx1"/>
                  </w14:solidFill>
                </w14:textFill>
              </w:rPr>
              <w:t>s</w:t>
            </w:r>
          </w:p>
        </w:tc>
        <w:tc>
          <w:tcPr>
            <w:tcW w:w="2156" w:type="pct"/>
          </w:tcPr>
          <w:p w14:paraId="3F43DA86">
            <w:pPr>
              <w:spacing w:after="156" w:afterLines="50"/>
              <w:jc w:val="left"/>
              <w:rPr>
                <w:rFonts w:ascii="Times New Roman" w:hAnsi="Times New Roman" w:cs="Times New Roman"/>
                <w:color w:val="000000" w:themeColor="text1"/>
                <w:szCs w:val="21"/>
                <w14:textFill>
                  <w14:solidFill>
                    <w14:schemeClr w14:val="tx1"/>
                  </w14:solidFill>
                </w14:textFill>
              </w:rPr>
            </w:pPr>
            <w:r>
              <w:rPr>
                <w:rFonts w:ascii="Times New Roman" w:hAnsi="Times New Roman" w:cs="Times New Roman"/>
                <w:color w:val="000000" w:themeColor="text1"/>
                <w:szCs w:val="21"/>
                <w14:textFill>
                  <w14:solidFill>
                    <w14:schemeClr w14:val="tx1"/>
                  </w14:solidFill>
                </w14:textFill>
              </w:rPr>
              <w:t>Clinical CVD (coronary heart disease, heart failure, stroke, peripheral artery disease, atrial fibrillation) among individuals with excess/dysfunctional adiposity, other CKM</w:t>
            </w:r>
            <w:r>
              <w:rPr>
                <w:rFonts w:hint="eastAsia" w:ascii="Times New Roman" w:hAnsi="Times New Roman" w:cs="Times New Roman"/>
                <w:color w:val="000000" w:themeColor="text1"/>
                <w:szCs w:val="21"/>
                <w14:textFill>
                  <w14:solidFill>
                    <w14:schemeClr w14:val="tx1"/>
                  </w14:solidFill>
                </w14:textFill>
              </w:rPr>
              <w:t>s</w:t>
            </w:r>
            <w:r>
              <w:rPr>
                <w:rFonts w:ascii="Times New Roman" w:hAnsi="Times New Roman" w:cs="Times New Roman"/>
                <w:color w:val="000000" w:themeColor="text1"/>
                <w:szCs w:val="21"/>
                <w14:textFill>
                  <w14:solidFill>
                    <w14:schemeClr w14:val="tx1"/>
                  </w14:solidFill>
                </w14:textFill>
              </w:rPr>
              <w:t xml:space="preserve"> risk factors, or CKD</w:t>
            </w:r>
          </w:p>
        </w:tc>
        <w:tc>
          <w:tcPr>
            <w:tcW w:w="2290" w:type="pct"/>
          </w:tcPr>
          <w:p w14:paraId="60DC2F94">
            <w:pPr>
              <w:numPr>
                <w:ilvl w:val="0"/>
                <w:numId w:val="0"/>
              </w:numPr>
              <w:jc w:val="left"/>
              <w:rPr>
                <w:rFonts w:hint="eastAsia" w:ascii="Times New Roman" w:hAnsi="Times New Roman" w:cs="Times New Roman"/>
                <w:color w:val="000000" w:themeColor="text1"/>
                <w:szCs w:val="21"/>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 xml:space="preserve">(1) </w:t>
            </w:r>
            <w:r>
              <w:rPr>
                <w:rFonts w:hint="eastAsia" w:ascii="Times New Roman" w:hAnsi="Times New Roman" w:cs="Times New Roman"/>
                <w:color w:val="000000" w:themeColor="text1"/>
                <w:szCs w:val="21"/>
                <w14:textFill>
                  <w14:solidFill>
                    <w14:schemeClr w14:val="tx1"/>
                  </w14:solidFill>
                </w14:textFill>
              </w:rPr>
              <w:t xml:space="preserve">Clinical cardiovascular disease diagnosed by board-certified physicians (associate chief physician or above) based on instrumental examinations and clinical evaluation, including but not limited to: coronary heart disease (confirmed by coronary angiography or CT angiography), heart failure (confirmed by echocardiography and clinical assessment), stroke (confirmed by brain CT or MRI), peripheral artery disease, or atrial fibrillation (confirmed by electrocardiography). </w:t>
            </w:r>
          </w:p>
          <w:p w14:paraId="171E43D1">
            <w:pPr>
              <w:numPr>
                <w:ilvl w:val="0"/>
                <w:numId w:val="0"/>
              </w:numPr>
              <w:jc w:val="left"/>
              <w:rPr>
                <w:rFonts w:hint="eastAsia" w:ascii="Times New Roman" w:hAnsi="Times New Roman" w:cs="Times New Roman"/>
                <w:color w:val="000000" w:themeColor="text1"/>
                <w:szCs w:val="21"/>
                <w14:textFill>
                  <w14:solidFill>
                    <w14:schemeClr w14:val="tx1"/>
                  </w14:solidFill>
                </w14:textFill>
              </w:rPr>
            </w:pPr>
          </w:p>
          <w:p w14:paraId="4369E293">
            <w:pPr>
              <w:numPr>
                <w:ilvl w:val="0"/>
                <w:numId w:val="0"/>
              </w:numPr>
              <w:jc w:val="left"/>
              <w:rPr>
                <w:rFonts w:hint="default" w:ascii="Times New Roman" w:hAnsi="Times New Roman" w:cs="Times New Roman" w:eastAsiaTheme="minorEastAsia"/>
                <w:color w:val="000000" w:themeColor="text1"/>
                <w:szCs w:val="21"/>
                <w:lang w:val="en-US" w:eastAsia="zh-CN"/>
                <w14:textFill>
                  <w14:solidFill>
                    <w14:schemeClr w14:val="tx1"/>
                  </w14:solidFill>
                </w14:textFill>
              </w:rPr>
            </w:pPr>
            <w:r>
              <w:rPr>
                <w:rFonts w:hint="eastAsia" w:ascii="Times New Roman" w:hAnsi="Times New Roman" w:cs="Times New Roman"/>
                <w:color w:val="000000" w:themeColor="text1"/>
                <w:szCs w:val="21"/>
                <w:lang w:val="en-US" w:eastAsia="zh-CN"/>
                <w14:textFill>
                  <w14:solidFill>
                    <w14:schemeClr w14:val="tx1"/>
                  </w14:solidFill>
                </w14:textFill>
              </w:rPr>
              <w:t xml:space="preserve">(2) </w:t>
            </w:r>
            <w:r>
              <w:rPr>
                <w:rFonts w:hint="eastAsia" w:ascii="Times New Roman" w:hAnsi="Times New Roman" w:cs="Times New Roman"/>
                <w:color w:val="000000" w:themeColor="text1"/>
                <w:szCs w:val="21"/>
                <w14:textFill>
                  <w14:solidFill>
                    <w14:schemeClr w14:val="tx1"/>
                  </w14:solidFill>
                </w14:textFill>
              </w:rPr>
              <w:t>End-stage kidney disease (ESKD)</w:t>
            </w:r>
            <w:r>
              <w:rPr>
                <w:rFonts w:hint="eastAsia" w:ascii="Times New Roman" w:hAnsi="Times New Roman" w:cs="Times New Roman"/>
                <w:color w:val="000000" w:themeColor="text1"/>
                <w:szCs w:val="21"/>
                <w:lang w:val="en-US" w:eastAsia="zh-CN"/>
                <w14:textFill>
                  <w14:solidFill>
                    <w14:schemeClr w14:val="tx1"/>
                  </w14:solidFill>
                </w14:textFill>
              </w:rPr>
              <w:t xml:space="preserve"> </w:t>
            </w:r>
            <w:r>
              <w:rPr>
                <w:rFonts w:hint="eastAsia" w:ascii="Times New Roman" w:hAnsi="Times New Roman" w:cs="Times New Roman"/>
                <w:color w:val="000000" w:themeColor="text1"/>
                <w:szCs w:val="21"/>
                <w14:textFill>
                  <w14:solidFill>
                    <w14:schemeClr w14:val="tx1"/>
                  </w14:solidFill>
                </w14:textFill>
              </w:rPr>
              <w:t>was defined as eGFR &lt; 15 mL/min/1.73 m², calculated using the CKD‑EPI 2021 equation. Due to data limitations, kidney replacement therapy (hemodialysis, peritoneal dialysis, or kidney transplantation) was not available in the present dataset and was therefore not included in the definition.</w:t>
            </w:r>
            <w:r>
              <w:rPr>
                <w:rFonts w:hint="eastAsia" w:ascii="Times New Roman" w:hAnsi="Times New Roman" w:cs="Times New Roman"/>
                <w:color w:val="000000" w:themeColor="text1"/>
                <w:szCs w:val="21"/>
                <w:lang w:val="en-US" w:eastAsia="zh-CN"/>
                <w14:textFill>
                  <w14:solidFill>
                    <w14:schemeClr w14:val="tx1"/>
                  </w14:solidFill>
                </w14:textFill>
              </w:rPr>
              <w:t xml:space="preserve"> This corresponded to Stage 4b per AHA classification. eGFR was calculated using the CKD-EPI 2021 equation </w:t>
            </w:r>
            <w:r>
              <w:rPr>
                <w:rFonts w:hint="eastAsia" w:ascii="Times New Roman" w:hAnsi="Times New Roman" w:cs="Times New Roman"/>
                <w:color w:val="000000" w:themeColor="text1"/>
                <w:szCs w:val="21"/>
                <w:vertAlign w:val="superscript"/>
                <w:lang w:val="en-US" w:eastAsia="zh-CN"/>
                <w14:textFill>
                  <w14:solidFill>
                    <w14:schemeClr w14:val="tx1"/>
                  </w14:solidFill>
                </w14:textFill>
              </w:rPr>
              <w:t>[3]</w:t>
            </w:r>
            <w:r>
              <w:rPr>
                <w:rFonts w:hint="eastAsia" w:ascii="Times New Roman" w:hAnsi="Times New Roman" w:cs="Times New Roman"/>
                <w:color w:val="000000" w:themeColor="text1"/>
                <w:szCs w:val="21"/>
                <w:lang w:val="en-US" w:eastAsia="zh-CN"/>
                <w14:textFill>
                  <w14:solidFill>
                    <w14:schemeClr w14:val="tx1"/>
                  </w14:solidFill>
                </w14:textFill>
              </w:rPr>
              <w:t>.</w:t>
            </w:r>
          </w:p>
        </w:tc>
      </w:tr>
    </w:tbl>
    <w:p w14:paraId="5CED8224">
      <w:pPr>
        <w:spacing w:line="100" w:lineRule="exact"/>
        <w:ind w:left="210" w:leftChars="100"/>
        <w:jc w:val="left"/>
        <w:rPr>
          <w:rFonts w:ascii="Times New Roman" w:hAnsi="Times New Roman" w:eastAsia="宋体" w:cs="Times New Roman"/>
          <w:b/>
          <w:bCs/>
          <w:szCs w:val="21"/>
        </w:rPr>
      </w:pPr>
    </w:p>
    <w:p w14:paraId="1EA68AE7">
      <w:pPr>
        <w:ind w:left="210" w:leftChars="100"/>
        <w:jc w:val="left"/>
        <w:rPr>
          <w:rFonts w:ascii="Times New Roman" w:hAnsi="Times New Roman" w:eastAsia="宋体" w:cs="Times New Roman"/>
          <w:szCs w:val="21"/>
        </w:rPr>
      </w:pPr>
      <w:r>
        <w:rPr>
          <w:rFonts w:ascii="Times New Roman" w:hAnsi="Times New Roman" w:eastAsia="宋体" w:cs="Times New Roman"/>
          <w:b/>
          <w:bCs/>
          <w:szCs w:val="21"/>
        </w:rPr>
        <w:t>Abbreviations:</w:t>
      </w:r>
      <w:r>
        <w:rPr>
          <w:rFonts w:ascii="Times New Roman" w:hAnsi="Times New Roman" w:eastAsia="宋体" w:cs="Times New Roman"/>
          <w:szCs w:val="21"/>
        </w:rPr>
        <w:t xml:space="preserve"> ASCVD, atherosclerotic cardiovascular disease; BMI, body mass index; CKD, chronic kidney disease; CKM</w:t>
      </w:r>
      <w:r>
        <w:rPr>
          <w:rFonts w:hint="eastAsia" w:ascii="Times New Roman" w:hAnsi="Times New Roman" w:eastAsia="宋体" w:cs="Times New Roman"/>
          <w:szCs w:val="21"/>
        </w:rPr>
        <w:t>s</w:t>
      </w:r>
      <w:r>
        <w:rPr>
          <w:rFonts w:ascii="Times New Roman" w:hAnsi="Times New Roman" w:eastAsia="宋体" w:cs="Times New Roman"/>
          <w:szCs w:val="21"/>
        </w:rPr>
        <w:t>, cardiovascular-kidney-metabolic syndrome; CVD, cardiovascular disease; GFR, glomerular filtration rate; HDL, high-density lipoprotein cholesterol; MetS, metabolic syndrome</w:t>
      </w:r>
    </w:p>
    <w:p w14:paraId="566E8AB2">
      <w:pPr>
        <w:rPr>
          <w:rFonts w:hint="default" w:ascii="Times New Roman" w:hAnsi="Times New Roman" w:cs="Times New Roman"/>
          <w:b/>
          <w:bCs/>
        </w:rPr>
      </w:pPr>
    </w:p>
    <w:p w14:paraId="1C1C285B">
      <w:pPr>
        <w:rPr>
          <w:rFonts w:hint="default" w:ascii="Times New Roman" w:hAnsi="Times New Roman" w:cs="Times New Roman"/>
          <w:b/>
          <w:bCs/>
        </w:rPr>
      </w:pPr>
    </w:p>
    <w:p w14:paraId="2287BD72">
      <w:pPr>
        <w:rPr>
          <w:rFonts w:hint="default" w:ascii="Times New Roman" w:hAnsi="Times New Roman" w:cs="Times New Roman"/>
          <w:b/>
          <w:bCs/>
        </w:rPr>
      </w:pPr>
      <w:r>
        <w:rPr>
          <w:rFonts w:hint="default" w:ascii="Times New Roman" w:hAnsi="Times New Roman" w:cs="Times New Roman"/>
          <w:b/>
          <w:bCs/>
        </w:rPr>
        <w:t>Supplementary Table S</w:t>
      </w:r>
      <w:r>
        <w:rPr>
          <w:rFonts w:hint="eastAsia" w:ascii="Times New Roman" w:hAnsi="Times New Roman" w:cs="Times New Roman"/>
          <w:b/>
          <w:bCs/>
          <w:lang w:val="en-US" w:eastAsia="zh-CN"/>
        </w:rPr>
        <w:t>2</w:t>
      </w:r>
      <w:r>
        <w:rPr>
          <w:rFonts w:hint="default" w:ascii="Times New Roman" w:hAnsi="Times New Roman" w:cs="Times New Roman"/>
          <w:b/>
          <w:bCs/>
        </w:rPr>
        <w:t>. Hyperparameter settings for machine learning models.</w:t>
      </w:r>
    </w:p>
    <w:tbl>
      <w:tblPr>
        <w:tblStyle w:val="2"/>
        <w:tblW w:w="549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739"/>
        <w:gridCol w:w="1480"/>
        <w:gridCol w:w="930"/>
        <w:gridCol w:w="5243"/>
      </w:tblGrid>
      <w:tr w14:paraId="6803F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tblHeader/>
          <w:jc w:val="center"/>
        </w:trPr>
        <w:tc>
          <w:tcPr>
            <w:tcW w:w="926" w:type="pct"/>
            <w:tcBorders>
              <w:top w:val="single" w:color="auto" w:sz="4" w:space="0"/>
              <w:bottom w:val="single" w:color="auto" w:sz="4" w:space="0"/>
            </w:tcBorders>
            <w:shd w:val="clear" w:color="auto" w:fill="FFFFFF"/>
            <w:tcMar>
              <w:top w:w="150" w:type="dxa"/>
              <w:left w:w="0" w:type="dxa"/>
              <w:bottom w:w="150" w:type="dxa"/>
              <w:right w:w="240" w:type="dxa"/>
            </w:tcMar>
            <w:vAlign w:val="center"/>
          </w:tcPr>
          <w:p w14:paraId="4F5C4A21">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bCs/>
                <w:i w:val="0"/>
                <w:iCs w:val="0"/>
                <w:caps w:val="0"/>
                <w:color w:val="0F1115"/>
                <w:spacing w:val="0"/>
                <w:sz w:val="18"/>
                <w:szCs w:val="18"/>
              </w:rPr>
            </w:pPr>
            <w:r>
              <w:rPr>
                <w:rFonts w:hint="default" w:ascii="Times New Roman" w:hAnsi="Times New Roman" w:eastAsia="var(--dsw-font-markdown-table-h" w:cs="Times New Roman"/>
                <w:b/>
                <w:bCs/>
                <w:i w:val="0"/>
                <w:iCs w:val="0"/>
                <w:caps w:val="0"/>
                <w:color w:val="0F1115"/>
                <w:spacing w:val="0"/>
                <w:kern w:val="0"/>
                <w:sz w:val="18"/>
                <w:szCs w:val="18"/>
                <w:lang w:val="en-US" w:eastAsia="zh-CN" w:bidi="ar"/>
              </w:rPr>
              <w:t>Algorithm</w:t>
            </w:r>
          </w:p>
        </w:tc>
        <w:tc>
          <w:tcPr>
            <w:tcW w:w="787" w:type="pct"/>
            <w:tcBorders>
              <w:top w:val="single" w:color="auto" w:sz="4" w:space="0"/>
              <w:bottom w:val="single" w:color="auto" w:sz="4" w:space="0"/>
            </w:tcBorders>
            <w:shd w:val="clear" w:color="auto" w:fill="FFFFFF"/>
            <w:tcMar>
              <w:top w:w="150" w:type="dxa"/>
              <w:left w:w="240" w:type="dxa"/>
              <w:bottom w:w="150" w:type="dxa"/>
              <w:right w:w="240" w:type="dxa"/>
            </w:tcMar>
            <w:vAlign w:val="center"/>
          </w:tcPr>
          <w:p w14:paraId="3756B5FD">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bCs/>
                <w:i w:val="0"/>
                <w:iCs w:val="0"/>
                <w:caps w:val="0"/>
                <w:color w:val="0F1115"/>
                <w:spacing w:val="0"/>
                <w:sz w:val="18"/>
                <w:szCs w:val="18"/>
              </w:rPr>
            </w:pPr>
            <w:r>
              <w:rPr>
                <w:rFonts w:hint="default" w:ascii="Times New Roman" w:hAnsi="Times New Roman" w:eastAsia="var(--dsw-font-markdown-table-h" w:cs="Times New Roman"/>
                <w:b/>
                <w:bCs/>
                <w:i w:val="0"/>
                <w:iCs w:val="0"/>
                <w:caps w:val="0"/>
                <w:color w:val="0F1115"/>
                <w:spacing w:val="0"/>
                <w:kern w:val="0"/>
                <w:sz w:val="18"/>
                <w:szCs w:val="18"/>
                <w:lang w:val="en-US" w:eastAsia="zh-CN" w:bidi="ar"/>
              </w:rPr>
              <w:t>Package</w:t>
            </w:r>
          </w:p>
        </w:tc>
        <w:tc>
          <w:tcPr>
            <w:tcW w:w="495" w:type="pct"/>
            <w:tcBorders>
              <w:top w:val="single" w:color="auto" w:sz="4" w:space="0"/>
              <w:bottom w:val="single" w:color="auto" w:sz="4" w:space="0"/>
            </w:tcBorders>
            <w:shd w:val="clear" w:color="auto" w:fill="FFFFFF"/>
            <w:tcMar>
              <w:top w:w="150" w:type="dxa"/>
              <w:left w:w="240" w:type="dxa"/>
              <w:bottom w:w="150" w:type="dxa"/>
              <w:right w:w="240" w:type="dxa"/>
            </w:tcMar>
            <w:vAlign w:val="center"/>
          </w:tcPr>
          <w:p w14:paraId="15227729">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bCs/>
                <w:i w:val="0"/>
                <w:iCs w:val="0"/>
                <w:caps w:val="0"/>
                <w:color w:val="0F1115"/>
                <w:spacing w:val="0"/>
                <w:sz w:val="18"/>
                <w:szCs w:val="18"/>
              </w:rPr>
            </w:pPr>
            <w:r>
              <w:rPr>
                <w:rFonts w:hint="default" w:ascii="Times New Roman" w:hAnsi="Times New Roman" w:eastAsia="var(--dsw-font-markdown-table-h" w:cs="Times New Roman"/>
                <w:b/>
                <w:bCs/>
                <w:i w:val="0"/>
                <w:iCs w:val="0"/>
                <w:caps w:val="0"/>
                <w:color w:val="0F1115"/>
                <w:spacing w:val="0"/>
                <w:kern w:val="0"/>
                <w:sz w:val="18"/>
                <w:szCs w:val="18"/>
                <w:lang w:val="en-US" w:eastAsia="zh-CN" w:bidi="ar"/>
              </w:rPr>
              <w:t>Phase</w:t>
            </w:r>
          </w:p>
        </w:tc>
        <w:tc>
          <w:tcPr>
            <w:tcW w:w="2790" w:type="pct"/>
            <w:tcBorders>
              <w:top w:val="single" w:color="auto" w:sz="4" w:space="0"/>
              <w:bottom w:val="single" w:color="auto" w:sz="4" w:space="0"/>
            </w:tcBorders>
            <w:shd w:val="clear" w:color="auto" w:fill="FFFFFF"/>
            <w:tcMar>
              <w:top w:w="150" w:type="dxa"/>
              <w:left w:w="240" w:type="dxa"/>
              <w:bottom w:w="150" w:type="dxa"/>
              <w:right w:w="240" w:type="dxa"/>
            </w:tcMar>
            <w:vAlign w:val="center"/>
          </w:tcPr>
          <w:p w14:paraId="2CEA31DE">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bCs/>
                <w:i w:val="0"/>
                <w:iCs w:val="0"/>
                <w:caps w:val="0"/>
                <w:color w:val="0F1115"/>
                <w:spacing w:val="0"/>
                <w:sz w:val="18"/>
                <w:szCs w:val="18"/>
              </w:rPr>
            </w:pPr>
            <w:r>
              <w:rPr>
                <w:rFonts w:hint="default" w:ascii="Times New Roman" w:hAnsi="Times New Roman" w:eastAsia="var(--dsw-font-markdown-table-h" w:cs="Times New Roman"/>
                <w:b/>
                <w:bCs/>
                <w:i w:val="0"/>
                <w:iCs w:val="0"/>
                <w:caps w:val="0"/>
                <w:color w:val="0F1115"/>
                <w:spacing w:val="0"/>
                <w:kern w:val="0"/>
                <w:sz w:val="18"/>
                <w:szCs w:val="18"/>
                <w:lang w:val="en-US" w:eastAsia="zh-CN" w:bidi="ar"/>
              </w:rPr>
              <w:t>Hyperparameter Settings</w:t>
            </w:r>
          </w:p>
        </w:tc>
      </w:tr>
      <w:tr w14:paraId="2BFD6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926" w:type="pct"/>
            <w:tcBorders>
              <w:top w:val="single" w:color="auto" w:sz="4" w:space="0"/>
            </w:tcBorders>
            <w:shd w:val="clear" w:color="auto" w:fill="FFFFFF"/>
            <w:tcMar>
              <w:top w:w="150" w:type="dxa"/>
              <w:left w:w="0" w:type="dxa"/>
              <w:bottom w:w="150" w:type="dxa"/>
              <w:right w:w="240" w:type="dxa"/>
            </w:tcMar>
            <w:vAlign w:val="center"/>
          </w:tcPr>
          <w:p w14:paraId="0C09D6F1">
            <w:pPr>
              <w:keepNext w:val="0"/>
              <w:keepLines w:val="0"/>
              <w:widowControl/>
              <w:suppressLineNumbers w:val="0"/>
              <w:snapToGrid w:val="0"/>
              <w:ind w:left="0" w:leftChars="0" w:right="0" w:rightChars="0" w:firstLine="0" w:firstLineChars="0"/>
              <w:jc w:val="left"/>
              <w:rPr>
                <w:rFonts w:hint="default" w:ascii="Times New Roman" w:hAnsi="Times New Roman" w:eastAsia="var(--ds-font-family-code)" w:cs="Times New Roman"/>
                <w:i w:val="0"/>
                <w:iCs w:val="0"/>
                <w:caps w:val="0"/>
                <w:color w:val="0F1115"/>
                <w:spacing w:val="0"/>
                <w:sz w:val="18"/>
                <w:szCs w:val="18"/>
              </w:rPr>
            </w:pPr>
            <w:r>
              <w:rPr>
                <w:rFonts w:hint="default" w:ascii="Times New Roman" w:hAnsi="Times New Roman" w:eastAsia="var(--ds-font-family-code)" w:cs="Times New Roman"/>
                <w:b/>
                <w:bCs/>
                <w:i w:val="0"/>
                <w:iCs w:val="0"/>
                <w:caps w:val="0"/>
                <w:color w:val="0F1115"/>
                <w:spacing w:val="0"/>
                <w:kern w:val="0"/>
                <w:sz w:val="18"/>
                <w:szCs w:val="18"/>
                <w:lang w:val="en-US" w:eastAsia="zh-CN" w:bidi="ar"/>
              </w:rPr>
              <w:t>Random Forest</w:t>
            </w:r>
          </w:p>
        </w:tc>
        <w:tc>
          <w:tcPr>
            <w:tcW w:w="787" w:type="pct"/>
            <w:tcBorders>
              <w:top w:val="single" w:color="auto" w:sz="4" w:space="0"/>
            </w:tcBorders>
            <w:shd w:val="clear" w:color="auto" w:fill="FFFFFF"/>
            <w:tcMar>
              <w:top w:w="150" w:type="dxa"/>
              <w:left w:w="240" w:type="dxa"/>
              <w:bottom w:w="150" w:type="dxa"/>
              <w:right w:w="240" w:type="dxa"/>
            </w:tcMar>
            <w:vAlign w:val="center"/>
          </w:tcPr>
          <w:p w14:paraId="5F5E3A9B">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ranger</w:t>
            </w:r>
          </w:p>
        </w:tc>
        <w:tc>
          <w:tcPr>
            <w:tcW w:w="495" w:type="pct"/>
            <w:tcBorders>
              <w:top w:val="single" w:color="auto" w:sz="4" w:space="0"/>
            </w:tcBorders>
            <w:shd w:val="clear" w:color="auto" w:fill="FFFFFF"/>
            <w:tcMar>
              <w:top w:w="150" w:type="dxa"/>
              <w:left w:w="240" w:type="dxa"/>
              <w:bottom w:w="150" w:type="dxa"/>
              <w:right w:w="240" w:type="dxa"/>
            </w:tcMar>
            <w:vAlign w:val="center"/>
          </w:tcPr>
          <w:p w14:paraId="24C52EEB">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Fonts w:hint="default" w:ascii="Times New Roman" w:hAnsi="Times New Roman" w:eastAsia="var(--ds-font-family-code)" w:cs="Times New Roman"/>
                <w:i w:val="0"/>
                <w:iCs w:val="0"/>
                <w:caps w:val="0"/>
                <w:color w:val="0F1115"/>
                <w:spacing w:val="0"/>
                <w:kern w:val="0"/>
                <w:sz w:val="18"/>
                <w:szCs w:val="18"/>
                <w:lang w:val="en-US" w:eastAsia="zh-CN" w:bidi="ar"/>
              </w:rPr>
              <w:t>Initial</w:t>
            </w:r>
          </w:p>
        </w:tc>
        <w:tc>
          <w:tcPr>
            <w:tcW w:w="2790" w:type="pct"/>
            <w:tcBorders>
              <w:top w:val="single" w:color="auto" w:sz="4" w:space="0"/>
            </w:tcBorders>
            <w:shd w:val="clear" w:color="auto" w:fill="FFFFFF"/>
            <w:tcMar>
              <w:top w:w="150" w:type="dxa"/>
              <w:left w:w="240" w:type="dxa"/>
              <w:bottom w:w="150" w:type="dxa"/>
              <w:right w:w="240" w:type="dxa"/>
            </w:tcMar>
            <w:vAlign w:val="center"/>
          </w:tcPr>
          <w:p w14:paraId="5E4FCE69">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num.trees = 500</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mtry = floor(sqrt(p))</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min.node.size = 10</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max.depth = 8</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probability = TRUE</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importance = "impurity"</w:t>
            </w:r>
          </w:p>
        </w:tc>
      </w:tr>
      <w:tr w14:paraId="0723C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926" w:type="pct"/>
            <w:shd w:val="clear" w:color="auto" w:fill="FFFFFF"/>
            <w:tcMar>
              <w:top w:w="150" w:type="dxa"/>
              <w:left w:w="0" w:type="dxa"/>
              <w:bottom w:w="150" w:type="dxa"/>
              <w:right w:w="240" w:type="dxa"/>
            </w:tcMar>
            <w:vAlign w:val="center"/>
          </w:tcPr>
          <w:p w14:paraId="117535FB">
            <w:pPr>
              <w:snapToGrid w:val="0"/>
              <w:ind w:left="0" w:leftChars="0" w:right="0" w:rightChars="0" w:firstLine="0" w:firstLineChars="0"/>
              <w:jc w:val="left"/>
              <w:rPr>
                <w:rFonts w:hint="default" w:ascii="Times New Roman" w:hAnsi="Times New Roman" w:eastAsia="var(--ds-font-family-code)" w:cs="Times New Roman"/>
                <w:i w:val="0"/>
                <w:iCs w:val="0"/>
                <w:caps w:val="0"/>
                <w:color w:val="0F1115"/>
                <w:spacing w:val="0"/>
                <w:sz w:val="18"/>
                <w:szCs w:val="18"/>
              </w:rPr>
            </w:pPr>
          </w:p>
        </w:tc>
        <w:tc>
          <w:tcPr>
            <w:tcW w:w="787" w:type="pct"/>
            <w:shd w:val="clear" w:color="auto" w:fill="FFFFFF"/>
            <w:tcMar>
              <w:top w:w="150" w:type="dxa"/>
              <w:left w:w="240" w:type="dxa"/>
              <w:bottom w:w="150" w:type="dxa"/>
              <w:right w:w="240" w:type="dxa"/>
            </w:tcMar>
            <w:vAlign w:val="center"/>
          </w:tcPr>
          <w:p w14:paraId="0738B9F6">
            <w:pPr>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p>
        </w:tc>
        <w:tc>
          <w:tcPr>
            <w:tcW w:w="495" w:type="pct"/>
            <w:shd w:val="clear" w:color="auto" w:fill="FFFFFF"/>
            <w:tcMar>
              <w:top w:w="150" w:type="dxa"/>
              <w:left w:w="240" w:type="dxa"/>
              <w:bottom w:w="150" w:type="dxa"/>
              <w:right w:w="240" w:type="dxa"/>
            </w:tcMar>
            <w:vAlign w:val="center"/>
          </w:tcPr>
          <w:p w14:paraId="3626A106">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Fonts w:hint="default" w:ascii="Times New Roman" w:hAnsi="Times New Roman" w:eastAsia="var(--ds-font-family-code)" w:cs="Times New Roman"/>
                <w:i w:val="0"/>
                <w:iCs w:val="0"/>
                <w:caps w:val="0"/>
                <w:color w:val="0F1115"/>
                <w:spacing w:val="0"/>
                <w:kern w:val="0"/>
                <w:sz w:val="18"/>
                <w:szCs w:val="18"/>
                <w:lang w:val="en-US" w:eastAsia="zh-CN" w:bidi="ar"/>
              </w:rPr>
              <w:t>Final</w:t>
            </w:r>
          </w:p>
        </w:tc>
        <w:tc>
          <w:tcPr>
            <w:tcW w:w="2790" w:type="pct"/>
            <w:shd w:val="clear" w:color="auto" w:fill="FFFFFF"/>
            <w:tcMar>
              <w:top w:w="150" w:type="dxa"/>
              <w:left w:w="240" w:type="dxa"/>
              <w:bottom w:w="150" w:type="dxa"/>
              <w:right w:w="240" w:type="dxa"/>
            </w:tcMar>
            <w:vAlign w:val="center"/>
          </w:tcPr>
          <w:p w14:paraId="037615A1">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num.trees = 500</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mtry = ncol</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min.node.size = 75</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max.depth = 4</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probability = TRUE</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importance = "impurity"</w:t>
            </w:r>
          </w:p>
        </w:tc>
      </w:tr>
      <w:tr w14:paraId="79374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926" w:type="pct"/>
            <w:shd w:val="clear" w:color="auto" w:fill="FFFFFF"/>
            <w:tcMar>
              <w:top w:w="150" w:type="dxa"/>
              <w:left w:w="0" w:type="dxa"/>
              <w:bottom w:w="150" w:type="dxa"/>
              <w:right w:w="240" w:type="dxa"/>
            </w:tcMar>
            <w:vAlign w:val="center"/>
          </w:tcPr>
          <w:p w14:paraId="45542FE8">
            <w:pPr>
              <w:keepNext w:val="0"/>
              <w:keepLines w:val="0"/>
              <w:widowControl/>
              <w:suppressLineNumbers w:val="0"/>
              <w:snapToGrid w:val="0"/>
              <w:ind w:left="0" w:leftChars="0" w:right="0" w:rightChars="0" w:firstLine="0" w:firstLineChars="0"/>
              <w:jc w:val="left"/>
              <w:rPr>
                <w:rFonts w:hint="default" w:ascii="Times New Roman" w:hAnsi="Times New Roman" w:eastAsia="var(--ds-font-family-code)" w:cs="Times New Roman"/>
                <w:i w:val="0"/>
                <w:iCs w:val="0"/>
                <w:caps w:val="0"/>
                <w:color w:val="0F1115"/>
                <w:spacing w:val="0"/>
                <w:sz w:val="18"/>
                <w:szCs w:val="18"/>
              </w:rPr>
            </w:pPr>
            <w:r>
              <w:rPr>
                <w:rFonts w:hint="default" w:ascii="Times New Roman" w:hAnsi="Times New Roman" w:eastAsia="var(--ds-font-family-code)" w:cs="Times New Roman"/>
                <w:b/>
                <w:bCs/>
                <w:i w:val="0"/>
                <w:iCs w:val="0"/>
                <w:caps w:val="0"/>
                <w:color w:val="0F1115"/>
                <w:spacing w:val="0"/>
                <w:kern w:val="0"/>
                <w:sz w:val="18"/>
                <w:szCs w:val="18"/>
                <w:lang w:val="en-US" w:eastAsia="zh-CN" w:bidi="ar"/>
              </w:rPr>
              <w:t>XGBoost</w:t>
            </w:r>
          </w:p>
        </w:tc>
        <w:tc>
          <w:tcPr>
            <w:tcW w:w="787" w:type="pct"/>
            <w:shd w:val="clear" w:color="auto" w:fill="FFFFFF"/>
            <w:tcMar>
              <w:top w:w="150" w:type="dxa"/>
              <w:left w:w="240" w:type="dxa"/>
              <w:bottom w:w="150" w:type="dxa"/>
              <w:right w:w="240" w:type="dxa"/>
            </w:tcMar>
            <w:vAlign w:val="center"/>
          </w:tcPr>
          <w:p w14:paraId="1CE3CDE5">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xgboost</w:t>
            </w:r>
          </w:p>
        </w:tc>
        <w:tc>
          <w:tcPr>
            <w:tcW w:w="495" w:type="pct"/>
            <w:shd w:val="clear" w:color="auto" w:fill="FFFFFF"/>
            <w:tcMar>
              <w:top w:w="150" w:type="dxa"/>
              <w:left w:w="240" w:type="dxa"/>
              <w:bottom w:w="150" w:type="dxa"/>
              <w:right w:w="240" w:type="dxa"/>
            </w:tcMar>
            <w:vAlign w:val="center"/>
          </w:tcPr>
          <w:p w14:paraId="32BA7C2D">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Fonts w:hint="default" w:ascii="Times New Roman" w:hAnsi="Times New Roman" w:eastAsia="var(--ds-font-family-code)" w:cs="Times New Roman"/>
                <w:i w:val="0"/>
                <w:iCs w:val="0"/>
                <w:caps w:val="0"/>
                <w:color w:val="0F1115"/>
                <w:spacing w:val="0"/>
                <w:kern w:val="0"/>
                <w:sz w:val="18"/>
                <w:szCs w:val="18"/>
                <w:lang w:val="en-US" w:eastAsia="zh-CN" w:bidi="ar"/>
              </w:rPr>
              <w:t>Initial</w:t>
            </w:r>
          </w:p>
        </w:tc>
        <w:tc>
          <w:tcPr>
            <w:tcW w:w="2790" w:type="pct"/>
            <w:shd w:val="clear" w:color="auto" w:fill="FFFFFF"/>
            <w:tcMar>
              <w:top w:w="150" w:type="dxa"/>
              <w:left w:w="240" w:type="dxa"/>
              <w:bottom w:w="150" w:type="dxa"/>
              <w:right w:w="240" w:type="dxa"/>
            </w:tcMar>
            <w:vAlign w:val="center"/>
          </w:tcPr>
          <w:p w14:paraId="364DDC33">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max_depth = 3</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learning_rate = 0.1</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nrounds = 100</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objective = "binary:logistic"</w:t>
            </w:r>
          </w:p>
        </w:tc>
      </w:tr>
      <w:tr w14:paraId="30EE1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926" w:type="pct"/>
            <w:shd w:val="clear" w:color="auto" w:fill="FFFFFF"/>
            <w:tcMar>
              <w:top w:w="150" w:type="dxa"/>
              <w:left w:w="0" w:type="dxa"/>
              <w:bottom w:w="150" w:type="dxa"/>
              <w:right w:w="240" w:type="dxa"/>
            </w:tcMar>
            <w:vAlign w:val="center"/>
          </w:tcPr>
          <w:p w14:paraId="7BCD1685">
            <w:pPr>
              <w:snapToGrid w:val="0"/>
              <w:ind w:left="0" w:leftChars="0" w:right="0" w:rightChars="0" w:firstLine="0" w:firstLineChars="0"/>
              <w:jc w:val="left"/>
              <w:rPr>
                <w:rFonts w:hint="default" w:ascii="Times New Roman" w:hAnsi="Times New Roman" w:eastAsia="var(--ds-font-family-code)" w:cs="Times New Roman"/>
                <w:i w:val="0"/>
                <w:iCs w:val="0"/>
                <w:caps w:val="0"/>
                <w:color w:val="0F1115"/>
                <w:spacing w:val="0"/>
                <w:sz w:val="18"/>
                <w:szCs w:val="18"/>
              </w:rPr>
            </w:pPr>
          </w:p>
        </w:tc>
        <w:tc>
          <w:tcPr>
            <w:tcW w:w="787" w:type="pct"/>
            <w:shd w:val="clear" w:color="auto" w:fill="FFFFFF"/>
            <w:tcMar>
              <w:top w:w="150" w:type="dxa"/>
              <w:left w:w="240" w:type="dxa"/>
              <w:bottom w:w="150" w:type="dxa"/>
              <w:right w:w="240" w:type="dxa"/>
            </w:tcMar>
            <w:vAlign w:val="center"/>
          </w:tcPr>
          <w:p w14:paraId="1634D958">
            <w:pPr>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p>
        </w:tc>
        <w:tc>
          <w:tcPr>
            <w:tcW w:w="495" w:type="pct"/>
            <w:shd w:val="clear" w:color="auto" w:fill="FFFFFF"/>
            <w:tcMar>
              <w:top w:w="150" w:type="dxa"/>
              <w:left w:w="240" w:type="dxa"/>
              <w:bottom w:w="150" w:type="dxa"/>
              <w:right w:w="240" w:type="dxa"/>
            </w:tcMar>
            <w:vAlign w:val="center"/>
          </w:tcPr>
          <w:p w14:paraId="3FBE9012">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Fonts w:hint="default" w:ascii="Times New Roman" w:hAnsi="Times New Roman" w:eastAsia="var(--ds-font-family-code)" w:cs="Times New Roman"/>
                <w:i w:val="0"/>
                <w:iCs w:val="0"/>
                <w:caps w:val="0"/>
                <w:color w:val="0F1115"/>
                <w:spacing w:val="0"/>
                <w:kern w:val="0"/>
                <w:sz w:val="18"/>
                <w:szCs w:val="18"/>
                <w:lang w:val="en-US" w:eastAsia="zh-CN" w:bidi="ar"/>
              </w:rPr>
              <w:t>Final</w:t>
            </w:r>
          </w:p>
        </w:tc>
        <w:tc>
          <w:tcPr>
            <w:tcW w:w="2790" w:type="pct"/>
            <w:shd w:val="clear" w:color="auto" w:fill="FFFFFF"/>
            <w:tcMar>
              <w:top w:w="150" w:type="dxa"/>
              <w:left w:w="240" w:type="dxa"/>
              <w:bottom w:w="150" w:type="dxa"/>
              <w:right w:w="240" w:type="dxa"/>
            </w:tcMar>
            <w:vAlign w:val="center"/>
          </w:tcPr>
          <w:p w14:paraId="789789D5">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max_depth = 2</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learning_rate = 0.05</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nrounds = 200</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lambda = 1</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alpha = 0.5</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subsample = 0.8</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colsample_bytree = 0.8</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objective = "binary:logistic"</w:t>
            </w:r>
          </w:p>
        </w:tc>
      </w:tr>
      <w:tr w14:paraId="3F16D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926" w:type="pct"/>
            <w:shd w:val="clear" w:color="auto" w:fill="FFFFFF"/>
            <w:tcMar>
              <w:top w:w="150" w:type="dxa"/>
              <w:left w:w="0" w:type="dxa"/>
              <w:bottom w:w="150" w:type="dxa"/>
              <w:right w:w="240" w:type="dxa"/>
            </w:tcMar>
            <w:vAlign w:val="center"/>
          </w:tcPr>
          <w:p w14:paraId="2E1A3CF5">
            <w:pPr>
              <w:keepNext w:val="0"/>
              <w:keepLines w:val="0"/>
              <w:widowControl/>
              <w:suppressLineNumbers w:val="0"/>
              <w:snapToGrid w:val="0"/>
              <w:ind w:left="0" w:leftChars="0" w:right="0" w:rightChars="0" w:firstLine="0" w:firstLineChars="0"/>
              <w:jc w:val="left"/>
              <w:rPr>
                <w:rFonts w:hint="default" w:ascii="Times New Roman" w:hAnsi="Times New Roman" w:eastAsia="var(--ds-font-family-code)" w:cs="Times New Roman"/>
                <w:i w:val="0"/>
                <w:iCs w:val="0"/>
                <w:caps w:val="0"/>
                <w:color w:val="0F1115"/>
                <w:spacing w:val="0"/>
                <w:sz w:val="18"/>
                <w:szCs w:val="18"/>
              </w:rPr>
            </w:pPr>
            <w:r>
              <w:rPr>
                <w:rFonts w:hint="default" w:ascii="Times New Roman" w:hAnsi="Times New Roman" w:eastAsia="var(--ds-font-family-code)" w:cs="Times New Roman"/>
                <w:b/>
                <w:bCs/>
                <w:i w:val="0"/>
                <w:iCs w:val="0"/>
                <w:caps w:val="0"/>
                <w:color w:val="0F1115"/>
                <w:spacing w:val="0"/>
                <w:kern w:val="0"/>
                <w:sz w:val="18"/>
                <w:szCs w:val="18"/>
                <w:lang w:val="en-US" w:eastAsia="zh-CN" w:bidi="ar"/>
              </w:rPr>
              <w:t>LightGBM</w:t>
            </w:r>
          </w:p>
        </w:tc>
        <w:tc>
          <w:tcPr>
            <w:tcW w:w="787" w:type="pct"/>
            <w:shd w:val="clear" w:color="auto" w:fill="FFFFFF"/>
            <w:tcMar>
              <w:top w:w="150" w:type="dxa"/>
              <w:left w:w="240" w:type="dxa"/>
              <w:bottom w:w="150" w:type="dxa"/>
              <w:right w:w="240" w:type="dxa"/>
            </w:tcMar>
            <w:vAlign w:val="center"/>
          </w:tcPr>
          <w:p w14:paraId="0416A608">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lightgbm</w:t>
            </w:r>
          </w:p>
        </w:tc>
        <w:tc>
          <w:tcPr>
            <w:tcW w:w="495" w:type="pct"/>
            <w:shd w:val="clear" w:color="auto" w:fill="FFFFFF"/>
            <w:tcMar>
              <w:top w:w="150" w:type="dxa"/>
              <w:left w:w="240" w:type="dxa"/>
              <w:bottom w:w="150" w:type="dxa"/>
              <w:right w:w="240" w:type="dxa"/>
            </w:tcMar>
            <w:vAlign w:val="center"/>
          </w:tcPr>
          <w:p w14:paraId="7C89C5D4">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Fonts w:hint="default" w:ascii="Times New Roman" w:hAnsi="Times New Roman" w:eastAsia="var(--ds-font-family-code)" w:cs="Times New Roman"/>
                <w:i w:val="0"/>
                <w:iCs w:val="0"/>
                <w:caps w:val="0"/>
                <w:color w:val="0F1115"/>
                <w:spacing w:val="0"/>
                <w:kern w:val="0"/>
                <w:sz w:val="18"/>
                <w:szCs w:val="18"/>
                <w:lang w:val="en-US" w:eastAsia="zh-CN" w:bidi="ar"/>
              </w:rPr>
              <w:t>Initial</w:t>
            </w:r>
          </w:p>
        </w:tc>
        <w:tc>
          <w:tcPr>
            <w:tcW w:w="2790" w:type="pct"/>
            <w:shd w:val="clear" w:color="auto" w:fill="FFFFFF"/>
            <w:tcMar>
              <w:top w:w="150" w:type="dxa"/>
              <w:left w:w="240" w:type="dxa"/>
              <w:bottom w:w="150" w:type="dxa"/>
              <w:right w:w="240" w:type="dxa"/>
            </w:tcMar>
            <w:vAlign w:val="center"/>
          </w:tcPr>
          <w:p w14:paraId="4D375834">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num_leaves = 31</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learning_rate = 0.1</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nrounds = 100</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objective = "binary"</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metric = "auc"</w:t>
            </w:r>
          </w:p>
        </w:tc>
      </w:tr>
      <w:tr w14:paraId="58373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926" w:type="pct"/>
            <w:shd w:val="clear" w:color="auto" w:fill="FFFFFF"/>
            <w:tcMar>
              <w:top w:w="150" w:type="dxa"/>
              <w:left w:w="0" w:type="dxa"/>
              <w:bottom w:w="150" w:type="dxa"/>
              <w:right w:w="240" w:type="dxa"/>
            </w:tcMar>
            <w:vAlign w:val="center"/>
          </w:tcPr>
          <w:p w14:paraId="40A1E766">
            <w:pPr>
              <w:snapToGrid w:val="0"/>
              <w:ind w:left="0" w:leftChars="0" w:right="0" w:rightChars="0" w:firstLine="0" w:firstLineChars="0"/>
              <w:jc w:val="left"/>
              <w:rPr>
                <w:rFonts w:hint="default" w:ascii="Times New Roman" w:hAnsi="Times New Roman" w:eastAsia="var(--ds-font-family-code)" w:cs="Times New Roman"/>
                <w:i w:val="0"/>
                <w:iCs w:val="0"/>
                <w:caps w:val="0"/>
                <w:color w:val="0F1115"/>
                <w:spacing w:val="0"/>
                <w:sz w:val="18"/>
                <w:szCs w:val="18"/>
              </w:rPr>
            </w:pPr>
          </w:p>
        </w:tc>
        <w:tc>
          <w:tcPr>
            <w:tcW w:w="787" w:type="pct"/>
            <w:shd w:val="clear" w:color="auto" w:fill="FFFFFF"/>
            <w:tcMar>
              <w:top w:w="150" w:type="dxa"/>
              <w:left w:w="240" w:type="dxa"/>
              <w:bottom w:w="150" w:type="dxa"/>
              <w:right w:w="240" w:type="dxa"/>
            </w:tcMar>
            <w:vAlign w:val="center"/>
          </w:tcPr>
          <w:p w14:paraId="7390FDC2">
            <w:pPr>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p>
        </w:tc>
        <w:tc>
          <w:tcPr>
            <w:tcW w:w="495" w:type="pct"/>
            <w:shd w:val="clear" w:color="auto" w:fill="FFFFFF"/>
            <w:tcMar>
              <w:top w:w="150" w:type="dxa"/>
              <w:left w:w="240" w:type="dxa"/>
              <w:bottom w:w="150" w:type="dxa"/>
              <w:right w:w="240" w:type="dxa"/>
            </w:tcMar>
            <w:vAlign w:val="center"/>
          </w:tcPr>
          <w:p w14:paraId="77763363">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Fonts w:hint="default" w:ascii="Times New Roman" w:hAnsi="Times New Roman" w:eastAsia="var(--ds-font-family-code)" w:cs="Times New Roman"/>
                <w:i w:val="0"/>
                <w:iCs w:val="0"/>
                <w:caps w:val="0"/>
                <w:color w:val="0F1115"/>
                <w:spacing w:val="0"/>
                <w:kern w:val="0"/>
                <w:sz w:val="18"/>
                <w:szCs w:val="18"/>
                <w:lang w:val="en-US" w:eastAsia="zh-CN" w:bidi="ar"/>
              </w:rPr>
              <w:t>Final</w:t>
            </w:r>
          </w:p>
        </w:tc>
        <w:tc>
          <w:tcPr>
            <w:tcW w:w="2790" w:type="pct"/>
            <w:shd w:val="clear" w:color="auto" w:fill="FFFFFF"/>
            <w:tcMar>
              <w:top w:w="150" w:type="dxa"/>
              <w:left w:w="240" w:type="dxa"/>
              <w:bottom w:w="150" w:type="dxa"/>
              <w:right w:w="240" w:type="dxa"/>
            </w:tcMar>
            <w:vAlign w:val="center"/>
          </w:tcPr>
          <w:p w14:paraId="25C9EB3D">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num_leaves = 15</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learning_rate = 0.05</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nrounds = 200</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lambda_l1 = 0.5</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lambda_l2 = 1</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feature_fraction = 0.8</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bagging_fraction = 0.8</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objective = "binary"</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metric = "auc"</w:t>
            </w:r>
          </w:p>
        </w:tc>
      </w:tr>
      <w:tr w14:paraId="3E2F5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926" w:type="pct"/>
            <w:shd w:val="clear" w:color="auto" w:fill="FFFFFF"/>
            <w:tcMar>
              <w:top w:w="150" w:type="dxa"/>
              <w:left w:w="0" w:type="dxa"/>
              <w:bottom w:w="150" w:type="dxa"/>
              <w:right w:w="240" w:type="dxa"/>
            </w:tcMar>
            <w:vAlign w:val="center"/>
          </w:tcPr>
          <w:p w14:paraId="2A4154E1">
            <w:pPr>
              <w:keepNext w:val="0"/>
              <w:keepLines w:val="0"/>
              <w:widowControl/>
              <w:suppressLineNumbers w:val="0"/>
              <w:snapToGrid w:val="0"/>
              <w:ind w:left="0" w:leftChars="0" w:right="0" w:rightChars="0" w:firstLine="0" w:firstLineChars="0"/>
              <w:jc w:val="left"/>
              <w:rPr>
                <w:rFonts w:hint="default" w:ascii="Times New Roman" w:hAnsi="Times New Roman" w:eastAsia="var(--ds-font-family-code)" w:cs="Times New Roman"/>
                <w:i w:val="0"/>
                <w:iCs w:val="0"/>
                <w:caps w:val="0"/>
                <w:color w:val="0F1115"/>
                <w:spacing w:val="0"/>
                <w:sz w:val="18"/>
                <w:szCs w:val="18"/>
              </w:rPr>
            </w:pPr>
            <w:r>
              <w:rPr>
                <w:rFonts w:hint="default" w:ascii="Times New Roman" w:hAnsi="Times New Roman" w:eastAsia="var(--ds-font-family-code)" w:cs="Times New Roman"/>
                <w:b/>
                <w:bCs/>
                <w:i w:val="0"/>
                <w:iCs w:val="0"/>
                <w:caps w:val="0"/>
                <w:color w:val="0F1115"/>
                <w:spacing w:val="0"/>
                <w:kern w:val="0"/>
                <w:sz w:val="18"/>
                <w:szCs w:val="18"/>
                <w:lang w:val="en-US" w:eastAsia="zh-CN" w:bidi="ar"/>
              </w:rPr>
              <w:t>MLP</w:t>
            </w:r>
          </w:p>
        </w:tc>
        <w:tc>
          <w:tcPr>
            <w:tcW w:w="787" w:type="pct"/>
            <w:shd w:val="clear" w:color="auto" w:fill="FFFFFF"/>
            <w:tcMar>
              <w:top w:w="150" w:type="dxa"/>
              <w:left w:w="240" w:type="dxa"/>
              <w:bottom w:w="150" w:type="dxa"/>
              <w:right w:w="240" w:type="dxa"/>
            </w:tcMar>
            <w:vAlign w:val="center"/>
          </w:tcPr>
          <w:p w14:paraId="7DBF38A0">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nnet</w:t>
            </w:r>
          </w:p>
        </w:tc>
        <w:tc>
          <w:tcPr>
            <w:tcW w:w="495" w:type="pct"/>
            <w:shd w:val="clear" w:color="auto" w:fill="FFFFFF"/>
            <w:tcMar>
              <w:top w:w="150" w:type="dxa"/>
              <w:left w:w="240" w:type="dxa"/>
              <w:bottom w:w="150" w:type="dxa"/>
              <w:right w:w="240" w:type="dxa"/>
            </w:tcMar>
            <w:vAlign w:val="center"/>
          </w:tcPr>
          <w:p w14:paraId="62C3FF3D">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Fonts w:hint="default" w:ascii="Times New Roman" w:hAnsi="Times New Roman" w:eastAsia="var(--ds-font-family-code)" w:cs="Times New Roman"/>
                <w:i w:val="0"/>
                <w:iCs w:val="0"/>
                <w:caps w:val="0"/>
                <w:color w:val="0F1115"/>
                <w:spacing w:val="0"/>
                <w:kern w:val="0"/>
                <w:sz w:val="18"/>
                <w:szCs w:val="18"/>
                <w:lang w:val="en-US" w:eastAsia="zh-CN" w:bidi="ar"/>
              </w:rPr>
              <w:t>Initial</w:t>
            </w:r>
          </w:p>
        </w:tc>
        <w:tc>
          <w:tcPr>
            <w:tcW w:w="2790" w:type="pct"/>
            <w:shd w:val="clear" w:color="auto" w:fill="FFFFFF"/>
            <w:tcMar>
              <w:top w:w="150" w:type="dxa"/>
              <w:left w:w="240" w:type="dxa"/>
              <w:bottom w:w="150" w:type="dxa"/>
              <w:right w:w="240" w:type="dxa"/>
            </w:tcMar>
            <w:vAlign w:val="center"/>
          </w:tcPr>
          <w:p w14:paraId="0234A283">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size = 5</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decay = 0.01</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maxit = 200</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trace = FALSE</w:t>
            </w:r>
          </w:p>
        </w:tc>
      </w:tr>
      <w:tr w14:paraId="7FE5D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0" w:hRule="atLeast"/>
          <w:jc w:val="center"/>
        </w:trPr>
        <w:tc>
          <w:tcPr>
            <w:tcW w:w="926" w:type="pct"/>
            <w:shd w:val="clear" w:color="auto" w:fill="FFFFFF"/>
            <w:tcMar>
              <w:top w:w="150" w:type="dxa"/>
              <w:left w:w="0" w:type="dxa"/>
              <w:bottom w:w="150" w:type="dxa"/>
              <w:right w:w="240" w:type="dxa"/>
            </w:tcMar>
            <w:vAlign w:val="center"/>
          </w:tcPr>
          <w:p w14:paraId="2031E197">
            <w:pPr>
              <w:keepNext w:val="0"/>
              <w:keepLines w:val="0"/>
              <w:widowControl/>
              <w:suppressLineNumbers w:val="0"/>
              <w:snapToGrid w:val="0"/>
              <w:ind w:left="0" w:leftChars="0" w:right="0" w:rightChars="0" w:firstLine="0" w:firstLineChars="0"/>
              <w:jc w:val="left"/>
              <w:rPr>
                <w:rFonts w:hint="default" w:ascii="Times New Roman" w:hAnsi="Times New Roman" w:eastAsia="var(--ds-font-family-code)" w:cs="Times New Roman"/>
                <w:i w:val="0"/>
                <w:iCs w:val="0"/>
                <w:caps w:val="0"/>
                <w:color w:val="0F1115"/>
                <w:spacing w:val="0"/>
                <w:sz w:val="18"/>
                <w:szCs w:val="18"/>
              </w:rPr>
            </w:pPr>
            <w:r>
              <w:rPr>
                <w:rFonts w:hint="default" w:ascii="Times New Roman" w:hAnsi="Times New Roman" w:eastAsia="var(--ds-font-family-code)" w:cs="Times New Roman"/>
                <w:b/>
                <w:bCs/>
                <w:i w:val="0"/>
                <w:iCs w:val="0"/>
                <w:caps w:val="0"/>
                <w:color w:val="0F1115"/>
                <w:spacing w:val="0"/>
                <w:kern w:val="0"/>
                <w:sz w:val="18"/>
                <w:szCs w:val="18"/>
                <w:lang w:val="en-US" w:eastAsia="zh-CN" w:bidi="ar"/>
              </w:rPr>
              <w:t>AdaBoost</w:t>
            </w:r>
          </w:p>
        </w:tc>
        <w:tc>
          <w:tcPr>
            <w:tcW w:w="787" w:type="pct"/>
            <w:shd w:val="clear" w:color="auto" w:fill="FFFFFF"/>
            <w:tcMar>
              <w:top w:w="150" w:type="dxa"/>
              <w:left w:w="240" w:type="dxa"/>
              <w:bottom w:w="150" w:type="dxa"/>
              <w:right w:w="240" w:type="dxa"/>
            </w:tcMar>
            <w:vAlign w:val="center"/>
          </w:tcPr>
          <w:p w14:paraId="6B303F22">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ada</w:t>
            </w:r>
          </w:p>
        </w:tc>
        <w:tc>
          <w:tcPr>
            <w:tcW w:w="495" w:type="pct"/>
            <w:shd w:val="clear" w:color="auto" w:fill="FFFFFF"/>
            <w:tcMar>
              <w:top w:w="150" w:type="dxa"/>
              <w:left w:w="240" w:type="dxa"/>
              <w:bottom w:w="150" w:type="dxa"/>
              <w:right w:w="240" w:type="dxa"/>
            </w:tcMar>
            <w:vAlign w:val="center"/>
          </w:tcPr>
          <w:p w14:paraId="19BC6DC9">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Fonts w:hint="default" w:ascii="Times New Roman" w:hAnsi="Times New Roman" w:eastAsia="var(--ds-font-family-code)" w:cs="Times New Roman"/>
                <w:i w:val="0"/>
                <w:iCs w:val="0"/>
                <w:caps w:val="0"/>
                <w:color w:val="0F1115"/>
                <w:spacing w:val="0"/>
                <w:kern w:val="0"/>
                <w:sz w:val="18"/>
                <w:szCs w:val="18"/>
                <w:lang w:val="en-US" w:eastAsia="zh-CN" w:bidi="ar"/>
              </w:rPr>
              <w:t>Initial</w:t>
            </w:r>
          </w:p>
        </w:tc>
        <w:tc>
          <w:tcPr>
            <w:tcW w:w="2790" w:type="pct"/>
            <w:shd w:val="clear" w:color="auto" w:fill="FFFFFF"/>
            <w:tcMar>
              <w:top w:w="150" w:type="dxa"/>
              <w:left w:w="240" w:type="dxa"/>
              <w:bottom w:w="150" w:type="dxa"/>
              <w:right w:w="240" w:type="dxa"/>
            </w:tcMar>
            <w:vAlign w:val="center"/>
          </w:tcPr>
          <w:p w14:paraId="01D0856B">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iter = 50</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nu = 0.1</w:t>
            </w:r>
          </w:p>
        </w:tc>
      </w:tr>
      <w:tr w14:paraId="671D6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0" w:hRule="atLeast"/>
          <w:jc w:val="center"/>
        </w:trPr>
        <w:tc>
          <w:tcPr>
            <w:tcW w:w="926" w:type="pct"/>
            <w:tcBorders>
              <w:bottom w:val="single" w:color="auto" w:sz="4" w:space="0"/>
            </w:tcBorders>
            <w:shd w:val="clear" w:color="auto" w:fill="FFFFFF"/>
            <w:tcMar>
              <w:top w:w="150" w:type="dxa"/>
              <w:left w:w="0" w:type="dxa"/>
              <w:bottom w:w="150" w:type="dxa"/>
              <w:right w:w="240" w:type="dxa"/>
            </w:tcMar>
            <w:vAlign w:val="center"/>
          </w:tcPr>
          <w:p w14:paraId="04A8B848">
            <w:pPr>
              <w:keepNext w:val="0"/>
              <w:keepLines w:val="0"/>
              <w:widowControl/>
              <w:suppressLineNumbers w:val="0"/>
              <w:snapToGrid w:val="0"/>
              <w:ind w:left="0" w:leftChars="0" w:right="0" w:rightChars="0" w:firstLine="0" w:firstLineChars="0"/>
              <w:jc w:val="left"/>
              <w:rPr>
                <w:rFonts w:hint="default" w:ascii="Times New Roman" w:hAnsi="Times New Roman" w:eastAsia="var(--ds-font-family-code)" w:cs="Times New Roman"/>
                <w:i w:val="0"/>
                <w:iCs w:val="0"/>
                <w:caps w:val="0"/>
                <w:color w:val="0F1115"/>
                <w:spacing w:val="0"/>
                <w:sz w:val="18"/>
                <w:szCs w:val="18"/>
              </w:rPr>
            </w:pPr>
            <w:r>
              <w:rPr>
                <w:rFonts w:hint="default" w:ascii="Times New Roman" w:hAnsi="Times New Roman" w:eastAsia="var(--ds-font-family-code)" w:cs="Times New Roman"/>
                <w:b/>
                <w:bCs/>
                <w:i w:val="0"/>
                <w:iCs w:val="0"/>
                <w:caps w:val="0"/>
                <w:color w:val="0F1115"/>
                <w:spacing w:val="0"/>
                <w:kern w:val="0"/>
                <w:sz w:val="18"/>
                <w:szCs w:val="18"/>
                <w:lang w:val="en-US" w:eastAsia="zh-CN" w:bidi="ar"/>
              </w:rPr>
              <w:t>Bagging</w:t>
            </w:r>
          </w:p>
        </w:tc>
        <w:tc>
          <w:tcPr>
            <w:tcW w:w="787" w:type="pct"/>
            <w:tcBorders>
              <w:bottom w:val="single" w:color="auto" w:sz="4" w:space="0"/>
            </w:tcBorders>
            <w:shd w:val="clear" w:color="auto" w:fill="FFFFFF"/>
            <w:tcMar>
              <w:top w:w="150" w:type="dxa"/>
              <w:left w:w="240" w:type="dxa"/>
              <w:bottom w:w="150" w:type="dxa"/>
              <w:right w:w="240" w:type="dxa"/>
            </w:tcMar>
            <w:vAlign w:val="center"/>
          </w:tcPr>
          <w:p w14:paraId="32D9B903">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randomForest</w:t>
            </w:r>
          </w:p>
        </w:tc>
        <w:tc>
          <w:tcPr>
            <w:tcW w:w="495" w:type="pct"/>
            <w:tcBorders>
              <w:bottom w:val="single" w:color="auto" w:sz="4" w:space="0"/>
            </w:tcBorders>
            <w:shd w:val="clear" w:color="auto" w:fill="FFFFFF"/>
            <w:tcMar>
              <w:top w:w="150" w:type="dxa"/>
              <w:left w:w="240" w:type="dxa"/>
              <w:bottom w:w="150" w:type="dxa"/>
              <w:right w:w="240" w:type="dxa"/>
            </w:tcMar>
            <w:vAlign w:val="center"/>
          </w:tcPr>
          <w:p w14:paraId="79B9E298">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Fonts w:hint="default" w:ascii="Times New Roman" w:hAnsi="Times New Roman" w:eastAsia="var(--ds-font-family-code)" w:cs="Times New Roman"/>
                <w:i w:val="0"/>
                <w:iCs w:val="0"/>
                <w:caps w:val="0"/>
                <w:color w:val="0F1115"/>
                <w:spacing w:val="0"/>
                <w:kern w:val="0"/>
                <w:sz w:val="18"/>
                <w:szCs w:val="18"/>
                <w:lang w:val="en-US" w:eastAsia="zh-CN" w:bidi="ar"/>
              </w:rPr>
              <w:t>Initial</w:t>
            </w:r>
          </w:p>
        </w:tc>
        <w:tc>
          <w:tcPr>
            <w:tcW w:w="2790" w:type="pct"/>
            <w:tcBorders>
              <w:bottom w:val="single" w:color="auto" w:sz="4" w:space="0"/>
            </w:tcBorders>
            <w:shd w:val="clear" w:color="auto" w:fill="FFFFFF"/>
            <w:tcMar>
              <w:top w:w="150" w:type="dxa"/>
              <w:left w:w="240" w:type="dxa"/>
              <w:bottom w:w="150" w:type="dxa"/>
              <w:right w:w="240" w:type="dxa"/>
            </w:tcMar>
            <w:vAlign w:val="center"/>
          </w:tcPr>
          <w:p w14:paraId="76EDDD40">
            <w:pPr>
              <w:keepNext w:val="0"/>
              <w:keepLines w:val="0"/>
              <w:widowControl/>
              <w:suppressLineNumbers w:val="0"/>
              <w:snapToGrid w:val="0"/>
              <w:ind w:left="0" w:leftChars="0" w:right="0" w:rightChars="0" w:firstLine="0" w:firstLineChars="0"/>
              <w:jc w:val="center"/>
              <w:rPr>
                <w:rFonts w:hint="default" w:ascii="Times New Roman" w:hAnsi="Times New Roman" w:eastAsia="var(--ds-font-family-code)" w:cs="Times New Roman"/>
                <w:i w:val="0"/>
                <w:iCs w:val="0"/>
                <w:caps w:val="0"/>
                <w:color w:val="0F1115"/>
                <w:spacing w:val="0"/>
                <w:sz w:val="18"/>
                <w:szCs w:val="18"/>
              </w:rPr>
            </w:pP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ntree = 500</w:t>
            </w:r>
            <w:r>
              <w:rPr>
                <w:rFonts w:hint="default" w:ascii="Times New Roman" w:hAnsi="Times New Roman" w:eastAsia="var(--ds-font-family-code)" w:cs="Times New Roman"/>
                <w:i w:val="0"/>
                <w:iCs w:val="0"/>
                <w:caps w:val="0"/>
                <w:color w:val="0F1115"/>
                <w:spacing w:val="0"/>
                <w:kern w:val="0"/>
                <w:sz w:val="18"/>
                <w:szCs w:val="18"/>
                <w:lang w:val="en-US" w:eastAsia="zh-CN" w:bidi="ar"/>
              </w:rPr>
              <w:t>, </w:t>
            </w:r>
            <w:r>
              <w:rPr>
                <w:rStyle w:val="5"/>
                <w:rFonts w:hint="default" w:ascii="Times New Roman" w:hAnsi="Times New Roman" w:eastAsia="var(--ds-font-family-code)" w:cs="Times New Roman"/>
                <w:i w:val="0"/>
                <w:iCs w:val="0"/>
                <w:caps w:val="0"/>
                <w:color w:val="0F1115"/>
                <w:spacing w:val="0"/>
                <w:kern w:val="0"/>
                <w:sz w:val="18"/>
                <w:szCs w:val="18"/>
                <w:lang w:val="en-US" w:eastAsia="zh-CN" w:bidi="ar"/>
              </w:rPr>
              <w:t>mtry = ncol</w:t>
            </w:r>
          </w:p>
        </w:tc>
      </w:tr>
    </w:tbl>
    <w:p w14:paraId="63CBEC7A">
      <w:pPr>
        <w:rPr>
          <w:rFonts w:hint="default" w:ascii="Times New Roman" w:hAnsi="Times New Roman" w:cs="Times New Roman"/>
        </w:rPr>
      </w:pPr>
      <w:r>
        <w:rPr>
          <w:rFonts w:hint="default" w:ascii="Times New Roman" w:hAnsi="Times New Roman" w:cs="Times New Roman"/>
          <w:b/>
          <w:bCs/>
        </w:rPr>
        <w:t>Note:</w:t>
      </w:r>
      <w:r>
        <w:rPr>
          <w:rFonts w:hint="default" w:ascii="Times New Roman" w:hAnsi="Times New Roman" w:cs="Times New Roman"/>
        </w:rPr>
        <w:t xml:space="preserve"> p denotes the number of features in the current feature set. For the final phase, only the selected optimal model's hyperparameters were applied; parameters for non-selected algorithms are listed for completeness of the supplementary table.</w:t>
      </w:r>
    </w:p>
    <w:p w14:paraId="3165FD83">
      <w:pPr>
        <w:rPr>
          <w:rFonts w:hint="eastAsia" w:ascii="Times New Roman" w:hAnsi="Times New Roman" w:cs="Times New Roman" w:eastAsiaTheme="minorEastAsia"/>
          <w:lang w:eastAsia="zh-CN"/>
        </w:rPr>
      </w:pPr>
    </w:p>
    <w:p w14:paraId="7B74C3A9">
      <w:pPr>
        <w:rPr>
          <w:rFonts w:hint="eastAsia" w:ascii="Times New Roman" w:hAnsi="Times New Roman" w:cs="Times New Roman" w:eastAsiaTheme="minorEastAsia"/>
          <w:lang w:eastAsia="zh-CN"/>
        </w:rPr>
      </w:pPr>
    </w:p>
    <w:p w14:paraId="71F3325B">
      <w:pPr>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73040" cy="2750185"/>
            <wp:effectExtent l="0" t="0" r="3810" b="2540"/>
            <wp:docPr id="14" name="图片 14" descr="KM曲线拼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KM曲线拼图"/>
                    <pic:cNvPicPr>
                      <a:picLocks noChangeAspect="1"/>
                    </pic:cNvPicPr>
                  </pic:nvPicPr>
                  <pic:blipFill>
                    <a:blip r:embed="rId5"/>
                    <a:stretch>
                      <a:fillRect/>
                    </a:stretch>
                  </pic:blipFill>
                  <pic:spPr>
                    <a:xfrm>
                      <a:off x="0" y="0"/>
                      <a:ext cx="5273040" cy="2750185"/>
                    </a:xfrm>
                    <a:prstGeom prst="rect">
                      <a:avLst/>
                    </a:prstGeom>
                  </pic:spPr>
                </pic:pic>
              </a:graphicData>
            </a:graphic>
          </wp:inline>
        </w:drawing>
      </w:r>
    </w:p>
    <w:p w14:paraId="6CD61586">
      <w:pPr>
        <w:rPr>
          <w:rFonts w:hint="eastAsia" w:ascii="Times New Roman" w:hAnsi="Times New Roman" w:cs="Times New Roman" w:eastAsiaTheme="minorEastAsia"/>
          <w:lang w:eastAsia="zh-CN"/>
        </w:rPr>
      </w:pPr>
    </w:p>
    <w:p w14:paraId="797943FE">
      <w:pPr>
        <w:rPr>
          <w:rFonts w:hint="eastAsia" w:ascii="Times New Roman" w:hAnsi="Times New Roman" w:cs="Times New Roman" w:eastAsiaTheme="minorEastAsia"/>
          <w:b w:val="0"/>
          <w:bCs w:val="0"/>
          <w:lang w:eastAsia="zh-CN"/>
        </w:rPr>
      </w:pPr>
      <w:r>
        <w:rPr>
          <w:rFonts w:hint="eastAsia" w:ascii="Times New Roman" w:hAnsi="Times New Roman" w:cs="Times New Roman" w:eastAsiaTheme="minorEastAsia"/>
          <w:b/>
          <w:bCs/>
          <w:lang w:eastAsia="zh-CN"/>
        </w:rPr>
        <w:t>Supplementary Figure S</w:t>
      </w:r>
      <w:r>
        <w:rPr>
          <w:rFonts w:hint="eastAsia" w:ascii="Times New Roman" w:hAnsi="Times New Roman" w:cs="Times New Roman"/>
          <w:b/>
          <w:bCs/>
          <w:lang w:val="en-US" w:eastAsia="zh-CN"/>
        </w:rPr>
        <w:t>2</w:t>
      </w:r>
      <w:r>
        <w:rPr>
          <w:rFonts w:hint="eastAsia" w:ascii="Times New Roman" w:hAnsi="Times New Roman" w:cs="Times New Roman" w:eastAsiaTheme="minorEastAsia"/>
          <w:b/>
          <w:bCs/>
          <w:lang w:eastAsia="zh-CN"/>
        </w:rPr>
        <w:t xml:space="preserve">. Kaplan-Meier survival curves for advanced CKM syndrome by quartiles of </w:t>
      </w:r>
      <w:r>
        <w:rPr>
          <w:rFonts w:hint="eastAsia" w:ascii="Times New Roman" w:hAnsi="Times New Roman" w:cs="Times New Roman"/>
          <w:b/>
          <w:bCs/>
          <w:lang w:val="en-US" w:eastAsia="zh-CN"/>
        </w:rPr>
        <w:t xml:space="preserve">TyG and </w:t>
      </w:r>
      <w:r>
        <w:rPr>
          <w:rFonts w:hint="eastAsia" w:ascii="Times New Roman" w:hAnsi="Times New Roman" w:cs="Times New Roman" w:eastAsiaTheme="minorEastAsia"/>
          <w:b/>
          <w:bCs/>
          <w:lang w:eastAsia="zh-CN"/>
        </w:rPr>
        <w:t>TyG-related indices.</w:t>
      </w:r>
    </w:p>
    <w:p w14:paraId="2B36B57E">
      <w:pPr>
        <w:rPr>
          <w:rFonts w:hint="eastAsia" w:ascii="Times New Roman" w:hAnsi="Times New Roman" w:cs="Times New Roman" w:eastAsiaTheme="minorEastAsia"/>
          <w:lang w:eastAsia="zh-CN"/>
        </w:rPr>
      </w:pPr>
    </w:p>
    <w:p w14:paraId="3D6744CD">
      <w:pPr>
        <w:rPr>
          <w:rFonts w:hint="eastAsia" w:ascii="Times New Roman" w:hAnsi="Times New Roman" w:cs="Times New Roman" w:eastAsiaTheme="minorEastAsia"/>
          <w:lang w:eastAsia="zh-CN"/>
        </w:rPr>
      </w:pPr>
    </w:p>
    <w:p w14:paraId="45AAC1F9">
      <w:pPr>
        <w:rPr>
          <w:rFonts w:hint="eastAsia" w:ascii="Times New Roman" w:hAnsi="Times New Roman" w:cs="Times New Roman" w:eastAsiaTheme="minorEastAsia"/>
          <w:b/>
          <w:bCs/>
          <w:lang w:eastAsia="zh-CN"/>
        </w:rPr>
      </w:pPr>
      <w:r>
        <w:rPr>
          <w:rFonts w:hint="eastAsia" w:ascii="Times New Roman" w:hAnsi="Times New Roman" w:cs="Times New Roman" w:eastAsiaTheme="minorEastAsia"/>
          <w:b/>
          <w:bCs/>
          <w:lang w:eastAsia="zh-CN"/>
        </w:rPr>
        <w:t>Supplementary Table S</w:t>
      </w:r>
      <w:r>
        <w:rPr>
          <w:rFonts w:hint="eastAsia" w:ascii="Times New Roman" w:hAnsi="Times New Roman" w:cs="Times New Roman"/>
          <w:b/>
          <w:bCs/>
          <w:lang w:val="en-US" w:eastAsia="zh-CN"/>
        </w:rPr>
        <w:t>3</w:t>
      </w:r>
      <w:r>
        <w:rPr>
          <w:rFonts w:hint="eastAsia" w:ascii="Times New Roman" w:hAnsi="Times New Roman" w:cs="Times New Roman" w:eastAsiaTheme="minorEastAsia"/>
          <w:b/>
          <w:bCs/>
          <w:lang w:eastAsia="zh-CN"/>
        </w:rPr>
        <w:t>. RCS statistics for TyG and TyG-derived indices with 5-year advanced CKM syndrome.</w:t>
      </w:r>
    </w:p>
    <w:tbl>
      <w:tblPr>
        <w:tblStyle w:val="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3"/>
        <w:gridCol w:w="1721"/>
        <w:gridCol w:w="2340"/>
        <w:gridCol w:w="2885"/>
      </w:tblGrid>
      <w:tr w14:paraId="5B757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923" w:type="pct"/>
            <w:tcBorders>
              <w:top w:val="single" w:color="auto" w:sz="4" w:space="0"/>
              <w:left w:val="nil"/>
              <w:bottom w:val="single" w:color="auto" w:sz="4" w:space="0"/>
              <w:right w:val="nil"/>
            </w:tcBorders>
            <w:vAlign w:val="center"/>
          </w:tcPr>
          <w:p w14:paraId="2390AA63">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sz w:val="21"/>
                <w:szCs w:val="21"/>
                <w:vertAlign w:val="baseline"/>
                <w:lang w:eastAsia="zh-CN"/>
              </w:rPr>
            </w:pPr>
            <w:r>
              <w:rPr>
                <w:rFonts w:hint="default" w:ascii="Times New Roman" w:hAnsi="Times New Roman" w:eastAsia="var(--dsw-font-markdown-table-h" w:cs="Times New Roman"/>
                <w:b/>
                <w:bCs/>
                <w:i w:val="0"/>
                <w:iCs w:val="0"/>
                <w:caps w:val="0"/>
                <w:color w:val="0F1115"/>
                <w:spacing w:val="0"/>
                <w:kern w:val="0"/>
                <w:sz w:val="21"/>
                <w:szCs w:val="21"/>
                <w:lang w:val="en-US" w:eastAsia="zh-CN" w:bidi="ar"/>
              </w:rPr>
              <w:t>Index</w:t>
            </w:r>
          </w:p>
        </w:tc>
        <w:tc>
          <w:tcPr>
            <w:tcW w:w="1010" w:type="pct"/>
            <w:tcBorders>
              <w:top w:val="single" w:color="auto" w:sz="4" w:space="0"/>
              <w:left w:val="nil"/>
              <w:bottom w:val="single" w:color="auto" w:sz="4" w:space="0"/>
              <w:right w:val="nil"/>
            </w:tcBorders>
            <w:vAlign w:val="center"/>
          </w:tcPr>
          <w:p w14:paraId="4E75CBC5">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sz w:val="21"/>
                <w:szCs w:val="21"/>
                <w:vertAlign w:val="baseline"/>
                <w:lang w:eastAsia="zh-CN"/>
              </w:rPr>
            </w:pPr>
            <w:r>
              <w:rPr>
                <w:rFonts w:hint="default" w:ascii="Times New Roman" w:hAnsi="Times New Roman" w:eastAsia="var(--dsw-font-markdown-table-h" w:cs="Times New Roman"/>
                <w:b/>
                <w:bCs/>
                <w:i/>
                <w:iCs/>
                <w:caps w:val="0"/>
                <w:color w:val="0F1115"/>
                <w:spacing w:val="0"/>
                <w:kern w:val="0"/>
                <w:sz w:val="21"/>
                <w:szCs w:val="21"/>
                <w:lang w:val="en-US" w:eastAsia="zh-CN" w:bidi="ar"/>
              </w:rPr>
              <w:t>P</w:t>
            </w:r>
            <w:r>
              <w:rPr>
                <w:rFonts w:hint="default" w:ascii="Times New Roman" w:hAnsi="Times New Roman" w:eastAsia="var(--dsw-font-markdown-table-h" w:cs="Times New Roman"/>
                <w:b/>
                <w:bCs/>
                <w:i w:val="0"/>
                <w:iCs w:val="0"/>
                <w:caps w:val="0"/>
                <w:color w:val="0F1115"/>
                <w:spacing w:val="0"/>
                <w:kern w:val="0"/>
                <w:sz w:val="21"/>
                <w:szCs w:val="21"/>
                <w:lang w:val="en-US" w:eastAsia="zh-CN" w:bidi="ar"/>
              </w:rPr>
              <w:t xml:space="preserve"> for overall</w:t>
            </w:r>
          </w:p>
        </w:tc>
        <w:tc>
          <w:tcPr>
            <w:tcW w:w="1373" w:type="pct"/>
            <w:tcBorders>
              <w:top w:val="single" w:color="auto" w:sz="4" w:space="0"/>
              <w:left w:val="nil"/>
              <w:bottom w:val="single" w:color="auto" w:sz="4" w:space="0"/>
              <w:right w:val="nil"/>
            </w:tcBorders>
            <w:vAlign w:val="center"/>
          </w:tcPr>
          <w:p w14:paraId="7A9DE030">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sz w:val="21"/>
                <w:szCs w:val="21"/>
                <w:vertAlign w:val="baseline"/>
                <w:lang w:eastAsia="zh-CN"/>
              </w:rPr>
            </w:pPr>
            <w:r>
              <w:rPr>
                <w:rFonts w:hint="default" w:ascii="Times New Roman" w:hAnsi="Times New Roman" w:eastAsia="var(--dsw-font-markdown-table-h" w:cs="Times New Roman"/>
                <w:b/>
                <w:bCs/>
                <w:i/>
                <w:iCs/>
                <w:caps w:val="0"/>
                <w:color w:val="0F1115"/>
                <w:spacing w:val="0"/>
                <w:kern w:val="0"/>
                <w:sz w:val="21"/>
                <w:szCs w:val="21"/>
                <w:lang w:val="en-US" w:eastAsia="zh-CN" w:bidi="ar"/>
              </w:rPr>
              <w:t>P</w:t>
            </w:r>
            <w:r>
              <w:rPr>
                <w:rFonts w:hint="default" w:ascii="Times New Roman" w:hAnsi="Times New Roman" w:eastAsia="var(--dsw-font-markdown-table-h" w:cs="Times New Roman"/>
                <w:b/>
                <w:bCs/>
                <w:i w:val="0"/>
                <w:iCs w:val="0"/>
                <w:caps w:val="0"/>
                <w:color w:val="0F1115"/>
                <w:spacing w:val="0"/>
                <w:kern w:val="0"/>
                <w:sz w:val="21"/>
                <w:szCs w:val="21"/>
                <w:lang w:val="en-US" w:eastAsia="zh-CN" w:bidi="ar"/>
              </w:rPr>
              <w:t xml:space="preserve"> for nonlinearity</w:t>
            </w:r>
          </w:p>
        </w:tc>
        <w:tc>
          <w:tcPr>
            <w:tcW w:w="1693" w:type="pct"/>
            <w:tcBorders>
              <w:top w:val="single" w:color="auto" w:sz="4" w:space="0"/>
              <w:left w:val="nil"/>
              <w:bottom w:val="single" w:color="auto" w:sz="4" w:space="0"/>
              <w:right w:val="nil"/>
            </w:tcBorders>
            <w:vAlign w:val="center"/>
          </w:tcPr>
          <w:p w14:paraId="2D490FE4">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sz w:val="21"/>
                <w:szCs w:val="21"/>
                <w:vertAlign w:val="baseline"/>
                <w:lang w:eastAsia="zh-CN"/>
              </w:rPr>
            </w:pPr>
            <w:r>
              <w:rPr>
                <w:rFonts w:hint="eastAsia" w:ascii="Times New Roman" w:hAnsi="Times New Roman" w:eastAsia="var(--dsw-font-markdown-table-h" w:cs="Times New Roman"/>
                <w:b/>
                <w:bCs/>
                <w:i w:val="0"/>
                <w:iCs w:val="0"/>
                <w:caps w:val="0"/>
                <w:color w:val="0F1115"/>
                <w:spacing w:val="0"/>
                <w:kern w:val="0"/>
                <w:sz w:val="21"/>
                <w:szCs w:val="21"/>
                <w:lang w:val="en-US" w:eastAsia="zh-CN" w:bidi="ar"/>
              </w:rPr>
              <w:t>C</w:t>
            </w:r>
            <w:r>
              <w:rPr>
                <w:rFonts w:hint="default" w:ascii="Times New Roman" w:hAnsi="Times New Roman" w:eastAsia="var(--dsw-font-markdown-table-h" w:cs="Times New Roman"/>
                <w:b/>
                <w:bCs/>
                <w:i w:val="0"/>
                <w:iCs w:val="0"/>
                <w:caps w:val="0"/>
                <w:color w:val="0F1115"/>
                <w:spacing w:val="0"/>
                <w:kern w:val="0"/>
                <w:sz w:val="21"/>
                <w:szCs w:val="21"/>
                <w:lang w:val="en-US" w:eastAsia="zh-CN" w:bidi="ar"/>
              </w:rPr>
              <w:t>rossing points (HR = 1)</w:t>
            </w:r>
          </w:p>
        </w:tc>
      </w:tr>
      <w:tr w14:paraId="5EE77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3" w:type="pct"/>
            <w:tcBorders>
              <w:top w:val="single" w:color="auto" w:sz="4" w:space="0"/>
              <w:left w:val="nil"/>
              <w:bottom w:val="nil"/>
              <w:right w:val="nil"/>
            </w:tcBorders>
            <w:vAlign w:val="center"/>
          </w:tcPr>
          <w:p w14:paraId="4F52F538">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TyG</w:t>
            </w:r>
          </w:p>
        </w:tc>
        <w:tc>
          <w:tcPr>
            <w:tcW w:w="1010" w:type="pct"/>
            <w:tcBorders>
              <w:top w:val="single" w:color="auto" w:sz="4" w:space="0"/>
              <w:left w:val="nil"/>
              <w:bottom w:val="nil"/>
              <w:right w:val="nil"/>
            </w:tcBorders>
            <w:vAlign w:val="center"/>
          </w:tcPr>
          <w:p w14:paraId="585230E7">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0.038</w:t>
            </w:r>
          </w:p>
        </w:tc>
        <w:tc>
          <w:tcPr>
            <w:tcW w:w="1373" w:type="pct"/>
            <w:tcBorders>
              <w:top w:val="single" w:color="auto" w:sz="4" w:space="0"/>
              <w:left w:val="nil"/>
              <w:bottom w:val="nil"/>
              <w:right w:val="nil"/>
            </w:tcBorders>
            <w:vAlign w:val="center"/>
          </w:tcPr>
          <w:p w14:paraId="0E4AEB44">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0.172</w:t>
            </w:r>
          </w:p>
        </w:tc>
        <w:tc>
          <w:tcPr>
            <w:tcW w:w="1693" w:type="pct"/>
            <w:tcBorders>
              <w:top w:val="single" w:color="auto" w:sz="4" w:space="0"/>
              <w:left w:val="nil"/>
              <w:bottom w:val="nil"/>
              <w:right w:val="nil"/>
            </w:tcBorders>
            <w:vAlign w:val="center"/>
          </w:tcPr>
          <w:p w14:paraId="4A3D5F6F">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7.983, 8.559</w:t>
            </w:r>
          </w:p>
        </w:tc>
      </w:tr>
      <w:tr w14:paraId="2C75F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3" w:type="pct"/>
            <w:tcBorders>
              <w:top w:val="nil"/>
              <w:left w:val="nil"/>
              <w:bottom w:val="nil"/>
              <w:right w:val="nil"/>
            </w:tcBorders>
            <w:vAlign w:val="center"/>
          </w:tcPr>
          <w:p w14:paraId="16C67CDC">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TyG</w:t>
            </w:r>
            <w:r>
              <w:rPr>
                <w:rFonts w:hint="eastAsia" w:ascii="Times New Roman" w:hAnsi="Times New Roman" w:eastAsia="var(--dsw-font-markdown-table)" w:cs="Times New Roman"/>
                <w:i w:val="0"/>
                <w:iCs w:val="0"/>
                <w:caps w:val="0"/>
                <w:color w:val="0F1115"/>
                <w:spacing w:val="0"/>
                <w:kern w:val="0"/>
                <w:sz w:val="21"/>
                <w:szCs w:val="21"/>
                <w:lang w:val="en-US" w:eastAsia="zh-CN" w:bidi="ar"/>
              </w:rPr>
              <w:t>-</w:t>
            </w:r>
            <w:r>
              <w:rPr>
                <w:rFonts w:hint="default" w:ascii="Times New Roman" w:hAnsi="Times New Roman" w:eastAsia="var(--dsw-font-markdown-table)" w:cs="Times New Roman"/>
                <w:i w:val="0"/>
                <w:iCs w:val="0"/>
                <w:caps w:val="0"/>
                <w:color w:val="0F1115"/>
                <w:spacing w:val="0"/>
                <w:kern w:val="0"/>
                <w:sz w:val="21"/>
                <w:szCs w:val="21"/>
                <w:lang w:val="en-US" w:eastAsia="zh-CN" w:bidi="ar"/>
              </w:rPr>
              <w:t>WC</w:t>
            </w:r>
          </w:p>
        </w:tc>
        <w:tc>
          <w:tcPr>
            <w:tcW w:w="1010" w:type="pct"/>
            <w:tcBorders>
              <w:top w:val="nil"/>
              <w:left w:val="nil"/>
              <w:bottom w:val="nil"/>
              <w:right w:val="nil"/>
            </w:tcBorders>
            <w:vAlign w:val="center"/>
          </w:tcPr>
          <w:p w14:paraId="469AE9F4">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&lt;0.001</w:t>
            </w:r>
          </w:p>
        </w:tc>
        <w:tc>
          <w:tcPr>
            <w:tcW w:w="1373" w:type="pct"/>
            <w:tcBorders>
              <w:top w:val="nil"/>
              <w:left w:val="nil"/>
              <w:bottom w:val="nil"/>
              <w:right w:val="nil"/>
            </w:tcBorders>
            <w:vAlign w:val="center"/>
          </w:tcPr>
          <w:p w14:paraId="55F9E218">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0.281</w:t>
            </w:r>
          </w:p>
        </w:tc>
        <w:tc>
          <w:tcPr>
            <w:tcW w:w="1693" w:type="pct"/>
            <w:tcBorders>
              <w:top w:val="nil"/>
              <w:left w:val="nil"/>
              <w:bottom w:val="nil"/>
              <w:right w:val="nil"/>
            </w:tcBorders>
            <w:vAlign w:val="center"/>
          </w:tcPr>
          <w:p w14:paraId="29CB13C2">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738.125</w:t>
            </w:r>
          </w:p>
        </w:tc>
      </w:tr>
      <w:tr w14:paraId="16D74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3" w:type="pct"/>
            <w:tcBorders>
              <w:top w:val="nil"/>
              <w:left w:val="nil"/>
              <w:bottom w:val="nil"/>
              <w:right w:val="nil"/>
            </w:tcBorders>
            <w:vAlign w:val="center"/>
          </w:tcPr>
          <w:p w14:paraId="102D832D">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TyG</w:t>
            </w:r>
            <w:r>
              <w:rPr>
                <w:rFonts w:hint="eastAsia" w:ascii="Times New Roman" w:hAnsi="Times New Roman" w:eastAsia="var(--dsw-font-markdown-table)" w:cs="Times New Roman"/>
                <w:i w:val="0"/>
                <w:iCs w:val="0"/>
                <w:caps w:val="0"/>
                <w:color w:val="0F1115"/>
                <w:spacing w:val="0"/>
                <w:kern w:val="0"/>
                <w:sz w:val="21"/>
                <w:szCs w:val="21"/>
                <w:lang w:val="en-US" w:eastAsia="zh-CN" w:bidi="ar"/>
              </w:rPr>
              <w:t>-</w:t>
            </w:r>
            <w:r>
              <w:rPr>
                <w:rFonts w:hint="default" w:ascii="Times New Roman" w:hAnsi="Times New Roman" w:eastAsia="var(--dsw-font-markdown-table)" w:cs="Times New Roman"/>
                <w:i w:val="0"/>
                <w:iCs w:val="0"/>
                <w:caps w:val="0"/>
                <w:color w:val="0F1115"/>
                <w:spacing w:val="0"/>
                <w:kern w:val="0"/>
                <w:sz w:val="21"/>
                <w:szCs w:val="21"/>
                <w:lang w:val="en-US" w:eastAsia="zh-CN" w:bidi="ar"/>
              </w:rPr>
              <w:t>WHtR</w:t>
            </w:r>
          </w:p>
        </w:tc>
        <w:tc>
          <w:tcPr>
            <w:tcW w:w="1010" w:type="pct"/>
            <w:tcBorders>
              <w:top w:val="nil"/>
              <w:left w:val="nil"/>
              <w:bottom w:val="nil"/>
              <w:right w:val="nil"/>
            </w:tcBorders>
            <w:vAlign w:val="center"/>
          </w:tcPr>
          <w:p w14:paraId="6E48B06E">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&lt;0.001</w:t>
            </w:r>
          </w:p>
        </w:tc>
        <w:tc>
          <w:tcPr>
            <w:tcW w:w="1373" w:type="pct"/>
            <w:tcBorders>
              <w:top w:val="nil"/>
              <w:left w:val="nil"/>
              <w:bottom w:val="nil"/>
              <w:right w:val="nil"/>
            </w:tcBorders>
            <w:vAlign w:val="center"/>
          </w:tcPr>
          <w:p w14:paraId="2FB46694">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0.239</w:t>
            </w:r>
          </w:p>
        </w:tc>
        <w:tc>
          <w:tcPr>
            <w:tcW w:w="1693" w:type="pct"/>
            <w:tcBorders>
              <w:top w:val="nil"/>
              <w:left w:val="nil"/>
              <w:bottom w:val="nil"/>
              <w:right w:val="nil"/>
            </w:tcBorders>
            <w:vAlign w:val="center"/>
          </w:tcPr>
          <w:p w14:paraId="1A751427">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4.672</w:t>
            </w:r>
          </w:p>
        </w:tc>
      </w:tr>
      <w:tr w14:paraId="78407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3" w:type="pct"/>
            <w:tcBorders>
              <w:top w:val="nil"/>
              <w:left w:val="nil"/>
              <w:bottom w:val="nil"/>
              <w:right w:val="nil"/>
            </w:tcBorders>
            <w:vAlign w:val="center"/>
          </w:tcPr>
          <w:p w14:paraId="269198F3">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TyG</w:t>
            </w:r>
            <w:r>
              <w:rPr>
                <w:rFonts w:hint="eastAsia" w:ascii="Times New Roman" w:hAnsi="Times New Roman" w:eastAsia="var(--dsw-font-markdown-table)" w:cs="Times New Roman"/>
                <w:i w:val="0"/>
                <w:iCs w:val="0"/>
                <w:caps w:val="0"/>
                <w:color w:val="0F1115"/>
                <w:spacing w:val="0"/>
                <w:kern w:val="0"/>
                <w:sz w:val="21"/>
                <w:szCs w:val="21"/>
                <w:lang w:val="en-US" w:eastAsia="zh-CN" w:bidi="ar"/>
              </w:rPr>
              <w:t>-</w:t>
            </w:r>
            <w:r>
              <w:rPr>
                <w:rFonts w:hint="default" w:ascii="Times New Roman" w:hAnsi="Times New Roman" w:eastAsia="var(--dsw-font-markdown-table)" w:cs="Times New Roman"/>
                <w:i w:val="0"/>
                <w:iCs w:val="0"/>
                <w:caps w:val="0"/>
                <w:color w:val="0F1115"/>
                <w:spacing w:val="0"/>
                <w:kern w:val="0"/>
                <w:sz w:val="21"/>
                <w:szCs w:val="21"/>
                <w:lang w:val="en-US" w:eastAsia="zh-CN" w:bidi="ar"/>
              </w:rPr>
              <w:t>BMI</w:t>
            </w:r>
          </w:p>
        </w:tc>
        <w:tc>
          <w:tcPr>
            <w:tcW w:w="1010" w:type="pct"/>
            <w:tcBorders>
              <w:top w:val="nil"/>
              <w:left w:val="nil"/>
              <w:bottom w:val="nil"/>
              <w:right w:val="nil"/>
            </w:tcBorders>
            <w:vAlign w:val="center"/>
          </w:tcPr>
          <w:p w14:paraId="122C9CDF">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0.027</w:t>
            </w:r>
          </w:p>
        </w:tc>
        <w:tc>
          <w:tcPr>
            <w:tcW w:w="1373" w:type="pct"/>
            <w:tcBorders>
              <w:top w:val="nil"/>
              <w:left w:val="nil"/>
              <w:bottom w:val="nil"/>
              <w:right w:val="nil"/>
            </w:tcBorders>
            <w:vAlign w:val="center"/>
          </w:tcPr>
          <w:p w14:paraId="21053542">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0.803</w:t>
            </w:r>
          </w:p>
        </w:tc>
        <w:tc>
          <w:tcPr>
            <w:tcW w:w="1693" w:type="pct"/>
            <w:tcBorders>
              <w:top w:val="nil"/>
              <w:left w:val="nil"/>
              <w:bottom w:val="nil"/>
              <w:right w:val="nil"/>
            </w:tcBorders>
            <w:vAlign w:val="center"/>
          </w:tcPr>
          <w:p w14:paraId="508BC9E6">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203.614</w:t>
            </w:r>
          </w:p>
        </w:tc>
      </w:tr>
      <w:tr w14:paraId="6E5E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3" w:type="pct"/>
            <w:tcBorders>
              <w:top w:val="nil"/>
              <w:left w:val="nil"/>
              <w:bottom w:val="nil"/>
              <w:right w:val="nil"/>
            </w:tcBorders>
            <w:vAlign w:val="center"/>
          </w:tcPr>
          <w:p w14:paraId="6A9CB347">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TyG</w:t>
            </w:r>
            <w:r>
              <w:rPr>
                <w:rFonts w:hint="eastAsia" w:ascii="Times New Roman" w:hAnsi="Times New Roman" w:eastAsia="var(--dsw-font-markdown-table)" w:cs="Times New Roman"/>
                <w:i w:val="0"/>
                <w:iCs w:val="0"/>
                <w:caps w:val="0"/>
                <w:color w:val="0F1115"/>
                <w:spacing w:val="0"/>
                <w:kern w:val="0"/>
                <w:sz w:val="21"/>
                <w:szCs w:val="21"/>
                <w:lang w:val="en-US" w:eastAsia="zh-CN" w:bidi="ar"/>
              </w:rPr>
              <w:t>-</w:t>
            </w:r>
            <w:r>
              <w:rPr>
                <w:rFonts w:hint="default" w:ascii="Times New Roman" w:hAnsi="Times New Roman" w:eastAsia="var(--dsw-font-markdown-table)" w:cs="Times New Roman"/>
                <w:i w:val="0"/>
                <w:iCs w:val="0"/>
                <w:caps w:val="0"/>
                <w:color w:val="0F1115"/>
                <w:spacing w:val="0"/>
                <w:kern w:val="0"/>
                <w:sz w:val="21"/>
                <w:szCs w:val="21"/>
                <w:lang w:val="en-US" w:eastAsia="zh-CN" w:bidi="ar"/>
              </w:rPr>
              <w:t>BRI</w:t>
            </w:r>
          </w:p>
        </w:tc>
        <w:tc>
          <w:tcPr>
            <w:tcW w:w="1010" w:type="pct"/>
            <w:tcBorders>
              <w:top w:val="nil"/>
              <w:left w:val="nil"/>
              <w:bottom w:val="nil"/>
              <w:right w:val="nil"/>
            </w:tcBorders>
            <w:vAlign w:val="center"/>
          </w:tcPr>
          <w:p w14:paraId="5B941760">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&lt;0.001</w:t>
            </w:r>
          </w:p>
        </w:tc>
        <w:tc>
          <w:tcPr>
            <w:tcW w:w="1373" w:type="pct"/>
            <w:tcBorders>
              <w:top w:val="nil"/>
              <w:left w:val="nil"/>
              <w:bottom w:val="nil"/>
              <w:right w:val="nil"/>
            </w:tcBorders>
            <w:vAlign w:val="center"/>
          </w:tcPr>
          <w:p w14:paraId="50A0DC6B">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0.777</w:t>
            </w:r>
          </w:p>
        </w:tc>
        <w:tc>
          <w:tcPr>
            <w:tcW w:w="1693" w:type="pct"/>
            <w:tcBorders>
              <w:top w:val="nil"/>
              <w:left w:val="nil"/>
              <w:bottom w:val="nil"/>
              <w:right w:val="nil"/>
            </w:tcBorders>
            <w:vAlign w:val="center"/>
          </w:tcPr>
          <w:p w14:paraId="38FF4947">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36.499</w:t>
            </w:r>
          </w:p>
        </w:tc>
      </w:tr>
      <w:tr w14:paraId="35675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3" w:type="pct"/>
            <w:tcBorders>
              <w:top w:val="nil"/>
              <w:left w:val="nil"/>
              <w:bottom w:val="nil"/>
              <w:right w:val="nil"/>
            </w:tcBorders>
            <w:vAlign w:val="center"/>
          </w:tcPr>
          <w:p w14:paraId="7D4B4A21">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TyG</w:t>
            </w:r>
            <w:r>
              <w:rPr>
                <w:rFonts w:hint="eastAsia" w:ascii="Times New Roman" w:hAnsi="Times New Roman" w:eastAsia="var(--dsw-font-markdown-table)" w:cs="Times New Roman"/>
                <w:i w:val="0"/>
                <w:iCs w:val="0"/>
                <w:caps w:val="0"/>
                <w:color w:val="0F1115"/>
                <w:spacing w:val="0"/>
                <w:kern w:val="0"/>
                <w:sz w:val="21"/>
                <w:szCs w:val="21"/>
                <w:lang w:val="en-US" w:eastAsia="zh-CN" w:bidi="ar"/>
              </w:rPr>
              <w:t>-</w:t>
            </w:r>
            <w:r>
              <w:rPr>
                <w:rFonts w:hint="default" w:ascii="Times New Roman" w:hAnsi="Times New Roman" w:eastAsia="var(--dsw-font-markdown-table)" w:cs="Times New Roman"/>
                <w:i w:val="0"/>
                <w:iCs w:val="0"/>
                <w:caps w:val="0"/>
                <w:color w:val="0F1115"/>
                <w:spacing w:val="0"/>
                <w:kern w:val="0"/>
                <w:sz w:val="21"/>
                <w:szCs w:val="21"/>
                <w:lang w:val="en-US" w:eastAsia="zh-CN" w:bidi="ar"/>
              </w:rPr>
              <w:t>WWI</w:t>
            </w:r>
          </w:p>
        </w:tc>
        <w:tc>
          <w:tcPr>
            <w:tcW w:w="1010" w:type="pct"/>
            <w:tcBorders>
              <w:top w:val="nil"/>
              <w:left w:val="nil"/>
              <w:bottom w:val="nil"/>
              <w:right w:val="nil"/>
            </w:tcBorders>
            <w:vAlign w:val="center"/>
          </w:tcPr>
          <w:p w14:paraId="3EADBC86">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0.004</w:t>
            </w:r>
          </w:p>
        </w:tc>
        <w:tc>
          <w:tcPr>
            <w:tcW w:w="1373" w:type="pct"/>
            <w:tcBorders>
              <w:top w:val="nil"/>
              <w:left w:val="nil"/>
              <w:bottom w:val="nil"/>
              <w:right w:val="nil"/>
            </w:tcBorders>
            <w:vAlign w:val="center"/>
          </w:tcPr>
          <w:p w14:paraId="55FDB12E">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0.282</w:t>
            </w:r>
          </w:p>
        </w:tc>
        <w:tc>
          <w:tcPr>
            <w:tcW w:w="1693" w:type="pct"/>
            <w:tcBorders>
              <w:top w:val="nil"/>
              <w:left w:val="nil"/>
              <w:bottom w:val="nil"/>
              <w:right w:val="nil"/>
            </w:tcBorders>
            <w:vAlign w:val="center"/>
          </w:tcPr>
          <w:p w14:paraId="7C30CC6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95.919</w:t>
            </w:r>
          </w:p>
        </w:tc>
      </w:tr>
      <w:tr w14:paraId="2775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3" w:type="pct"/>
            <w:tcBorders>
              <w:top w:val="nil"/>
              <w:left w:val="nil"/>
              <w:bottom w:val="nil"/>
              <w:right w:val="nil"/>
            </w:tcBorders>
            <w:vAlign w:val="center"/>
          </w:tcPr>
          <w:p w14:paraId="5D0B6402">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TyG</w:t>
            </w:r>
            <w:r>
              <w:rPr>
                <w:rFonts w:hint="eastAsia" w:ascii="Times New Roman" w:hAnsi="Times New Roman" w:eastAsia="var(--dsw-font-markdown-table)" w:cs="Times New Roman"/>
                <w:i w:val="0"/>
                <w:iCs w:val="0"/>
                <w:caps w:val="0"/>
                <w:color w:val="0F1115"/>
                <w:spacing w:val="0"/>
                <w:kern w:val="0"/>
                <w:sz w:val="21"/>
                <w:szCs w:val="21"/>
                <w:lang w:val="en-US" w:eastAsia="zh-CN" w:bidi="ar"/>
              </w:rPr>
              <w:t>-</w:t>
            </w:r>
            <w:r>
              <w:rPr>
                <w:rFonts w:hint="default" w:ascii="Times New Roman" w:hAnsi="Times New Roman" w:eastAsia="var(--dsw-font-markdown-table)" w:cs="Times New Roman"/>
                <w:i w:val="0"/>
                <w:iCs w:val="0"/>
                <w:caps w:val="0"/>
                <w:color w:val="0F1115"/>
                <w:spacing w:val="0"/>
                <w:kern w:val="0"/>
                <w:sz w:val="21"/>
                <w:szCs w:val="21"/>
                <w:lang w:val="en-US" w:eastAsia="zh-CN" w:bidi="ar"/>
              </w:rPr>
              <w:t>CVAI</w:t>
            </w:r>
          </w:p>
        </w:tc>
        <w:tc>
          <w:tcPr>
            <w:tcW w:w="1010" w:type="pct"/>
            <w:tcBorders>
              <w:top w:val="nil"/>
              <w:left w:val="nil"/>
              <w:bottom w:val="nil"/>
              <w:right w:val="nil"/>
            </w:tcBorders>
            <w:vAlign w:val="center"/>
          </w:tcPr>
          <w:p w14:paraId="3FFDBF35">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&lt;0.001</w:t>
            </w:r>
          </w:p>
        </w:tc>
        <w:tc>
          <w:tcPr>
            <w:tcW w:w="1373" w:type="pct"/>
            <w:tcBorders>
              <w:top w:val="nil"/>
              <w:left w:val="nil"/>
              <w:bottom w:val="nil"/>
              <w:right w:val="nil"/>
            </w:tcBorders>
            <w:vAlign w:val="center"/>
          </w:tcPr>
          <w:p w14:paraId="58AE8C67">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0.562</w:t>
            </w:r>
          </w:p>
        </w:tc>
        <w:tc>
          <w:tcPr>
            <w:tcW w:w="1693" w:type="pct"/>
            <w:tcBorders>
              <w:top w:val="nil"/>
              <w:left w:val="nil"/>
              <w:bottom w:val="nil"/>
              <w:right w:val="nil"/>
            </w:tcBorders>
            <w:vAlign w:val="center"/>
          </w:tcPr>
          <w:p w14:paraId="54F66978">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961.192</w:t>
            </w:r>
          </w:p>
        </w:tc>
      </w:tr>
      <w:tr w14:paraId="327F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3" w:type="pct"/>
            <w:tcBorders>
              <w:top w:val="nil"/>
              <w:left w:val="nil"/>
              <w:bottom w:val="nil"/>
              <w:right w:val="nil"/>
            </w:tcBorders>
            <w:vAlign w:val="center"/>
          </w:tcPr>
          <w:p w14:paraId="7CA80108">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TyG</w:t>
            </w:r>
            <w:r>
              <w:rPr>
                <w:rFonts w:hint="eastAsia" w:ascii="Times New Roman" w:hAnsi="Times New Roman" w:eastAsia="var(--dsw-font-markdown-table)" w:cs="Times New Roman"/>
                <w:i w:val="0"/>
                <w:iCs w:val="0"/>
                <w:caps w:val="0"/>
                <w:color w:val="0F1115"/>
                <w:spacing w:val="0"/>
                <w:kern w:val="0"/>
                <w:sz w:val="21"/>
                <w:szCs w:val="21"/>
                <w:lang w:val="en-US" w:eastAsia="zh-CN" w:bidi="ar"/>
              </w:rPr>
              <w:t>-</w:t>
            </w:r>
            <w:r>
              <w:rPr>
                <w:rFonts w:hint="default" w:ascii="Times New Roman" w:hAnsi="Times New Roman" w:eastAsia="var(--dsw-font-markdown-table)" w:cs="Times New Roman"/>
                <w:i w:val="0"/>
                <w:iCs w:val="0"/>
                <w:caps w:val="0"/>
                <w:color w:val="0F1115"/>
                <w:spacing w:val="0"/>
                <w:kern w:val="0"/>
                <w:sz w:val="21"/>
                <w:szCs w:val="21"/>
                <w:lang w:val="en-US" w:eastAsia="zh-CN" w:bidi="ar"/>
              </w:rPr>
              <w:t>ABSI</w:t>
            </w:r>
          </w:p>
        </w:tc>
        <w:tc>
          <w:tcPr>
            <w:tcW w:w="1010" w:type="pct"/>
            <w:tcBorders>
              <w:top w:val="nil"/>
              <w:left w:val="nil"/>
              <w:bottom w:val="nil"/>
              <w:right w:val="nil"/>
            </w:tcBorders>
            <w:vAlign w:val="center"/>
          </w:tcPr>
          <w:p w14:paraId="051A320D">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&lt;0.001</w:t>
            </w:r>
          </w:p>
        </w:tc>
        <w:tc>
          <w:tcPr>
            <w:tcW w:w="1373" w:type="pct"/>
            <w:tcBorders>
              <w:top w:val="nil"/>
              <w:left w:val="nil"/>
              <w:bottom w:val="nil"/>
              <w:right w:val="nil"/>
            </w:tcBorders>
            <w:vAlign w:val="center"/>
          </w:tcPr>
          <w:p w14:paraId="77B70D1F">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0.037</w:t>
            </w:r>
          </w:p>
        </w:tc>
        <w:tc>
          <w:tcPr>
            <w:tcW w:w="1693" w:type="pct"/>
            <w:tcBorders>
              <w:top w:val="nil"/>
              <w:left w:val="nil"/>
              <w:bottom w:val="nil"/>
              <w:right w:val="nil"/>
            </w:tcBorders>
            <w:vAlign w:val="center"/>
          </w:tcPr>
          <w:p w14:paraId="7515B84E">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0.651, 0.712</w:t>
            </w:r>
          </w:p>
        </w:tc>
      </w:tr>
      <w:tr w14:paraId="7FACA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3" w:type="pct"/>
            <w:tcBorders>
              <w:top w:val="nil"/>
              <w:left w:val="nil"/>
              <w:bottom w:val="nil"/>
              <w:right w:val="nil"/>
            </w:tcBorders>
            <w:vAlign w:val="center"/>
          </w:tcPr>
          <w:p w14:paraId="2ADEF215">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TyG</w:t>
            </w:r>
            <w:r>
              <w:rPr>
                <w:rFonts w:hint="eastAsia" w:ascii="Times New Roman" w:hAnsi="Times New Roman" w:eastAsia="var(--dsw-font-markdown-table)" w:cs="Times New Roman"/>
                <w:i w:val="0"/>
                <w:iCs w:val="0"/>
                <w:caps w:val="0"/>
                <w:color w:val="0F1115"/>
                <w:spacing w:val="0"/>
                <w:kern w:val="0"/>
                <w:sz w:val="21"/>
                <w:szCs w:val="21"/>
                <w:lang w:val="en-US" w:eastAsia="zh-CN" w:bidi="ar"/>
              </w:rPr>
              <w:t>-</w:t>
            </w:r>
            <w:r>
              <w:rPr>
                <w:rFonts w:hint="default" w:ascii="Times New Roman" w:hAnsi="Times New Roman" w:eastAsia="var(--dsw-font-markdown-table)" w:cs="Times New Roman"/>
                <w:i w:val="0"/>
                <w:iCs w:val="0"/>
                <w:caps w:val="0"/>
                <w:color w:val="0F1115"/>
                <w:spacing w:val="0"/>
                <w:kern w:val="0"/>
                <w:sz w:val="21"/>
                <w:szCs w:val="21"/>
                <w:lang w:val="en-US" w:eastAsia="zh-CN" w:bidi="ar"/>
              </w:rPr>
              <w:t>VAI</w:t>
            </w:r>
          </w:p>
        </w:tc>
        <w:tc>
          <w:tcPr>
            <w:tcW w:w="1010" w:type="pct"/>
            <w:tcBorders>
              <w:top w:val="nil"/>
              <w:left w:val="nil"/>
              <w:bottom w:val="nil"/>
              <w:right w:val="nil"/>
            </w:tcBorders>
            <w:vAlign w:val="center"/>
          </w:tcPr>
          <w:p w14:paraId="3C4E3BE4">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&lt;0.001</w:t>
            </w:r>
          </w:p>
        </w:tc>
        <w:tc>
          <w:tcPr>
            <w:tcW w:w="1373" w:type="pct"/>
            <w:tcBorders>
              <w:top w:val="nil"/>
              <w:left w:val="nil"/>
              <w:bottom w:val="nil"/>
              <w:right w:val="nil"/>
            </w:tcBorders>
            <w:vAlign w:val="center"/>
          </w:tcPr>
          <w:p w14:paraId="293DCCA7">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0.268</w:t>
            </w:r>
          </w:p>
        </w:tc>
        <w:tc>
          <w:tcPr>
            <w:tcW w:w="1693" w:type="pct"/>
            <w:tcBorders>
              <w:top w:val="nil"/>
              <w:left w:val="nil"/>
              <w:bottom w:val="nil"/>
              <w:right w:val="nil"/>
            </w:tcBorders>
            <w:vAlign w:val="center"/>
          </w:tcPr>
          <w:p w14:paraId="402219C6">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14.095</w:t>
            </w:r>
          </w:p>
        </w:tc>
      </w:tr>
      <w:tr w14:paraId="41A6C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23" w:type="pct"/>
            <w:tcBorders>
              <w:top w:val="nil"/>
              <w:left w:val="nil"/>
              <w:bottom w:val="single" w:color="auto" w:sz="4" w:space="0"/>
              <w:right w:val="nil"/>
            </w:tcBorders>
            <w:vAlign w:val="center"/>
          </w:tcPr>
          <w:p w14:paraId="2EFE61E3">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TyG</w:t>
            </w:r>
            <w:r>
              <w:rPr>
                <w:rFonts w:hint="eastAsia" w:ascii="Times New Roman" w:hAnsi="Times New Roman" w:eastAsia="var(--dsw-font-markdown-table)" w:cs="Times New Roman"/>
                <w:i w:val="0"/>
                <w:iCs w:val="0"/>
                <w:caps w:val="0"/>
                <w:color w:val="0F1115"/>
                <w:spacing w:val="0"/>
                <w:kern w:val="0"/>
                <w:sz w:val="21"/>
                <w:szCs w:val="21"/>
                <w:lang w:val="en-US" w:eastAsia="zh-CN" w:bidi="ar"/>
              </w:rPr>
              <w:t>-</w:t>
            </w:r>
            <w:r>
              <w:rPr>
                <w:rFonts w:hint="default" w:ascii="Times New Roman" w:hAnsi="Times New Roman" w:eastAsia="var(--dsw-font-markdown-table)" w:cs="Times New Roman"/>
                <w:i w:val="0"/>
                <w:iCs w:val="0"/>
                <w:caps w:val="0"/>
                <w:color w:val="0F1115"/>
                <w:spacing w:val="0"/>
                <w:kern w:val="0"/>
                <w:sz w:val="21"/>
                <w:szCs w:val="21"/>
                <w:lang w:val="en-US" w:eastAsia="zh-CN" w:bidi="ar"/>
              </w:rPr>
              <w:t>LAP</w:t>
            </w:r>
          </w:p>
        </w:tc>
        <w:tc>
          <w:tcPr>
            <w:tcW w:w="1010" w:type="pct"/>
            <w:tcBorders>
              <w:top w:val="nil"/>
              <w:left w:val="nil"/>
              <w:bottom w:val="single" w:color="auto" w:sz="4" w:space="0"/>
              <w:right w:val="nil"/>
            </w:tcBorders>
            <w:vAlign w:val="center"/>
          </w:tcPr>
          <w:p w14:paraId="5D072481">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&lt;0.001</w:t>
            </w:r>
          </w:p>
        </w:tc>
        <w:tc>
          <w:tcPr>
            <w:tcW w:w="1373" w:type="pct"/>
            <w:tcBorders>
              <w:top w:val="nil"/>
              <w:left w:val="nil"/>
              <w:bottom w:val="single" w:color="auto" w:sz="4" w:space="0"/>
              <w:right w:val="nil"/>
            </w:tcBorders>
            <w:vAlign w:val="center"/>
          </w:tcPr>
          <w:p w14:paraId="4DA522A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0.635</w:t>
            </w:r>
          </w:p>
        </w:tc>
        <w:tc>
          <w:tcPr>
            <w:tcW w:w="1693" w:type="pct"/>
            <w:tcBorders>
              <w:top w:val="nil"/>
              <w:left w:val="nil"/>
              <w:bottom w:val="single" w:color="auto" w:sz="4" w:space="0"/>
              <w:right w:val="nil"/>
            </w:tcBorders>
            <w:vAlign w:val="center"/>
          </w:tcPr>
          <w:p w14:paraId="4C6AFA4C">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1"/>
                <w:szCs w:val="21"/>
                <w:vertAlign w:val="baseline"/>
                <w:lang w:eastAsia="zh-CN"/>
              </w:rPr>
            </w:pPr>
            <w:r>
              <w:rPr>
                <w:rFonts w:hint="default" w:ascii="Times New Roman" w:hAnsi="Times New Roman" w:eastAsia="var(--dsw-font-markdown-table)" w:cs="Times New Roman"/>
                <w:i w:val="0"/>
                <w:iCs w:val="0"/>
                <w:caps w:val="0"/>
                <w:color w:val="0F1115"/>
                <w:spacing w:val="0"/>
                <w:kern w:val="0"/>
                <w:sz w:val="21"/>
                <w:szCs w:val="21"/>
                <w:lang w:val="en-US" w:eastAsia="zh-CN" w:bidi="ar"/>
              </w:rPr>
              <w:t>278.700</w:t>
            </w:r>
          </w:p>
        </w:tc>
      </w:tr>
    </w:tbl>
    <w:p w14:paraId="71E22EF9">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rPr>
      </w:pPr>
    </w:p>
    <w:p w14:paraId="6A61E42E">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rPr>
      </w:pPr>
      <w:r>
        <w:rPr>
          <w:rFonts w:hint="default" w:ascii="Times New Roman" w:hAnsi="Times New Roman" w:cs="Times New Roman"/>
          <w:b/>
          <w:bCs/>
        </w:rPr>
        <w:t>Supplementary Table S</w:t>
      </w:r>
      <w:r>
        <w:rPr>
          <w:rFonts w:hint="eastAsia" w:ascii="Times New Roman" w:hAnsi="Times New Roman" w:cs="Times New Roman"/>
          <w:b/>
          <w:bCs/>
          <w:lang w:val="en-US" w:eastAsia="zh-CN"/>
        </w:rPr>
        <w:t>4</w:t>
      </w:r>
      <w:r>
        <w:rPr>
          <w:rFonts w:hint="default" w:ascii="Times New Roman" w:hAnsi="Times New Roman" w:cs="Times New Roman"/>
          <w:b/>
          <w:bCs/>
        </w:rPr>
        <w:t>. Baseline characteristics of participants stratified by the TyG-ABSI crossing points (0.651 and 0.712).</w:t>
      </w:r>
    </w:p>
    <w:tbl>
      <w:tblPr>
        <w:tblStyle w:val="3"/>
        <w:tblW w:w="560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45"/>
        <w:gridCol w:w="1671"/>
        <w:gridCol w:w="1748"/>
        <w:gridCol w:w="1870"/>
        <w:gridCol w:w="1656"/>
        <w:gridCol w:w="871"/>
      </w:tblGrid>
      <w:tr w14:paraId="07F61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912" w:type="pct"/>
            <w:tcBorders>
              <w:top w:val="single" w:color="auto" w:sz="4" w:space="0"/>
              <w:bottom w:val="single" w:color="auto" w:sz="4" w:space="0"/>
            </w:tcBorders>
            <w:vAlign w:val="center"/>
          </w:tcPr>
          <w:p w14:paraId="63A3D0E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b/>
                <w:bCs/>
                <w:i w:val="0"/>
                <w:iCs w:val="0"/>
                <w:caps w:val="0"/>
                <w:color w:val="0F1115"/>
                <w:spacing w:val="0"/>
                <w:kern w:val="0"/>
                <w:sz w:val="20"/>
                <w:szCs w:val="20"/>
                <w:lang w:val="en-US" w:eastAsia="zh-CN" w:bidi="ar"/>
              </w:rPr>
            </w:pPr>
            <w:r>
              <w:rPr>
                <w:rFonts w:hint="default" w:ascii="Times New Roman" w:hAnsi="Times New Roman" w:eastAsia="var(--dsw-font-markdown-table)" w:cs="Times New Roman"/>
                <w:b/>
                <w:bCs/>
                <w:i w:val="0"/>
                <w:iCs w:val="0"/>
                <w:caps w:val="0"/>
                <w:color w:val="0F1115"/>
                <w:spacing w:val="0"/>
                <w:kern w:val="0"/>
                <w:sz w:val="20"/>
                <w:szCs w:val="20"/>
                <w:lang w:val="en-US" w:eastAsia="zh-CN" w:bidi="ar"/>
              </w:rPr>
              <w:t>Variable</w:t>
            </w:r>
          </w:p>
        </w:tc>
        <w:tc>
          <w:tcPr>
            <w:tcW w:w="873" w:type="pct"/>
            <w:tcBorders>
              <w:top w:val="single" w:color="auto" w:sz="4" w:space="0"/>
              <w:bottom w:val="single" w:color="auto" w:sz="4" w:space="0"/>
            </w:tcBorders>
            <w:vAlign w:val="center"/>
          </w:tcPr>
          <w:p w14:paraId="0BA278A5">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b/>
                <w:bCs/>
                <w:i w:val="0"/>
                <w:iCs w:val="0"/>
                <w:caps w:val="0"/>
                <w:color w:val="0F1115"/>
                <w:spacing w:val="0"/>
                <w:kern w:val="0"/>
                <w:sz w:val="20"/>
                <w:szCs w:val="20"/>
                <w:lang w:val="en-US" w:eastAsia="zh-CN" w:bidi="ar"/>
              </w:rPr>
            </w:pPr>
            <w:r>
              <w:rPr>
                <w:rFonts w:hint="default" w:ascii="Times New Roman" w:hAnsi="Times New Roman" w:eastAsia="var(--dsw-font-markdown-table)" w:cs="Times New Roman"/>
                <w:b/>
                <w:bCs/>
                <w:i w:val="0"/>
                <w:iCs w:val="0"/>
                <w:caps w:val="0"/>
                <w:color w:val="0F1115"/>
                <w:spacing w:val="0"/>
                <w:kern w:val="0"/>
                <w:sz w:val="20"/>
                <w:szCs w:val="20"/>
                <w:lang w:val="en-US" w:eastAsia="zh-CN" w:bidi="ar"/>
              </w:rPr>
              <w:t xml:space="preserve">Overall </w:t>
            </w:r>
          </w:p>
          <w:p w14:paraId="0A9333D4">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b/>
                <w:bCs/>
                <w:i w:val="0"/>
                <w:iCs w:val="0"/>
                <w:caps w:val="0"/>
                <w:color w:val="0F1115"/>
                <w:spacing w:val="0"/>
                <w:kern w:val="0"/>
                <w:sz w:val="20"/>
                <w:szCs w:val="20"/>
                <w:lang w:val="en-US" w:eastAsia="zh-CN" w:bidi="ar"/>
              </w:rPr>
            </w:pPr>
            <w:r>
              <w:rPr>
                <w:rFonts w:hint="default" w:ascii="Times New Roman" w:hAnsi="Times New Roman" w:eastAsia="var(--dsw-font-markdown-table)" w:cs="Times New Roman"/>
                <w:b/>
                <w:bCs/>
                <w:i w:val="0"/>
                <w:iCs w:val="0"/>
                <w:caps w:val="0"/>
                <w:color w:val="0F1115"/>
                <w:spacing w:val="0"/>
                <w:kern w:val="0"/>
                <w:sz w:val="20"/>
                <w:szCs w:val="20"/>
                <w:lang w:val="en-US" w:eastAsia="zh-CN" w:bidi="ar"/>
              </w:rPr>
              <w:t>(N = 2072)</w:t>
            </w:r>
          </w:p>
        </w:tc>
        <w:tc>
          <w:tcPr>
            <w:tcW w:w="914" w:type="pct"/>
            <w:tcBorders>
              <w:top w:val="single" w:color="auto" w:sz="4" w:space="0"/>
              <w:bottom w:val="single" w:color="auto" w:sz="4" w:space="0"/>
            </w:tcBorders>
            <w:vAlign w:val="center"/>
          </w:tcPr>
          <w:p w14:paraId="6F80C10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b/>
                <w:bCs/>
                <w:i w:val="0"/>
                <w:iCs w:val="0"/>
                <w:caps w:val="0"/>
                <w:color w:val="0F1115"/>
                <w:spacing w:val="0"/>
                <w:kern w:val="0"/>
                <w:sz w:val="20"/>
                <w:szCs w:val="20"/>
                <w:lang w:val="en-US" w:eastAsia="zh-CN" w:bidi="ar"/>
              </w:rPr>
            </w:pPr>
            <w:r>
              <w:rPr>
                <w:rFonts w:hint="default" w:ascii="Times New Roman" w:hAnsi="Times New Roman" w:eastAsia="var(--dsw-font-markdown-table)" w:cs="Times New Roman"/>
                <w:b/>
                <w:bCs/>
                <w:i w:val="0"/>
                <w:iCs w:val="0"/>
                <w:caps w:val="0"/>
                <w:color w:val="0F1115"/>
                <w:spacing w:val="0"/>
                <w:kern w:val="0"/>
                <w:sz w:val="20"/>
                <w:szCs w:val="20"/>
                <w:lang w:val="en-US" w:eastAsia="zh-CN" w:bidi="ar"/>
              </w:rPr>
              <w:t>Low</w:t>
            </w:r>
          </w:p>
          <w:p w14:paraId="719B519D">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b/>
                <w:bCs/>
                <w:i w:val="0"/>
                <w:iCs w:val="0"/>
                <w:caps w:val="0"/>
                <w:color w:val="0F1115"/>
                <w:spacing w:val="0"/>
                <w:kern w:val="0"/>
                <w:sz w:val="20"/>
                <w:szCs w:val="20"/>
                <w:lang w:val="en-US" w:eastAsia="zh-CN" w:bidi="ar"/>
              </w:rPr>
            </w:pPr>
            <w:r>
              <w:rPr>
                <w:rFonts w:hint="default" w:ascii="Times New Roman" w:hAnsi="Times New Roman" w:eastAsia="var(--dsw-font-markdown-table)" w:cs="Times New Roman"/>
                <w:b/>
                <w:bCs/>
                <w:i w:val="0"/>
                <w:iCs w:val="0"/>
                <w:caps w:val="0"/>
                <w:color w:val="0F1115"/>
                <w:spacing w:val="0"/>
                <w:kern w:val="0"/>
                <w:sz w:val="20"/>
                <w:szCs w:val="20"/>
                <w:lang w:val="en-US" w:eastAsia="zh-CN" w:bidi="ar"/>
              </w:rPr>
              <w:t xml:space="preserve"> (&lt; 0.651)</w:t>
            </w:r>
          </w:p>
        </w:tc>
        <w:tc>
          <w:tcPr>
            <w:tcW w:w="977" w:type="pct"/>
            <w:tcBorders>
              <w:top w:val="single" w:color="auto" w:sz="4" w:space="0"/>
              <w:bottom w:val="single" w:color="auto" w:sz="4" w:space="0"/>
            </w:tcBorders>
            <w:vAlign w:val="center"/>
          </w:tcPr>
          <w:p w14:paraId="6C6FB2A3">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b/>
                <w:bCs/>
                <w:i w:val="0"/>
                <w:iCs w:val="0"/>
                <w:caps w:val="0"/>
                <w:color w:val="0F1115"/>
                <w:spacing w:val="0"/>
                <w:kern w:val="0"/>
                <w:sz w:val="20"/>
                <w:szCs w:val="20"/>
                <w:lang w:val="en-US" w:eastAsia="zh-CN" w:bidi="ar"/>
              </w:rPr>
            </w:pPr>
            <w:r>
              <w:rPr>
                <w:rFonts w:hint="default" w:ascii="Times New Roman" w:hAnsi="Times New Roman" w:eastAsia="var(--dsw-font-markdown-table)" w:cs="Times New Roman"/>
                <w:b/>
                <w:bCs/>
                <w:i w:val="0"/>
                <w:iCs w:val="0"/>
                <w:caps w:val="0"/>
                <w:color w:val="0F1115"/>
                <w:spacing w:val="0"/>
                <w:kern w:val="0"/>
                <w:sz w:val="20"/>
                <w:szCs w:val="20"/>
                <w:lang w:val="en-US" w:eastAsia="zh-CN" w:bidi="ar"/>
              </w:rPr>
              <w:t>Medium (0.651–0.712)</w:t>
            </w:r>
          </w:p>
        </w:tc>
        <w:tc>
          <w:tcPr>
            <w:tcW w:w="866" w:type="pct"/>
            <w:tcBorders>
              <w:top w:val="single" w:color="auto" w:sz="4" w:space="0"/>
              <w:bottom w:val="single" w:color="auto" w:sz="4" w:space="0"/>
            </w:tcBorders>
            <w:vAlign w:val="center"/>
          </w:tcPr>
          <w:p w14:paraId="4422DFDC">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b/>
                <w:bCs/>
                <w:i w:val="0"/>
                <w:iCs w:val="0"/>
                <w:caps w:val="0"/>
                <w:color w:val="0F1115"/>
                <w:spacing w:val="0"/>
                <w:kern w:val="0"/>
                <w:sz w:val="20"/>
                <w:szCs w:val="20"/>
                <w:lang w:val="en-US" w:eastAsia="zh-CN" w:bidi="ar"/>
              </w:rPr>
            </w:pPr>
            <w:r>
              <w:rPr>
                <w:rFonts w:hint="default" w:ascii="Times New Roman" w:hAnsi="Times New Roman" w:eastAsia="var(--dsw-font-markdown-table)" w:cs="Times New Roman"/>
                <w:b/>
                <w:bCs/>
                <w:i w:val="0"/>
                <w:iCs w:val="0"/>
                <w:caps w:val="0"/>
                <w:color w:val="0F1115"/>
                <w:spacing w:val="0"/>
                <w:kern w:val="0"/>
                <w:sz w:val="20"/>
                <w:szCs w:val="20"/>
                <w:lang w:val="en-US" w:eastAsia="zh-CN" w:bidi="ar"/>
              </w:rPr>
              <w:t>High</w:t>
            </w:r>
          </w:p>
          <w:p w14:paraId="0C4D68A6">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b/>
                <w:bCs/>
                <w:i w:val="0"/>
                <w:iCs w:val="0"/>
                <w:caps w:val="0"/>
                <w:color w:val="0F1115"/>
                <w:spacing w:val="0"/>
                <w:kern w:val="0"/>
                <w:sz w:val="20"/>
                <w:szCs w:val="20"/>
                <w:lang w:val="en-US" w:eastAsia="zh-CN" w:bidi="ar"/>
              </w:rPr>
            </w:pPr>
            <w:r>
              <w:rPr>
                <w:rFonts w:hint="default" w:ascii="Times New Roman" w:hAnsi="Times New Roman" w:eastAsia="var(--dsw-font-markdown-table)" w:cs="Times New Roman"/>
                <w:b/>
                <w:bCs/>
                <w:i w:val="0"/>
                <w:iCs w:val="0"/>
                <w:caps w:val="0"/>
                <w:color w:val="0F1115"/>
                <w:spacing w:val="0"/>
                <w:kern w:val="0"/>
                <w:sz w:val="20"/>
                <w:szCs w:val="20"/>
                <w:lang w:val="en-US" w:eastAsia="zh-CN" w:bidi="ar"/>
              </w:rPr>
              <w:t xml:space="preserve"> (&gt; 0.712)</w:t>
            </w:r>
          </w:p>
        </w:tc>
        <w:tc>
          <w:tcPr>
            <w:tcW w:w="455" w:type="pct"/>
            <w:tcBorders>
              <w:top w:val="single" w:color="auto" w:sz="4" w:space="0"/>
              <w:bottom w:val="single" w:color="auto" w:sz="4" w:space="0"/>
            </w:tcBorders>
            <w:vAlign w:val="center"/>
          </w:tcPr>
          <w:p w14:paraId="22D9DDD1">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b/>
                <w:bCs/>
                <w:i w:val="0"/>
                <w:iCs w:val="0"/>
                <w:caps w:val="0"/>
                <w:color w:val="0F1115"/>
                <w:spacing w:val="0"/>
                <w:kern w:val="0"/>
                <w:sz w:val="20"/>
                <w:szCs w:val="20"/>
                <w:lang w:val="en-US" w:eastAsia="zh-CN" w:bidi="ar"/>
              </w:rPr>
            </w:pPr>
            <w:r>
              <w:rPr>
                <w:rFonts w:hint="default" w:ascii="Times New Roman" w:hAnsi="Times New Roman" w:eastAsia="var(--dsw-font-markdown-table)" w:cs="Times New Roman"/>
                <w:b/>
                <w:bCs/>
                <w:i/>
                <w:iCs/>
                <w:caps w:val="0"/>
                <w:color w:val="0F1115"/>
                <w:spacing w:val="0"/>
                <w:kern w:val="0"/>
                <w:sz w:val="20"/>
                <w:szCs w:val="20"/>
                <w:lang w:val="en-US" w:eastAsia="zh-CN" w:bidi="ar"/>
              </w:rPr>
              <w:t>P</w:t>
            </w:r>
            <w:r>
              <w:rPr>
                <w:rFonts w:hint="eastAsia" w:ascii="Times New Roman" w:hAnsi="Times New Roman" w:eastAsia="var(--dsw-font-markdown-table)" w:cs="Times New Roman"/>
                <w:b/>
                <w:bCs/>
                <w:i w:val="0"/>
                <w:iCs w:val="0"/>
                <w:caps w:val="0"/>
                <w:color w:val="0F1115"/>
                <w:spacing w:val="0"/>
                <w:kern w:val="0"/>
                <w:sz w:val="20"/>
                <w:szCs w:val="20"/>
                <w:lang w:val="en-US" w:eastAsia="zh-CN" w:bidi="ar"/>
              </w:rPr>
              <w:t>-</w:t>
            </w:r>
            <w:r>
              <w:rPr>
                <w:rFonts w:hint="default" w:ascii="Times New Roman" w:hAnsi="Times New Roman" w:eastAsia="var(--dsw-font-markdown-table)" w:cs="Times New Roman"/>
                <w:b/>
                <w:bCs/>
                <w:i w:val="0"/>
                <w:iCs w:val="0"/>
                <w:caps w:val="0"/>
                <w:color w:val="0F1115"/>
                <w:spacing w:val="0"/>
                <w:kern w:val="0"/>
                <w:sz w:val="20"/>
                <w:szCs w:val="20"/>
                <w:lang w:val="en-US" w:eastAsia="zh-CN" w:bidi="ar"/>
              </w:rPr>
              <w:t>value</w:t>
            </w:r>
          </w:p>
        </w:tc>
      </w:tr>
      <w:tr w14:paraId="165A8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tcBorders>
              <w:top w:val="single" w:color="auto" w:sz="4" w:space="0"/>
            </w:tcBorders>
            <w:vAlign w:val="center"/>
          </w:tcPr>
          <w:p w14:paraId="367F7A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Overall</w:t>
            </w:r>
          </w:p>
        </w:tc>
        <w:tc>
          <w:tcPr>
            <w:tcW w:w="873" w:type="pct"/>
            <w:tcBorders>
              <w:top w:val="single" w:color="auto" w:sz="4" w:space="0"/>
            </w:tcBorders>
            <w:vAlign w:val="center"/>
          </w:tcPr>
          <w:p w14:paraId="2F297360">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2072</w:t>
            </w:r>
          </w:p>
        </w:tc>
        <w:tc>
          <w:tcPr>
            <w:tcW w:w="914" w:type="pct"/>
            <w:tcBorders>
              <w:top w:val="single" w:color="auto" w:sz="4" w:space="0"/>
            </w:tcBorders>
            <w:vAlign w:val="center"/>
          </w:tcPr>
          <w:p w14:paraId="31B8720B">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305</w:t>
            </w:r>
          </w:p>
        </w:tc>
        <w:tc>
          <w:tcPr>
            <w:tcW w:w="977" w:type="pct"/>
            <w:tcBorders>
              <w:top w:val="single" w:color="auto" w:sz="4" w:space="0"/>
            </w:tcBorders>
            <w:vAlign w:val="center"/>
          </w:tcPr>
          <w:p w14:paraId="4CAD5739">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747</w:t>
            </w:r>
          </w:p>
        </w:tc>
        <w:tc>
          <w:tcPr>
            <w:tcW w:w="866" w:type="pct"/>
            <w:tcBorders>
              <w:top w:val="single" w:color="auto" w:sz="4" w:space="0"/>
            </w:tcBorders>
            <w:vAlign w:val="center"/>
          </w:tcPr>
          <w:p w14:paraId="0216CB0B">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1020</w:t>
            </w:r>
          </w:p>
        </w:tc>
        <w:tc>
          <w:tcPr>
            <w:tcW w:w="455" w:type="pct"/>
            <w:tcBorders>
              <w:top w:val="single" w:color="auto" w:sz="4" w:space="0"/>
            </w:tcBorders>
            <w:vAlign w:val="center"/>
          </w:tcPr>
          <w:p w14:paraId="3184D0A1">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r>
      <w:tr w14:paraId="7E010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4C9C2C4F">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Gender(%)</w:t>
            </w:r>
          </w:p>
        </w:tc>
        <w:tc>
          <w:tcPr>
            <w:tcW w:w="873" w:type="pct"/>
            <w:vAlign w:val="center"/>
          </w:tcPr>
          <w:p w14:paraId="4C19118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914" w:type="pct"/>
            <w:vAlign w:val="center"/>
          </w:tcPr>
          <w:p w14:paraId="54B34A7C">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977" w:type="pct"/>
            <w:vAlign w:val="center"/>
          </w:tcPr>
          <w:p w14:paraId="38D5F7C1">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866" w:type="pct"/>
            <w:vAlign w:val="center"/>
          </w:tcPr>
          <w:p w14:paraId="6D06241D">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455" w:type="pct"/>
            <w:vAlign w:val="center"/>
          </w:tcPr>
          <w:p w14:paraId="7E06FB45">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r>
      <w:tr w14:paraId="605AA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shd w:val="clear" w:color="auto" w:fill="auto"/>
            <w:vAlign w:val="center"/>
          </w:tcPr>
          <w:p w14:paraId="5CB0A9D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female</w:t>
            </w:r>
          </w:p>
        </w:tc>
        <w:tc>
          <w:tcPr>
            <w:tcW w:w="873" w:type="pct"/>
            <w:shd w:val="clear" w:color="auto" w:fill="auto"/>
            <w:vAlign w:val="center"/>
          </w:tcPr>
          <w:p w14:paraId="5956C51F">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1341 (64.7%)</w:t>
            </w:r>
          </w:p>
        </w:tc>
        <w:tc>
          <w:tcPr>
            <w:tcW w:w="914" w:type="pct"/>
            <w:shd w:val="clear" w:color="auto" w:fill="auto"/>
            <w:vAlign w:val="center"/>
          </w:tcPr>
          <w:p w14:paraId="61035E3B">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196 (64.3%)</w:t>
            </w:r>
          </w:p>
        </w:tc>
        <w:tc>
          <w:tcPr>
            <w:tcW w:w="977" w:type="pct"/>
            <w:shd w:val="clear" w:color="auto" w:fill="auto"/>
            <w:vAlign w:val="center"/>
          </w:tcPr>
          <w:p w14:paraId="25D8BF47">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471 (63.1%)</w:t>
            </w:r>
          </w:p>
        </w:tc>
        <w:tc>
          <w:tcPr>
            <w:tcW w:w="866" w:type="pct"/>
            <w:shd w:val="clear" w:color="auto" w:fill="auto"/>
            <w:vAlign w:val="center"/>
          </w:tcPr>
          <w:p w14:paraId="37F9754E">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674 (66.1%)</w:t>
            </w:r>
          </w:p>
        </w:tc>
        <w:tc>
          <w:tcPr>
            <w:tcW w:w="455" w:type="pct"/>
            <w:shd w:val="clear" w:color="auto" w:fill="auto"/>
            <w:vAlign w:val="center"/>
          </w:tcPr>
          <w:p w14:paraId="19481CC4">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0.414</w:t>
            </w:r>
          </w:p>
        </w:tc>
      </w:tr>
      <w:tr w14:paraId="0BB99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shd w:val="clear" w:color="auto" w:fill="auto"/>
            <w:vAlign w:val="center"/>
          </w:tcPr>
          <w:p w14:paraId="7F45B08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male</w:t>
            </w:r>
          </w:p>
        </w:tc>
        <w:tc>
          <w:tcPr>
            <w:tcW w:w="873" w:type="pct"/>
            <w:shd w:val="clear" w:color="auto" w:fill="auto"/>
            <w:vAlign w:val="center"/>
          </w:tcPr>
          <w:p w14:paraId="6707B8AE">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731 (35.3%)</w:t>
            </w:r>
          </w:p>
        </w:tc>
        <w:tc>
          <w:tcPr>
            <w:tcW w:w="914" w:type="pct"/>
            <w:shd w:val="clear" w:color="auto" w:fill="auto"/>
            <w:vAlign w:val="center"/>
          </w:tcPr>
          <w:p w14:paraId="43372E1D">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109 (35.7%)</w:t>
            </w:r>
          </w:p>
        </w:tc>
        <w:tc>
          <w:tcPr>
            <w:tcW w:w="977" w:type="pct"/>
            <w:shd w:val="clear" w:color="auto" w:fill="auto"/>
            <w:vAlign w:val="center"/>
          </w:tcPr>
          <w:p w14:paraId="168F8353">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276 (36.9%)</w:t>
            </w:r>
          </w:p>
        </w:tc>
        <w:tc>
          <w:tcPr>
            <w:tcW w:w="866" w:type="pct"/>
            <w:shd w:val="clear" w:color="auto" w:fill="auto"/>
            <w:vAlign w:val="center"/>
          </w:tcPr>
          <w:p w14:paraId="0A49AEA0">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346 (33.9%)</w:t>
            </w:r>
          </w:p>
        </w:tc>
        <w:tc>
          <w:tcPr>
            <w:tcW w:w="455" w:type="pct"/>
            <w:shd w:val="clear" w:color="auto" w:fill="auto"/>
            <w:vAlign w:val="center"/>
          </w:tcPr>
          <w:p w14:paraId="4DBCC8F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r>
      <w:tr w14:paraId="00241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shd w:val="clear" w:color="auto" w:fill="auto"/>
            <w:vAlign w:val="center"/>
          </w:tcPr>
          <w:p w14:paraId="112F2C71">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Age, years</w:t>
            </w:r>
          </w:p>
        </w:tc>
        <w:tc>
          <w:tcPr>
            <w:tcW w:w="873" w:type="pct"/>
            <w:shd w:val="clear" w:color="auto" w:fill="auto"/>
            <w:vAlign w:val="center"/>
          </w:tcPr>
          <w:p w14:paraId="626442B0">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66.66 ± 7.00</w:t>
            </w:r>
          </w:p>
        </w:tc>
        <w:tc>
          <w:tcPr>
            <w:tcW w:w="914" w:type="pct"/>
            <w:shd w:val="clear" w:color="auto" w:fill="auto"/>
            <w:vAlign w:val="center"/>
          </w:tcPr>
          <w:p w14:paraId="45F8FDD2">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64.66 ± 8.07</w:t>
            </w:r>
          </w:p>
        </w:tc>
        <w:tc>
          <w:tcPr>
            <w:tcW w:w="977" w:type="pct"/>
            <w:shd w:val="clear" w:color="auto" w:fill="auto"/>
            <w:vAlign w:val="center"/>
          </w:tcPr>
          <w:p w14:paraId="5EC60E6E">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65.92 ± 6.97</w:t>
            </w:r>
          </w:p>
        </w:tc>
        <w:tc>
          <w:tcPr>
            <w:tcW w:w="866" w:type="pct"/>
            <w:shd w:val="clear" w:color="auto" w:fill="auto"/>
            <w:vAlign w:val="center"/>
          </w:tcPr>
          <w:p w14:paraId="0FA0C4AE">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67.81 ± 6.46</w:t>
            </w:r>
          </w:p>
        </w:tc>
        <w:tc>
          <w:tcPr>
            <w:tcW w:w="455" w:type="pct"/>
            <w:shd w:val="clear" w:color="auto" w:fill="auto"/>
            <w:vAlign w:val="center"/>
          </w:tcPr>
          <w:p w14:paraId="767AF96C">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&lt;0.001</w:t>
            </w:r>
          </w:p>
        </w:tc>
      </w:tr>
      <w:tr w14:paraId="2C99A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13EE3457">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Smoke(%)</w:t>
            </w:r>
          </w:p>
        </w:tc>
        <w:tc>
          <w:tcPr>
            <w:tcW w:w="873" w:type="pct"/>
            <w:vAlign w:val="center"/>
          </w:tcPr>
          <w:p w14:paraId="7C2B4A2E">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914" w:type="pct"/>
            <w:vAlign w:val="center"/>
          </w:tcPr>
          <w:p w14:paraId="76E69D1C">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977" w:type="pct"/>
            <w:vAlign w:val="center"/>
          </w:tcPr>
          <w:p w14:paraId="42DFD9E8">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866" w:type="pct"/>
            <w:vAlign w:val="center"/>
          </w:tcPr>
          <w:p w14:paraId="2257778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455" w:type="pct"/>
            <w:vAlign w:val="center"/>
          </w:tcPr>
          <w:p w14:paraId="54E285CD">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r>
      <w:tr w14:paraId="625D1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1C987665">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No</w:t>
            </w:r>
          </w:p>
        </w:tc>
        <w:tc>
          <w:tcPr>
            <w:tcW w:w="873" w:type="pct"/>
            <w:vAlign w:val="center"/>
          </w:tcPr>
          <w:p w14:paraId="2D89F2B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1932 (93.2%)</w:t>
            </w:r>
          </w:p>
        </w:tc>
        <w:tc>
          <w:tcPr>
            <w:tcW w:w="914" w:type="pct"/>
            <w:vAlign w:val="center"/>
          </w:tcPr>
          <w:p w14:paraId="508DC645">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289 (94.8%)</w:t>
            </w:r>
          </w:p>
        </w:tc>
        <w:tc>
          <w:tcPr>
            <w:tcW w:w="977" w:type="pct"/>
            <w:vAlign w:val="center"/>
          </w:tcPr>
          <w:p w14:paraId="1FC4591C">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695 (93.0%)</w:t>
            </w:r>
          </w:p>
        </w:tc>
        <w:tc>
          <w:tcPr>
            <w:tcW w:w="866" w:type="pct"/>
            <w:vAlign w:val="center"/>
          </w:tcPr>
          <w:p w14:paraId="53E7C5FB">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948 (92.9%)</w:t>
            </w:r>
          </w:p>
        </w:tc>
        <w:tc>
          <w:tcPr>
            <w:tcW w:w="455" w:type="pct"/>
            <w:vAlign w:val="center"/>
          </w:tcPr>
          <w:p w14:paraId="24664D5C">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0.521</w:t>
            </w:r>
          </w:p>
        </w:tc>
      </w:tr>
      <w:tr w14:paraId="63C31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629B2853">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Yes</w:t>
            </w:r>
          </w:p>
        </w:tc>
        <w:tc>
          <w:tcPr>
            <w:tcW w:w="873" w:type="pct"/>
            <w:vAlign w:val="center"/>
          </w:tcPr>
          <w:p w14:paraId="32329431">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140 (6.8%)</w:t>
            </w:r>
          </w:p>
        </w:tc>
        <w:tc>
          <w:tcPr>
            <w:tcW w:w="914" w:type="pct"/>
            <w:vAlign w:val="center"/>
          </w:tcPr>
          <w:p w14:paraId="10B2CBB4">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16 (5.2%)</w:t>
            </w:r>
          </w:p>
        </w:tc>
        <w:tc>
          <w:tcPr>
            <w:tcW w:w="977" w:type="pct"/>
            <w:vAlign w:val="center"/>
          </w:tcPr>
          <w:p w14:paraId="4FE828DF">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52 (7.0%)</w:t>
            </w:r>
          </w:p>
        </w:tc>
        <w:tc>
          <w:tcPr>
            <w:tcW w:w="866" w:type="pct"/>
            <w:vAlign w:val="center"/>
          </w:tcPr>
          <w:p w14:paraId="6921348C">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72 (7.1%)</w:t>
            </w:r>
          </w:p>
        </w:tc>
        <w:tc>
          <w:tcPr>
            <w:tcW w:w="455" w:type="pct"/>
            <w:vAlign w:val="center"/>
          </w:tcPr>
          <w:p w14:paraId="0D53A1D5">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r>
      <w:tr w14:paraId="39D17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3A335F0F">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宋体" w:cs="Times New Roman"/>
                <w:b/>
                <w:bCs/>
                <w:i w:val="0"/>
                <w:iCs w:val="0"/>
                <w:color w:val="000000"/>
                <w:kern w:val="0"/>
                <w:sz w:val="18"/>
                <w:szCs w:val="18"/>
                <w:u w:val="none"/>
                <w:lang w:val="en-US" w:eastAsia="zh-CN" w:bidi="ar"/>
              </w:rPr>
              <w:t>Drink</w:t>
            </w:r>
            <w:r>
              <w:rPr>
                <w:rFonts w:hint="default" w:ascii="Times New Roman" w:hAnsi="Times New Roman" w:eastAsia="宋体" w:cs="Times New Roman"/>
                <w:b/>
                <w:bCs/>
                <w:i w:val="0"/>
                <w:iCs w:val="0"/>
                <w:color w:val="000000"/>
                <w:kern w:val="0"/>
                <w:sz w:val="18"/>
                <w:szCs w:val="18"/>
                <w:u w:val="none"/>
                <w:lang w:val="en-US" w:eastAsia="zh-CN" w:bidi="ar"/>
              </w:rPr>
              <w:t>(%)</w:t>
            </w:r>
          </w:p>
        </w:tc>
        <w:tc>
          <w:tcPr>
            <w:tcW w:w="873" w:type="pct"/>
            <w:vAlign w:val="center"/>
          </w:tcPr>
          <w:p w14:paraId="0E00CAA6">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914" w:type="pct"/>
            <w:vAlign w:val="center"/>
          </w:tcPr>
          <w:p w14:paraId="72D4A547">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977" w:type="pct"/>
            <w:vAlign w:val="center"/>
          </w:tcPr>
          <w:p w14:paraId="410309F6">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866" w:type="pct"/>
            <w:vAlign w:val="center"/>
          </w:tcPr>
          <w:p w14:paraId="1078B7F9">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455" w:type="pct"/>
            <w:vAlign w:val="center"/>
          </w:tcPr>
          <w:p w14:paraId="3CA70943">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r>
      <w:tr w14:paraId="21089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6879875C">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No</w:t>
            </w:r>
          </w:p>
        </w:tc>
        <w:tc>
          <w:tcPr>
            <w:tcW w:w="873" w:type="pct"/>
            <w:vAlign w:val="center"/>
          </w:tcPr>
          <w:p w14:paraId="01E2AE6C">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1946 (93.9%)</w:t>
            </w:r>
          </w:p>
        </w:tc>
        <w:tc>
          <w:tcPr>
            <w:tcW w:w="914" w:type="pct"/>
            <w:vAlign w:val="center"/>
          </w:tcPr>
          <w:p w14:paraId="27CCD40E">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287 (94.1%)</w:t>
            </w:r>
          </w:p>
        </w:tc>
        <w:tc>
          <w:tcPr>
            <w:tcW w:w="977" w:type="pct"/>
            <w:vAlign w:val="center"/>
          </w:tcPr>
          <w:p w14:paraId="571625BD">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700 (93.7%)</w:t>
            </w:r>
          </w:p>
        </w:tc>
        <w:tc>
          <w:tcPr>
            <w:tcW w:w="866" w:type="pct"/>
            <w:vAlign w:val="center"/>
          </w:tcPr>
          <w:p w14:paraId="0E46BE09">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959 (94.0%)</w:t>
            </w:r>
          </w:p>
        </w:tc>
        <w:tc>
          <w:tcPr>
            <w:tcW w:w="455" w:type="pct"/>
            <w:vAlign w:val="center"/>
          </w:tcPr>
          <w:p w14:paraId="7741F661">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0.954</w:t>
            </w:r>
          </w:p>
        </w:tc>
      </w:tr>
      <w:tr w14:paraId="04D3F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053245D6">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Yes</w:t>
            </w:r>
          </w:p>
        </w:tc>
        <w:tc>
          <w:tcPr>
            <w:tcW w:w="873" w:type="pct"/>
            <w:vAlign w:val="center"/>
          </w:tcPr>
          <w:p w14:paraId="1803E954">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126 (6.1%)</w:t>
            </w:r>
          </w:p>
        </w:tc>
        <w:tc>
          <w:tcPr>
            <w:tcW w:w="914" w:type="pct"/>
            <w:vAlign w:val="center"/>
          </w:tcPr>
          <w:p w14:paraId="3E03AB80">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18 (5.9%)</w:t>
            </w:r>
          </w:p>
        </w:tc>
        <w:tc>
          <w:tcPr>
            <w:tcW w:w="977" w:type="pct"/>
            <w:vAlign w:val="center"/>
          </w:tcPr>
          <w:p w14:paraId="0C3D45D9">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47 (6.3%)</w:t>
            </w:r>
          </w:p>
        </w:tc>
        <w:tc>
          <w:tcPr>
            <w:tcW w:w="866" w:type="pct"/>
            <w:vAlign w:val="center"/>
          </w:tcPr>
          <w:p w14:paraId="60E69E06">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61 (6.0%)</w:t>
            </w:r>
          </w:p>
        </w:tc>
        <w:tc>
          <w:tcPr>
            <w:tcW w:w="455" w:type="pct"/>
            <w:vAlign w:val="center"/>
          </w:tcPr>
          <w:p w14:paraId="609070C7">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r>
      <w:tr w14:paraId="09773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19AC5782">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Exercise(%)</w:t>
            </w:r>
          </w:p>
        </w:tc>
        <w:tc>
          <w:tcPr>
            <w:tcW w:w="873" w:type="pct"/>
            <w:vAlign w:val="center"/>
          </w:tcPr>
          <w:p w14:paraId="7ED10BB9">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914" w:type="pct"/>
            <w:vAlign w:val="center"/>
          </w:tcPr>
          <w:p w14:paraId="55D3E771">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977" w:type="pct"/>
            <w:vAlign w:val="center"/>
          </w:tcPr>
          <w:p w14:paraId="09EFCD53">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866" w:type="pct"/>
            <w:vAlign w:val="center"/>
          </w:tcPr>
          <w:p w14:paraId="1B847D76">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455" w:type="pct"/>
            <w:vAlign w:val="center"/>
          </w:tcPr>
          <w:p w14:paraId="14C9598F">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r>
      <w:tr w14:paraId="619FC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65745CFF">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never</w:t>
            </w:r>
          </w:p>
        </w:tc>
        <w:tc>
          <w:tcPr>
            <w:tcW w:w="873" w:type="pct"/>
            <w:vAlign w:val="center"/>
          </w:tcPr>
          <w:p w14:paraId="78C27928">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166 (8.0%)</w:t>
            </w:r>
          </w:p>
        </w:tc>
        <w:tc>
          <w:tcPr>
            <w:tcW w:w="914" w:type="pct"/>
            <w:vAlign w:val="center"/>
          </w:tcPr>
          <w:p w14:paraId="2845B074">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19 (6.2%)</w:t>
            </w:r>
          </w:p>
        </w:tc>
        <w:tc>
          <w:tcPr>
            <w:tcW w:w="977" w:type="pct"/>
            <w:vAlign w:val="center"/>
          </w:tcPr>
          <w:p w14:paraId="2B64D6D2">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63 (8.4%)</w:t>
            </w:r>
          </w:p>
        </w:tc>
        <w:tc>
          <w:tcPr>
            <w:tcW w:w="866" w:type="pct"/>
            <w:vAlign w:val="center"/>
          </w:tcPr>
          <w:p w14:paraId="261B4D46">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84 (8.2%)</w:t>
            </w:r>
          </w:p>
        </w:tc>
        <w:tc>
          <w:tcPr>
            <w:tcW w:w="455" w:type="pct"/>
            <w:vAlign w:val="center"/>
          </w:tcPr>
          <w:p w14:paraId="1F0E3E22">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0.010</w:t>
            </w:r>
          </w:p>
        </w:tc>
      </w:tr>
      <w:tr w14:paraId="5FA35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42B467B5">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some</w:t>
            </w:r>
          </w:p>
        </w:tc>
        <w:tc>
          <w:tcPr>
            <w:tcW w:w="873" w:type="pct"/>
            <w:vAlign w:val="center"/>
          </w:tcPr>
          <w:p w14:paraId="3044E4AD">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59 (2.8%)</w:t>
            </w:r>
          </w:p>
        </w:tc>
        <w:tc>
          <w:tcPr>
            <w:tcW w:w="914" w:type="pct"/>
            <w:vAlign w:val="center"/>
          </w:tcPr>
          <w:p w14:paraId="76879F99">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18 (5.9%)</w:t>
            </w:r>
          </w:p>
        </w:tc>
        <w:tc>
          <w:tcPr>
            <w:tcW w:w="977" w:type="pct"/>
            <w:vAlign w:val="center"/>
          </w:tcPr>
          <w:p w14:paraId="73EEC318">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17 (2.3%)</w:t>
            </w:r>
          </w:p>
        </w:tc>
        <w:tc>
          <w:tcPr>
            <w:tcW w:w="866" w:type="pct"/>
            <w:vAlign w:val="center"/>
          </w:tcPr>
          <w:p w14:paraId="2039D043">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24 (2.4%)</w:t>
            </w:r>
          </w:p>
        </w:tc>
        <w:tc>
          <w:tcPr>
            <w:tcW w:w="455" w:type="pct"/>
            <w:vAlign w:val="center"/>
          </w:tcPr>
          <w:p w14:paraId="2472078F">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r>
      <w:tr w14:paraId="216EB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67505A03">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frequent</w:t>
            </w:r>
          </w:p>
        </w:tc>
        <w:tc>
          <w:tcPr>
            <w:tcW w:w="873" w:type="pct"/>
            <w:vAlign w:val="center"/>
          </w:tcPr>
          <w:p w14:paraId="6DE4D475">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1847 (89.1%)</w:t>
            </w:r>
          </w:p>
        </w:tc>
        <w:tc>
          <w:tcPr>
            <w:tcW w:w="914" w:type="pct"/>
            <w:vAlign w:val="center"/>
          </w:tcPr>
          <w:p w14:paraId="779CE302">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268 (87.9%)</w:t>
            </w:r>
          </w:p>
        </w:tc>
        <w:tc>
          <w:tcPr>
            <w:tcW w:w="977" w:type="pct"/>
            <w:vAlign w:val="center"/>
          </w:tcPr>
          <w:p w14:paraId="740AEEAB">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667 (89.3%)</w:t>
            </w:r>
          </w:p>
        </w:tc>
        <w:tc>
          <w:tcPr>
            <w:tcW w:w="866" w:type="pct"/>
            <w:vAlign w:val="center"/>
          </w:tcPr>
          <w:p w14:paraId="08A184EE">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912 (89.4%)</w:t>
            </w:r>
          </w:p>
        </w:tc>
        <w:tc>
          <w:tcPr>
            <w:tcW w:w="455" w:type="pct"/>
            <w:vAlign w:val="center"/>
          </w:tcPr>
          <w:p w14:paraId="4AA9F8F2">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r>
      <w:tr w14:paraId="3661C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363CC9B8">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b/>
                <w:bCs/>
                <w:i w:val="0"/>
                <w:iCs w:val="0"/>
                <w:caps w:val="0"/>
                <w:color w:val="0F1115"/>
                <w:spacing w:val="0"/>
                <w:kern w:val="0"/>
                <w:sz w:val="20"/>
                <w:szCs w:val="20"/>
                <w:lang w:val="en-US" w:eastAsia="zh-CN" w:bidi="ar"/>
              </w:rPr>
              <w:t>Hypertension</w:t>
            </w:r>
            <w:r>
              <w:rPr>
                <w:rFonts w:hint="default" w:ascii="Times New Roman" w:hAnsi="Times New Roman" w:eastAsia="宋体" w:cs="Times New Roman"/>
                <w:b/>
                <w:bCs/>
                <w:i w:val="0"/>
                <w:iCs w:val="0"/>
                <w:color w:val="000000"/>
                <w:kern w:val="0"/>
                <w:sz w:val="18"/>
                <w:szCs w:val="18"/>
                <w:u w:val="none"/>
                <w:lang w:val="en-US" w:eastAsia="zh-CN" w:bidi="ar"/>
              </w:rPr>
              <w:t>(%)</w:t>
            </w:r>
          </w:p>
        </w:tc>
        <w:tc>
          <w:tcPr>
            <w:tcW w:w="873" w:type="pct"/>
            <w:vAlign w:val="center"/>
          </w:tcPr>
          <w:p w14:paraId="46BE5B0B">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914" w:type="pct"/>
            <w:vAlign w:val="center"/>
          </w:tcPr>
          <w:p w14:paraId="77FE3657">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977" w:type="pct"/>
            <w:vAlign w:val="center"/>
          </w:tcPr>
          <w:p w14:paraId="5E1558E0">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866" w:type="pct"/>
            <w:vAlign w:val="center"/>
          </w:tcPr>
          <w:p w14:paraId="62982A12">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455" w:type="pct"/>
            <w:vAlign w:val="center"/>
          </w:tcPr>
          <w:p w14:paraId="58FB1998">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r>
      <w:tr w14:paraId="77524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3A230BC6">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No</w:t>
            </w:r>
          </w:p>
        </w:tc>
        <w:tc>
          <w:tcPr>
            <w:tcW w:w="873" w:type="pct"/>
            <w:vAlign w:val="center"/>
          </w:tcPr>
          <w:p w14:paraId="25544A4D">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1098 (53.0%)</w:t>
            </w:r>
          </w:p>
        </w:tc>
        <w:tc>
          <w:tcPr>
            <w:tcW w:w="914" w:type="pct"/>
            <w:vAlign w:val="center"/>
          </w:tcPr>
          <w:p w14:paraId="40F9F08B">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160 (52.5%)</w:t>
            </w:r>
          </w:p>
        </w:tc>
        <w:tc>
          <w:tcPr>
            <w:tcW w:w="977" w:type="pct"/>
            <w:vAlign w:val="center"/>
          </w:tcPr>
          <w:p w14:paraId="46B5101E">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391 (52.3%)</w:t>
            </w:r>
          </w:p>
        </w:tc>
        <w:tc>
          <w:tcPr>
            <w:tcW w:w="866" w:type="pct"/>
            <w:vAlign w:val="center"/>
          </w:tcPr>
          <w:p w14:paraId="577F4DC4">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547 (53.6%)</w:t>
            </w:r>
          </w:p>
        </w:tc>
        <w:tc>
          <w:tcPr>
            <w:tcW w:w="455" w:type="pct"/>
            <w:vAlign w:val="center"/>
          </w:tcPr>
          <w:p w14:paraId="7BC7F0DC">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0.849</w:t>
            </w:r>
          </w:p>
        </w:tc>
      </w:tr>
      <w:tr w14:paraId="77D80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6CD01F4E">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Yes</w:t>
            </w:r>
          </w:p>
        </w:tc>
        <w:tc>
          <w:tcPr>
            <w:tcW w:w="873" w:type="pct"/>
            <w:vAlign w:val="center"/>
          </w:tcPr>
          <w:p w14:paraId="2B134E01">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974 (47.0%)</w:t>
            </w:r>
          </w:p>
        </w:tc>
        <w:tc>
          <w:tcPr>
            <w:tcW w:w="914" w:type="pct"/>
            <w:vAlign w:val="center"/>
          </w:tcPr>
          <w:p w14:paraId="706E5F45">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145 (47.5%)</w:t>
            </w:r>
          </w:p>
        </w:tc>
        <w:tc>
          <w:tcPr>
            <w:tcW w:w="977" w:type="pct"/>
            <w:vAlign w:val="center"/>
          </w:tcPr>
          <w:p w14:paraId="16E6A238">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356 (47.7%)</w:t>
            </w:r>
          </w:p>
        </w:tc>
        <w:tc>
          <w:tcPr>
            <w:tcW w:w="866" w:type="pct"/>
            <w:vAlign w:val="center"/>
          </w:tcPr>
          <w:p w14:paraId="6B6CB96C">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473 (46.4%)</w:t>
            </w:r>
          </w:p>
        </w:tc>
        <w:tc>
          <w:tcPr>
            <w:tcW w:w="455" w:type="pct"/>
            <w:vAlign w:val="center"/>
          </w:tcPr>
          <w:p w14:paraId="64B9B4E0">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r>
      <w:tr w14:paraId="40E7C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013911EF">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b/>
                <w:bCs/>
                <w:i w:val="0"/>
                <w:iCs w:val="0"/>
                <w:caps w:val="0"/>
                <w:color w:val="0F1115"/>
                <w:spacing w:val="0"/>
                <w:kern w:val="0"/>
                <w:sz w:val="20"/>
                <w:szCs w:val="20"/>
                <w:lang w:val="en-US" w:eastAsia="zh-CN" w:bidi="ar"/>
              </w:rPr>
              <w:t>Diabetes</w:t>
            </w:r>
            <w:r>
              <w:rPr>
                <w:rFonts w:hint="default" w:ascii="Times New Roman" w:hAnsi="Times New Roman" w:eastAsia="宋体" w:cs="Times New Roman"/>
                <w:b/>
                <w:bCs/>
                <w:i w:val="0"/>
                <w:iCs w:val="0"/>
                <w:color w:val="000000"/>
                <w:kern w:val="0"/>
                <w:sz w:val="18"/>
                <w:szCs w:val="18"/>
                <w:u w:val="none"/>
                <w:lang w:val="en-US" w:eastAsia="zh-CN" w:bidi="ar"/>
              </w:rPr>
              <w:t>(%)</w:t>
            </w:r>
          </w:p>
        </w:tc>
        <w:tc>
          <w:tcPr>
            <w:tcW w:w="873" w:type="pct"/>
            <w:vAlign w:val="center"/>
          </w:tcPr>
          <w:p w14:paraId="12D7058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914" w:type="pct"/>
            <w:vAlign w:val="center"/>
          </w:tcPr>
          <w:p w14:paraId="1326DD7B">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977" w:type="pct"/>
            <w:vAlign w:val="center"/>
          </w:tcPr>
          <w:p w14:paraId="2690B16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866" w:type="pct"/>
            <w:vAlign w:val="center"/>
          </w:tcPr>
          <w:p w14:paraId="3FDECB42">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c>
          <w:tcPr>
            <w:tcW w:w="455" w:type="pct"/>
            <w:vAlign w:val="center"/>
          </w:tcPr>
          <w:p w14:paraId="2D2EB00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r>
      <w:tr w14:paraId="2EDC6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46B846A4">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No</w:t>
            </w:r>
          </w:p>
        </w:tc>
        <w:tc>
          <w:tcPr>
            <w:tcW w:w="873" w:type="pct"/>
            <w:vAlign w:val="center"/>
          </w:tcPr>
          <w:p w14:paraId="420A94C9">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1761 (85.0%)</w:t>
            </w:r>
          </w:p>
        </w:tc>
        <w:tc>
          <w:tcPr>
            <w:tcW w:w="914" w:type="pct"/>
            <w:vAlign w:val="center"/>
          </w:tcPr>
          <w:p w14:paraId="6E079840">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252 (82.6%)</w:t>
            </w:r>
          </w:p>
        </w:tc>
        <w:tc>
          <w:tcPr>
            <w:tcW w:w="977" w:type="pct"/>
            <w:vAlign w:val="center"/>
          </w:tcPr>
          <w:p w14:paraId="1739F073">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641 (85.8%)</w:t>
            </w:r>
          </w:p>
        </w:tc>
        <w:tc>
          <w:tcPr>
            <w:tcW w:w="866" w:type="pct"/>
            <w:vAlign w:val="center"/>
          </w:tcPr>
          <w:p w14:paraId="63A503D5">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868 (85.1%)</w:t>
            </w:r>
          </w:p>
        </w:tc>
        <w:tc>
          <w:tcPr>
            <w:tcW w:w="455" w:type="pct"/>
            <w:vAlign w:val="center"/>
          </w:tcPr>
          <w:p w14:paraId="3E014605">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0.418</w:t>
            </w:r>
          </w:p>
        </w:tc>
      </w:tr>
      <w:tr w14:paraId="66DE0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400DA8D1">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Yes</w:t>
            </w:r>
          </w:p>
        </w:tc>
        <w:tc>
          <w:tcPr>
            <w:tcW w:w="873" w:type="pct"/>
            <w:vAlign w:val="center"/>
          </w:tcPr>
          <w:p w14:paraId="7A82A493">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311 (15.0%)</w:t>
            </w:r>
          </w:p>
        </w:tc>
        <w:tc>
          <w:tcPr>
            <w:tcW w:w="914" w:type="pct"/>
            <w:vAlign w:val="center"/>
          </w:tcPr>
          <w:p w14:paraId="39A7071C">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53 (17.4%)</w:t>
            </w:r>
          </w:p>
        </w:tc>
        <w:tc>
          <w:tcPr>
            <w:tcW w:w="977" w:type="pct"/>
            <w:vAlign w:val="center"/>
          </w:tcPr>
          <w:p w14:paraId="4FFC079E">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106 (14.2%)</w:t>
            </w:r>
          </w:p>
        </w:tc>
        <w:tc>
          <w:tcPr>
            <w:tcW w:w="866" w:type="pct"/>
            <w:vAlign w:val="center"/>
          </w:tcPr>
          <w:p w14:paraId="48C59ECF">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152 (14.9%)</w:t>
            </w:r>
          </w:p>
        </w:tc>
        <w:tc>
          <w:tcPr>
            <w:tcW w:w="455" w:type="pct"/>
            <w:vAlign w:val="center"/>
          </w:tcPr>
          <w:p w14:paraId="58A4162F">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p>
        </w:tc>
      </w:tr>
      <w:tr w14:paraId="1FFD5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2387E75F">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BMI, kg/m</w:t>
            </w:r>
            <w:r>
              <w:rPr>
                <w:rStyle w:val="7"/>
                <w:rFonts w:hint="default" w:ascii="Times New Roman" w:hAnsi="Times New Roman" w:eastAsia="宋体" w:cs="Times New Roman"/>
                <w:sz w:val="18"/>
                <w:szCs w:val="18"/>
                <w:lang w:val="en-US" w:eastAsia="zh-CN" w:bidi="ar"/>
              </w:rPr>
              <w:t>2</w:t>
            </w:r>
          </w:p>
        </w:tc>
        <w:tc>
          <w:tcPr>
            <w:tcW w:w="873" w:type="pct"/>
            <w:vAlign w:val="center"/>
          </w:tcPr>
          <w:p w14:paraId="0B5A738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23.74 ± 2.88</w:t>
            </w:r>
          </w:p>
        </w:tc>
        <w:tc>
          <w:tcPr>
            <w:tcW w:w="914" w:type="pct"/>
            <w:vAlign w:val="center"/>
          </w:tcPr>
          <w:p w14:paraId="7BE628D6">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23.98 ± 2.94</w:t>
            </w:r>
          </w:p>
        </w:tc>
        <w:tc>
          <w:tcPr>
            <w:tcW w:w="977" w:type="pct"/>
            <w:vAlign w:val="center"/>
          </w:tcPr>
          <w:p w14:paraId="7BA801D3">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23.76 ± 2.79</w:t>
            </w:r>
          </w:p>
        </w:tc>
        <w:tc>
          <w:tcPr>
            <w:tcW w:w="866" w:type="pct"/>
            <w:vAlign w:val="center"/>
          </w:tcPr>
          <w:p w14:paraId="6B85C70C">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23.66 ± 2.92</w:t>
            </w:r>
          </w:p>
        </w:tc>
        <w:tc>
          <w:tcPr>
            <w:tcW w:w="455" w:type="pct"/>
            <w:vAlign w:val="center"/>
          </w:tcPr>
          <w:p w14:paraId="427ACDCD">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0.235</w:t>
            </w:r>
          </w:p>
        </w:tc>
      </w:tr>
      <w:tr w14:paraId="6148F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031E0447">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WC, cm</w:t>
            </w:r>
          </w:p>
        </w:tc>
        <w:tc>
          <w:tcPr>
            <w:tcW w:w="873" w:type="pct"/>
            <w:vAlign w:val="center"/>
          </w:tcPr>
          <w:p w14:paraId="11A47BC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86.31 ± 8.20</w:t>
            </w:r>
          </w:p>
        </w:tc>
        <w:tc>
          <w:tcPr>
            <w:tcW w:w="914" w:type="pct"/>
            <w:vAlign w:val="center"/>
          </w:tcPr>
          <w:p w14:paraId="5AE7308C">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79.82 ± 6.96</w:t>
            </w:r>
          </w:p>
        </w:tc>
        <w:tc>
          <w:tcPr>
            <w:tcW w:w="977" w:type="pct"/>
            <w:vAlign w:val="center"/>
          </w:tcPr>
          <w:p w14:paraId="55239D13">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84.48 ± 7.09</w:t>
            </w:r>
          </w:p>
        </w:tc>
        <w:tc>
          <w:tcPr>
            <w:tcW w:w="866" w:type="pct"/>
            <w:vAlign w:val="center"/>
          </w:tcPr>
          <w:p w14:paraId="199153B4">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89.59 ± 7.71</w:t>
            </w:r>
          </w:p>
        </w:tc>
        <w:tc>
          <w:tcPr>
            <w:tcW w:w="455" w:type="pct"/>
            <w:vAlign w:val="center"/>
          </w:tcPr>
          <w:p w14:paraId="5276F95B">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&lt;0.001</w:t>
            </w:r>
          </w:p>
        </w:tc>
      </w:tr>
      <w:tr w14:paraId="69CF7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6A69C85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SBP, mmHg</w:t>
            </w:r>
          </w:p>
        </w:tc>
        <w:tc>
          <w:tcPr>
            <w:tcW w:w="873" w:type="pct"/>
            <w:vAlign w:val="center"/>
          </w:tcPr>
          <w:p w14:paraId="2EC320DF">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131.72 ± 7.54</w:t>
            </w:r>
          </w:p>
        </w:tc>
        <w:tc>
          <w:tcPr>
            <w:tcW w:w="914" w:type="pct"/>
            <w:vAlign w:val="center"/>
          </w:tcPr>
          <w:p w14:paraId="0877E8FD">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130.19 ± 7.79</w:t>
            </w:r>
          </w:p>
        </w:tc>
        <w:tc>
          <w:tcPr>
            <w:tcW w:w="977" w:type="pct"/>
            <w:vAlign w:val="center"/>
          </w:tcPr>
          <w:p w14:paraId="0F35A123">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131.81 ± 7.63</w:t>
            </w:r>
          </w:p>
        </w:tc>
        <w:tc>
          <w:tcPr>
            <w:tcW w:w="866" w:type="pct"/>
            <w:vAlign w:val="center"/>
          </w:tcPr>
          <w:p w14:paraId="39F3CFC4">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132.12 ± 7.35</w:t>
            </w:r>
          </w:p>
        </w:tc>
        <w:tc>
          <w:tcPr>
            <w:tcW w:w="455" w:type="pct"/>
            <w:vAlign w:val="center"/>
          </w:tcPr>
          <w:p w14:paraId="442E8048">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&lt;0.001</w:t>
            </w:r>
          </w:p>
        </w:tc>
      </w:tr>
      <w:tr w14:paraId="6C9B0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4F52D7B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DBP, mmHg</w:t>
            </w:r>
          </w:p>
        </w:tc>
        <w:tc>
          <w:tcPr>
            <w:tcW w:w="873" w:type="pct"/>
            <w:vAlign w:val="center"/>
          </w:tcPr>
          <w:p w14:paraId="19B2ED06">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80.48 ± 6.08</w:t>
            </w:r>
          </w:p>
        </w:tc>
        <w:tc>
          <w:tcPr>
            <w:tcW w:w="914" w:type="pct"/>
            <w:vAlign w:val="center"/>
          </w:tcPr>
          <w:p w14:paraId="39B1E249">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80.09 ± 6.42</w:t>
            </w:r>
          </w:p>
        </w:tc>
        <w:tc>
          <w:tcPr>
            <w:tcW w:w="977" w:type="pct"/>
            <w:vAlign w:val="center"/>
          </w:tcPr>
          <w:p w14:paraId="72ABA507">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80.55 ± 6.17</w:t>
            </w:r>
          </w:p>
        </w:tc>
        <w:tc>
          <w:tcPr>
            <w:tcW w:w="866" w:type="pct"/>
            <w:vAlign w:val="center"/>
          </w:tcPr>
          <w:p w14:paraId="2C5558C7">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80.54 ± 5.92</w:t>
            </w:r>
          </w:p>
        </w:tc>
        <w:tc>
          <w:tcPr>
            <w:tcW w:w="455" w:type="pct"/>
            <w:vAlign w:val="center"/>
          </w:tcPr>
          <w:p w14:paraId="5EEB43F3">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0.485</w:t>
            </w:r>
          </w:p>
        </w:tc>
      </w:tr>
      <w:tr w14:paraId="05F3C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0004F9EF">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FBG, mmol/L</w:t>
            </w:r>
          </w:p>
        </w:tc>
        <w:tc>
          <w:tcPr>
            <w:tcW w:w="873" w:type="pct"/>
            <w:vAlign w:val="bottom"/>
          </w:tcPr>
          <w:p w14:paraId="1EE0D7B2">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5.03 [4.50, 5.73]</w:t>
            </w:r>
          </w:p>
        </w:tc>
        <w:tc>
          <w:tcPr>
            <w:tcW w:w="914" w:type="pct"/>
            <w:vAlign w:val="bottom"/>
          </w:tcPr>
          <w:p w14:paraId="2047D7F1">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4.67 [4.20, 5.35]</w:t>
            </w:r>
          </w:p>
        </w:tc>
        <w:tc>
          <w:tcPr>
            <w:tcW w:w="977" w:type="pct"/>
            <w:vAlign w:val="bottom"/>
          </w:tcPr>
          <w:p w14:paraId="62980503">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4.84 [4.43, 5.40]</w:t>
            </w:r>
          </w:p>
        </w:tc>
        <w:tc>
          <w:tcPr>
            <w:tcW w:w="866" w:type="pct"/>
            <w:vAlign w:val="bottom"/>
          </w:tcPr>
          <w:p w14:paraId="29B74A10">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5.25 [4.67, 6.11]</w:t>
            </w:r>
          </w:p>
        </w:tc>
        <w:tc>
          <w:tcPr>
            <w:tcW w:w="455" w:type="pct"/>
            <w:vAlign w:val="center"/>
          </w:tcPr>
          <w:p w14:paraId="372122B1">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&lt;0.001</w:t>
            </w:r>
          </w:p>
        </w:tc>
      </w:tr>
      <w:tr w14:paraId="13FF8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4E8D866D">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T-CH, mmol/L</w:t>
            </w:r>
          </w:p>
        </w:tc>
        <w:tc>
          <w:tcPr>
            <w:tcW w:w="873" w:type="pct"/>
            <w:vAlign w:val="bottom"/>
          </w:tcPr>
          <w:p w14:paraId="29DD798F">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5.02 [4.39, 5.68]</w:t>
            </w:r>
          </w:p>
        </w:tc>
        <w:tc>
          <w:tcPr>
            <w:tcW w:w="914" w:type="pct"/>
            <w:vAlign w:val="bottom"/>
          </w:tcPr>
          <w:p w14:paraId="55CD0924">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4.85 [4.25, 5.56]</w:t>
            </w:r>
          </w:p>
        </w:tc>
        <w:tc>
          <w:tcPr>
            <w:tcW w:w="977" w:type="pct"/>
            <w:vAlign w:val="bottom"/>
          </w:tcPr>
          <w:p w14:paraId="071850FF">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4.98 [4.40, 5.66]</w:t>
            </w:r>
          </w:p>
        </w:tc>
        <w:tc>
          <w:tcPr>
            <w:tcW w:w="866" w:type="pct"/>
            <w:vAlign w:val="bottom"/>
          </w:tcPr>
          <w:p w14:paraId="53DC6B85">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5.13 [4.45, 5.81]</w:t>
            </w:r>
          </w:p>
        </w:tc>
        <w:tc>
          <w:tcPr>
            <w:tcW w:w="455" w:type="pct"/>
            <w:vAlign w:val="center"/>
          </w:tcPr>
          <w:p w14:paraId="5398C532">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&lt;0.001</w:t>
            </w:r>
          </w:p>
        </w:tc>
      </w:tr>
      <w:tr w14:paraId="28FC4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25A82DE1">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TG, mmol/L</w:t>
            </w:r>
          </w:p>
        </w:tc>
        <w:tc>
          <w:tcPr>
            <w:tcW w:w="873" w:type="pct"/>
            <w:vAlign w:val="bottom"/>
          </w:tcPr>
          <w:p w14:paraId="6955E2BF">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1.27 [0.94, 1.74]</w:t>
            </w:r>
          </w:p>
        </w:tc>
        <w:tc>
          <w:tcPr>
            <w:tcW w:w="914" w:type="pct"/>
            <w:vAlign w:val="bottom"/>
          </w:tcPr>
          <w:p w14:paraId="4FE03471">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0.86 [0.68, 1.08]</w:t>
            </w:r>
          </w:p>
        </w:tc>
        <w:tc>
          <w:tcPr>
            <w:tcW w:w="977" w:type="pct"/>
            <w:vAlign w:val="bottom"/>
          </w:tcPr>
          <w:p w14:paraId="208E2D03">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1.12 [0.89, 1.47]</w:t>
            </w:r>
          </w:p>
        </w:tc>
        <w:tc>
          <w:tcPr>
            <w:tcW w:w="866" w:type="pct"/>
            <w:vAlign w:val="bottom"/>
          </w:tcPr>
          <w:p w14:paraId="39BF6BCF">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1.58 [1.19, 2.09]</w:t>
            </w:r>
          </w:p>
        </w:tc>
        <w:tc>
          <w:tcPr>
            <w:tcW w:w="455" w:type="pct"/>
            <w:vAlign w:val="center"/>
          </w:tcPr>
          <w:p w14:paraId="4B7977EC">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&lt;0.001</w:t>
            </w:r>
          </w:p>
        </w:tc>
      </w:tr>
      <w:tr w14:paraId="2C896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7E164170">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HDL-C, mmol/L</w:t>
            </w:r>
          </w:p>
        </w:tc>
        <w:tc>
          <w:tcPr>
            <w:tcW w:w="873" w:type="pct"/>
            <w:vAlign w:val="bottom"/>
          </w:tcPr>
          <w:p w14:paraId="2272A0BB">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1.32 [1.11, 1.56]</w:t>
            </w:r>
          </w:p>
        </w:tc>
        <w:tc>
          <w:tcPr>
            <w:tcW w:w="914" w:type="pct"/>
            <w:vAlign w:val="bottom"/>
          </w:tcPr>
          <w:p w14:paraId="7B3D8292">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1.45 [1.23, 1.67]</w:t>
            </w:r>
          </w:p>
        </w:tc>
        <w:tc>
          <w:tcPr>
            <w:tcW w:w="977" w:type="pct"/>
            <w:vAlign w:val="bottom"/>
          </w:tcPr>
          <w:p w14:paraId="56DF5477">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1.39 [1.15, 1.59]</w:t>
            </w:r>
          </w:p>
        </w:tc>
        <w:tc>
          <w:tcPr>
            <w:tcW w:w="866" w:type="pct"/>
            <w:vAlign w:val="bottom"/>
          </w:tcPr>
          <w:p w14:paraId="4046345D">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1.25 [1.07, 1.49]</w:t>
            </w:r>
          </w:p>
        </w:tc>
        <w:tc>
          <w:tcPr>
            <w:tcW w:w="455" w:type="pct"/>
            <w:vAlign w:val="center"/>
          </w:tcPr>
          <w:p w14:paraId="64A7B71F">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&lt;0.001</w:t>
            </w:r>
          </w:p>
        </w:tc>
      </w:tr>
      <w:tr w14:paraId="1D717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vAlign w:val="center"/>
          </w:tcPr>
          <w:p w14:paraId="3D284BFF">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LDL-C, mmol/L</w:t>
            </w:r>
          </w:p>
        </w:tc>
        <w:tc>
          <w:tcPr>
            <w:tcW w:w="873" w:type="pct"/>
            <w:vAlign w:val="bottom"/>
          </w:tcPr>
          <w:p w14:paraId="57716EEF">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3.16 [2.54, 3.76]</w:t>
            </w:r>
          </w:p>
        </w:tc>
        <w:tc>
          <w:tcPr>
            <w:tcW w:w="914" w:type="pct"/>
            <w:vAlign w:val="bottom"/>
          </w:tcPr>
          <w:p w14:paraId="5CBD1622">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3.03 ± 0.84</w:t>
            </w:r>
          </w:p>
        </w:tc>
        <w:tc>
          <w:tcPr>
            <w:tcW w:w="977" w:type="pct"/>
            <w:vAlign w:val="bottom"/>
          </w:tcPr>
          <w:p w14:paraId="14FCD019">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3.12 ± 0.89</w:t>
            </w:r>
          </w:p>
        </w:tc>
        <w:tc>
          <w:tcPr>
            <w:tcW w:w="866" w:type="pct"/>
            <w:vAlign w:val="bottom"/>
          </w:tcPr>
          <w:p w14:paraId="263CCDF6">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3.21 [2.61, 3.81]</w:t>
            </w:r>
          </w:p>
        </w:tc>
        <w:tc>
          <w:tcPr>
            <w:tcW w:w="455" w:type="pct"/>
            <w:vAlign w:val="center"/>
          </w:tcPr>
          <w:p w14:paraId="24322225">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0.002</w:t>
            </w:r>
          </w:p>
        </w:tc>
      </w:tr>
      <w:tr w14:paraId="1D6CB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12" w:type="pct"/>
            <w:tcBorders>
              <w:bottom w:val="single" w:color="auto" w:sz="4" w:space="0"/>
            </w:tcBorders>
            <w:vAlign w:val="center"/>
          </w:tcPr>
          <w:p w14:paraId="4FCE62DB">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eGFR, ml/min per 1.73 m</w:t>
            </w:r>
            <w:r>
              <w:rPr>
                <w:rStyle w:val="7"/>
                <w:rFonts w:hint="default" w:ascii="Times New Roman" w:hAnsi="Times New Roman" w:eastAsia="宋体" w:cs="Times New Roman"/>
                <w:sz w:val="18"/>
                <w:szCs w:val="18"/>
                <w:lang w:val="en-US" w:eastAsia="zh-CN" w:bidi="ar"/>
              </w:rPr>
              <w:t>2</w:t>
            </w:r>
          </w:p>
        </w:tc>
        <w:tc>
          <w:tcPr>
            <w:tcW w:w="873" w:type="pct"/>
            <w:tcBorders>
              <w:bottom w:val="single" w:color="auto" w:sz="4" w:space="0"/>
            </w:tcBorders>
            <w:vAlign w:val="bottom"/>
          </w:tcPr>
          <w:p w14:paraId="5F336CAB">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98.05 [80.70, 117.62]</w:t>
            </w:r>
          </w:p>
        </w:tc>
        <w:tc>
          <w:tcPr>
            <w:tcW w:w="914" w:type="pct"/>
            <w:tcBorders>
              <w:bottom w:val="single" w:color="auto" w:sz="4" w:space="0"/>
            </w:tcBorders>
            <w:vAlign w:val="bottom"/>
          </w:tcPr>
          <w:p w14:paraId="7A4CE85B">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100.46 [83.43, 119.55]</w:t>
            </w:r>
          </w:p>
        </w:tc>
        <w:tc>
          <w:tcPr>
            <w:tcW w:w="977" w:type="pct"/>
            <w:tcBorders>
              <w:bottom w:val="single" w:color="auto" w:sz="4" w:space="0"/>
            </w:tcBorders>
            <w:vAlign w:val="bottom"/>
          </w:tcPr>
          <w:p w14:paraId="107D4EF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98.02 [80.52, 116.38]</w:t>
            </w:r>
          </w:p>
        </w:tc>
        <w:tc>
          <w:tcPr>
            <w:tcW w:w="866" w:type="pct"/>
            <w:tcBorders>
              <w:bottom w:val="single" w:color="auto" w:sz="4" w:space="0"/>
            </w:tcBorders>
            <w:vAlign w:val="bottom"/>
          </w:tcPr>
          <w:p w14:paraId="14230361">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eastAsia" w:ascii="Times New Roman" w:hAnsi="Times New Roman" w:eastAsia="var(--dsw-font-markdown-table)" w:cs="Times New Roman"/>
                <w:i w:val="0"/>
                <w:iCs w:val="0"/>
                <w:caps w:val="0"/>
                <w:color w:val="0F1115"/>
                <w:spacing w:val="0"/>
                <w:kern w:val="0"/>
                <w:sz w:val="20"/>
                <w:szCs w:val="20"/>
                <w:lang w:val="en-US" w:eastAsia="zh-CN" w:bidi="ar"/>
              </w:rPr>
              <w:t>96.87 [80.00, 117.62]</w:t>
            </w:r>
          </w:p>
        </w:tc>
        <w:tc>
          <w:tcPr>
            <w:tcW w:w="455" w:type="pct"/>
            <w:tcBorders>
              <w:bottom w:val="single" w:color="auto" w:sz="4" w:space="0"/>
            </w:tcBorders>
            <w:vAlign w:val="center"/>
          </w:tcPr>
          <w:p w14:paraId="59C6B091">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i w:val="0"/>
                <w:iCs w:val="0"/>
                <w:caps w:val="0"/>
                <w:color w:val="0F1115"/>
                <w:spacing w:val="0"/>
                <w:kern w:val="0"/>
                <w:sz w:val="20"/>
                <w:szCs w:val="20"/>
                <w:lang w:val="en-US" w:eastAsia="zh-CN" w:bidi="ar"/>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0.154</w:t>
            </w:r>
          </w:p>
        </w:tc>
      </w:tr>
    </w:tbl>
    <w:p w14:paraId="14B0576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b/>
          <w:bCs/>
          <w:sz w:val="28"/>
          <w:szCs w:val="28"/>
        </w:rPr>
      </w:pPr>
      <w:r>
        <w:rPr>
          <w:rFonts w:hint="default" w:ascii="Times New Roman" w:hAnsi="Times New Roman" w:cs="Times New Roman"/>
          <w:b/>
          <w:bCs/>
        </w:rPr>
        <w:t>Note:</w:t>
      </w:r>
      <w:r>
        <w:rPr>
          <w:rFonts w:hint="default" w:ascii="Times New Roman" w:hAnsi="Times New Roman" w:cs="Times New Roman"/>
        </w:rPr>
        <w:t xml:space="preserve"> Data are presented as mean ± SD for normally distributed continuous variables, median [IQR] for non-normally distributed continuous variables, and n (%) for categorical variables. </w:t>
      </w:r>
      <w:r>
        <w:rPr>
          <w:rFonts w:hint="default" w:ascii="Times New Roman" w:hAnsi="Times New Roman" w:cs="Times New Roman"/>
          <w:i/>
          <w:iCs/>
        </w:rPr>
        <w:t>P</w:t>
      </w:r>
      <w:r>
        <w:rPr>
          <w:rFonts w:hint="default" w:ascii="Times New Roman" w:hAnsi="Times New Roman" w:cs="Times New Roman"/>
        </w:rPr>
        <w:t>-values were derived from one-way ANOVA for normally distributed continuous variables, Kruskal–Wallis tests for non-normally distributed continuous variables, and χ² tests (or Fisher's exact test when expected cell counts were &lt; 5) for categorical variables.</w:t>
      </w:r>
    </w:p>
    <w:p w14:paraId="630813F2">
      <w:pPr>
        <w:rPr>
          <w:rFonts w:hint="eastAsia" w:ascii="Times New Roman" w:hAnsi="Times New Roman" w:cs="Times New Roman" w:eastAsiaTheme="minorEastAsia"/>
          <w:lang w:eastAsia="zh-CN"/>
        </w:rPr>
      </w:pPr>
    </w:p>
    <w:p w14:paraId="4036ED82">
      <w:pPr>
        <w:rPr>
          <w:rFonts w:hint="default" w:ascii="Times New Roman" w:hAnsi="Times New Roman" w:cs="Times New Roman"/>
          <w:b/>
          <w:bCs/>
        </w:rPr>
      </w:pPr>
      <w:r>
        <w:rPr>
          <w:rFonts w:hint="default" w:ascii="Times New Roman" w:hAnsi="Times New Roman" w:cs="Times New Roman"/>
          <w:b/>
          <w:bCs/>
        </w:rPr>
        <w:t>Supplementary Table S</w:t>
      </w:r>
      <w:r>
        <w:rPr>
          <w:rFonts w:hint="eastAsia" w:ascii="Times New Roman" w:hAnsi="Times New Roman" w:cs="Times New Roman"/>
          <w:b/>
          <w:bCs/>
          <w:lang w:val="en-US" w:eastAsia="zh-CN"/>
        </w:rPr>
        <w:t>5</w:t>
      </w:r>
      <w:r>
        <w:rPr>
          <w:rFonts w:hint="default" w:ascii="Times New Roman" w:hAnsi="Times New Roman" w:cs="Times New Roman"/>
          <w:b/>
          <w:bCs/>
        </w:rPr>
        <w:t>. Multiple comparison correction for Cox regression analyses of TyG-derived indices with advanced CKM syndrome (Model 2).</w:t>
      </w:r>
    </w:p>
    <w:tbl>
      <w:tblPr>
        <w:tblStyle w:val="3"/>
        <w:tblW w:w="840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16"/>
        <w:gridCol w:w="1952"/>
        <w:gridCol w:w="1240"/>
        <w:gridCol w:w="1546"/>
        <w:gridCol w:w="2053"/>
      </w:tblGrid>
      <w:tr w14:paraId="2CBF0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6" w:type="dxa"/>
            <w:tcBorders>
              <w:top w:val="single" w:color="auto" w:sz="4" w:space="0"/>
              <w:bottom w:val="single" w:color="auto" w:sz="4" w:space="0"/>
            </w:tcBorders>
            <w:vAlign w:val="center"/>
          </w:tcPr>
          <w:p w14:paraId="53C8421E">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h" w:cs="Times New Roman"/>
                <w:b/>
                <w:bCs/>
                <w:i w:val="0"/>
                <w:iCs w:val="0"/>
                <w:caps w:val="0"/>
                <w:color w:val="0F1115"/>
                <w:spacing w:val="0"/>
                <w:kern w:val="0"/>
                <w:sz w:val="18"/>
                <w:szCs w:val="18"/>
                <w:lang w:val="en-US" w:eastAsia="zh-CN" w:bidi="ar"/>
              </w:rPr>
              <w:t>Index</w:t>
            </w:r>
          </w:p>
        </w:tc>
        <w:tc>
          <w:tcPr>
            <w:tcW w:w="1952" w:type="dxa"/>
            <w:tcBorders>
              <w:top w:val="single" w:color="auto" w:sz="4" w:space="0"/>
              <w:bottom w:val="single" w:color="auto" w:sz="4" w:space="0"/>
            </w:tcBorders>
            <w:vAlign w:val="center"/>
          </w:tcPr>
          <w:p w14:paraId="2B0BB9CB">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h" w:cs="Times New Roman"/>
                <w:b/>
                <w:bCs/>
                <w:i w:val="0"/>
                <w:iCs w:val="0"/>
                <w:caps w:val="0"/>
                <w:color w:val="0F1115"/>
                <w:spacing w:val="0"/>
                <w:kern w:val="0"/>
                <w:sz w:val="18"/>
                <w:szCs w:val="18"/>
                <w:lang w:val="en-US" w:eastAsia="zh-CN" w:bidi="ar"/>
              </w:rPr>
              <w:t>HR (95% CI)</w:t>
            </w:r>
            <w:r>
              <w:rPr>
                <w:rFonts w:hint="default" w:ascii="Times New Roman" w:hAnsi="Times New Roman" w:cs="Times New Roman"/>
                <w:b w:val="0"/>
                <w:bCs w:val="0"/>
              </w:rPr>
              <w:t>†</w:t>
            </w:r>
          </w:p>
        </w:tc>
        <w:tc>
          <w:tcPr>
            <w:tcW w:w="1240" w:type="dxa"/>
            <w:tcBorders>
              <w:top w:val="single" w:color="auto" w:sz="4" w:space="0"/>
              <w:bottom w:val="single" w:color="auto" w:sz="4" w:space="0"/>
            </w:tcBorders>
            <w:vAlign w:val="center"/>
          </w:tcPr>
          <w:p w14:paraId="547ED90F">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h" w:cs="Times New Roman"/>
                <w:b/>
                <w:bCs/>
                <w:i w:val="0"/>
                <w:iCs w:val="0"/>
                <w:caps w:val="0"/>
                <w:color w:val="0F1115"/>
                <w:spacing w:val="0"/>
                <w:kern w:val="0"/>
                <w:sz w:val="18"/>
                <w:szCs w:val="18"/>
                <w:lang w:val="en-US" w:eastAsia="zh-CN" w:bidi="ar"/>
              </w:rPr>
              <w:t>Raw P</w:t>
            </w:r>
          </w:p>
        </w:tc>
        <w:tc>
          <w:tcPr>
            <w:tcW w:w="1546" w:type="dxa"/>
            <w:tcBorders>
              <w:top w:val="single" w:color="auto" w:sz="4" w:space="0"/>
              <w:bottom w:val="single" w:color="auto" w:sz="4" w:space="0"/>
            </w:tcBorders>
            <w:vAlign w:val="center"/>
          </w:tcPr>
          <w:p w14:paraId="6530D961">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h" w:cs="Times New Roman"/>
                <w:b/>
                <w:bCs/>
                <w:i w:val="0"/>
                <w:iCs w:val="0"/>
                <w:caps w:val="0"/>
                <w:color w:val="0F1115"/>
                <w:spacing w:val="0"/>
                <w:kern w:val="0"/>
                <w:sz w:val="18"/>
                <w:szCs w:val="18"/>
                <w:lang w:val="en-US" w:eastAsia="zh-CN" w:bidi="ar"/>
              </w:rPr>
              <w:t xml:space="preserve">FDR-adjusted </w:t>
            </w:r>
            <w:r>
              <w:rPr>
                <w:rFonts w:hint="default" w:ascii="Times New Roman" w:hAnsi="Times New Roman" w:eastAsia="var(--dsw-font-markdown-table-h" w:cs="Times New Roman"/>
                <w:b/>
                <w:bCs/>
                <w:i/>
                <w:iCs/>
                <w:caps w:val="0"/>
                <w:color w:val="0F1115"/>
                <w:spacing w:val="0"/>
                <w:kern w:val="0"/>
                <w:sz w:val="18"/>
                <w:szCs w:val="18"/>
                <w:lang w:val="en-US" w:eastAsia="zh-CN" w:bidi="ar"/>
              </w:rPr>
              <w:t>P</w:t>
            </w:r>
          </w:p>
        </w:tc>
        <w:tc>
          <w:tcPr>
            <w:tcW w:w="2053" w:type="dxa"/>
            <w:tcBorders>
              <w:top w:val="single" w:color="auto" w:sz="4" w:space="0"/>
              <w:bottom w:val="single" w:color="auto" w:sz="4" w:space="0"/>
            </w:tcBorders>
            <w:vAlign w:val="center"/>
          </w:tcPr>
          <w:p w14:paraId="08575EEF">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h" w:cs="Times New Roman"/>
                <w:b/>
                <w:bCs/>
                <w:i w:val="0"/>
                <w:iCs w:val="0"/>
                <w:caps w:val="0"/>
                <w:color w:val="0F1115"/>
                <w:spacing w:val="0"/>
                <w:kern w:val="0"/>
                <w:sz w:val="18"/>
                <w:szCs w:val="18"/>
                <w:lang w:val="en-US" w:eastAsia="zh-CN" w:bidi="ar"/>
              </w:rPr>
              <w:t xml:space="preserve">Bonferroni-adjusted </w:t>
            </w:r>
            <w:r>
              <w:rPr>
                <w:rFonts w:hint="default" w:ascii="Times New Roman" w:hAnsi="Times New Roman" w:eastAsia="var(--dsw-font-markdown-table-h" w:cs="Times New Roman"/>
                <w:b/>
                <w:bCs/>
                <w:i/>
                <w:iCs/>
                <w:caps w:val="0"/>
                <w:color w:val="0F1115"/>
                <w:spacing w:val="0"/>
                <w:kern w:val="0"/>
                <w:sz w:val="18"/>
                <w:szCs w:val="18"/>
                <w:lang w:val="en-US" w:eastAsia="zh-CN" w:bidi="ar"/>
              </w:rPr>
              <w:t>P</w:t>
            </w:r>
          </w:p>
        </w:tc>
      </w:tr>
      <w:tr w14:paraId="1CD43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6" w:type="dxa"/>
            <w:tcBorders>
              <w:top w:val="single" w:color="auto" w:sz="4" w:space="0"/>
            </w:tcBorders>
            <w:vAlign w:val="center"/>
          </w:tcPr>
          <w:p w14:paraId="788AB02C">
            <w:pPr>
              <w:keepNext w:val="0"/>
              <w:keepLines w:val="0"/>
              <w:widowControl/>
              <w:suppressLineNumbers w:val="0"/>
              <w:jc w:val="left"/>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TyG</w:t>
            </w:r>
          </w:p>
        </w:tc>
        <w:tc>
          <w:tcPr>
            <w:tcW w:w="1952" w:type="dxa"/>
            <w:tcBorders>
              <w:top w:val="single" w:color="auto" w:sz="4" w:space="0"/>
            </w:tcBorders>
            <w:vAlign w:val="center"/>
          </w:tcPr>
          <w:p w14:paraId="374D18E9">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1.135 (2.733–3.601)</w:t>
            </w:r>
          </w:p>
        </w:tc>
        <w:tc>
          <w:tcPr>
            <w:tcW w:w="1240" w:type="dxa"/>
            <w:tcBorders>
              <w:top w:val="single" w:color="auto" w:sz="4" w:space="0"/>
            </w:tcBorders>
            <w:vAlign w:val="center"/>
          </w:tcPr>
          <w:p w14:paraId="03D531F3">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0.041</w:t>
            </w:r>
          </w:p>
        </w:tc>
        <w:tc>
          <w:tcPr>
            <w:tcW w:w="1546" w:type="dxa"/>
            <w:tcBorders>
              <w:top w:val="single" w:color="auto" w:sz="4" w:space="0"/>
            </w:tcBorders>
            <w:vAlign w:val="center"/>
          </w:tcPr>
          <w:p w14:paraId="769651AB">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0.041</w:t>
            </w:r>
          </w:p>
        </w:tc>
        <w:tc>
          <w:tcPr>
            <w:tcW w:w="2053" w:type="dxa"/>
            <w:tcBorders>
              <w:top w:val="single" w:color="auto" w:sz="4" w:space="0"/>
            </w:tcBorders>
            <w:vAlign w:val="center"/>
          </w:tcPr>
          <w:p w14:paraId="67B2665C">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0.408</w:t>
            </w:r>
          </w:p>
        </w:tc>
      </w:tr>
      <w:tr w14:paraId="5981D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6" w:type="dxa"/>
            <w:vAlign w:val="center"/>
          </w:tcPr>
          <w:p w14:paraId="7C23AFC2">
            <w:pPr>
              <w:keepNext w:val="0"/>
              <w:keepLines w:val="0"/>
              <w:widowControl/>
              <w:suppressLineNumbers w:val="0"/>
              <w:jc w:val="left"/>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TyG-WC</w:t>
            </w:r>
          </w:p>
        </w:tc>
        <w:tc>
          <w:tcPr>
            <w:tcW w:w="1952" w:type="dxa"/>
            <w:vAlign w:val="center"/>
          </w:tcPr>
          <w:p w14:paraId="7D7BC190">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1.286 (3.113–4.290)</w:t>
            </w:r>
          </w:p>
        </w:tc>
        <w:tc>
          <w:tcPr>
            <w:tcW w:w="1240" w:type="dxa"/>
            <w:vAlign w:val="center"/>
          </w:tcPr>
          <w:p w14:paraId="4F053C77">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&lt;0.001</w:t>
            </w:r>
          </w:p>
        </w:tc>
        <w:tc>
          <w:tcPr>
            <w:tcW w:w="1546" w:type="dxa"/>
            <w:vAlign w:val="center"/>
          </w:tcPr>
          <w:p w14:paraId="25D45056">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&lt;0.001</w:t>
            </w:r>
          </w:p>
        </w:tc>
        <w:tc>
          <w:tcPr>
            <w:tcW w:w="2053" w:type="dxa"/>
            <w:vAlign w:val="center"/>
          </w:tcPr>
          <w:p w14:paraId="1B9ED5AC">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0.001</w:t>
            </w:r>
          </w:p>
        </w:tc>
      </w:tr>
      <w:tr w14:paraId="09058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6" w:type="dxa"/>
            <w:vAlign w:val="center"/>
          </w:tcPr>
          <w:p w14:paraId="0122DF4B">
            <w:pPr>
              <w:keepNext w:val="0"/>
              <w:keepLines w:val="0"/>
              <w:widowControl/>
              <w:suppressLineNumbers w:val="0"/>
              <w:jc w:val="left"/>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TyG-WHtR</w:t>
            </w:r>
          </w:p>
        </w:tc>
        <w:tc>
          <w:tcPr>
            <w:tcW w:w="1952" w:type="dxa"/>
            <w:vAlign w:val="center"/>
          </w:tcPr>
          <w:p w14:paraId="567E3536">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1.268 (3.060–4.210)</w:t>
            </w:r>
          </w:p>
        </w:tc>
        <w:tc>
          <w:tcPr>
            <w:tcW w:w="1240" w:type="dxa"/>
            <w:vAlign w:val="center"/>
          </w:tcPr>
          <w:p w14:paraId="5D9B0013">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&lt;0.001</w:t>
            </w:r>
          </w:p>
        </w:tc>
        <w:tc>
          <w:tcPr>
            <w:tcW w:w="1546" w:type="dxa"/>
            <w:vAlign w:val="center"/>
          </w:tcPr>
          <w:p w14:paraId="2DCB1A30">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&lt;0.001</w:t>
            </w:r>
          </w:p>
        </w:tc>
        <w:tc>
          <w:tcPr>
            <w:tcW w:w="2053" w:type="dxa"/>
            <w:vAlign w:val="center"/>
          </w:tcPr>
          <w:p w14:paraId="153AC417">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0.002</w:t>
            </w:r>
          </w:p>
        </w:tc>
      </w:tr>
      <w:tr w14:paraId="727E6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6" w:type="dxa"/>
            <w:vAlign w:val="center"/>
          </w:tcPr>
          <w:p w14:paraId="3D38A9FE">
            <w:pPr>
              <w:keepNext w:val="0"/>
              <w:keepLines w:val="0"/>
              <w:widowControl/>
              <w:suppressLineNumbers w:val="0"/>
              <w:jc w:val="left"/>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TyG-BMI</w:t>
            </w:r>
          </w:p>
        </w:tc>
        <w:tc>
          <w:tcPr>
            <w:tcW w:w="1952" w:type="dxa"/>
            <w:vAlign w:val="center"/>
          </w:tcPr>
          <w:p w14:paraId="66DF129B">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1.187 (2.853–3.839)</w:t>
            </w:r>
          </w:p>
        </w:tc>
        <w:tc>
          <w:tcPr>
            <w:tcW w:w="1240" w:type="dxa"/>
            <w:vAlign w:val="center"/>
          </w:tcPr>
          <w:p w14:paraId="35E30411">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0.007</w:t>
            </w:r>
          </w:p>
        </w:tc>
        <w:tc>
          <w:tcPr>
            <w:tcW w:w="1546" w:type="dxa"/>
            <w:vAlign w:val="center"/>
          </w:tcPr>
          <w:p w14:paraId="6AF21588">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0.008</w:t>
            </w:r>
          </w:p>
        </w:tc>
        <w:tc>
          <w:tcPr>
            <w:tcW w:w="2053" w:type="dxa"/>
            <w:vAlign w:val="center"/>
          </w:tcPr>
          <w:p w14:paraId="63641031">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0.069</w:t>
            </w:r>
          </w:p>
        </w:tc>
      </w:tr>
      <w:tr w14:paraId="50EB4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6" w:type="dxa"/>
            <w:vAlign w:val="center"/>
          </w:tcPr>
          <w:p w14:paraId="55D92114">
            <w:pPr>
              <w:keepNext w:val="0"/>
              <w:keepLines w:val="0"/>
              <w:widowControl/>
              <w:suppressLineNumbers w:val="0"/>
              <w:jc w:val="left"/>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TyG-BRI</w:t>
            </w:r>
          </w:p>
        </w:tc>
        <w:tc>
          <w:tcPr>
            <w:tcW w:w="1952" w:type="dxa"/>
            <w:vAlign w:val="center"/>
          </w:tcPr>
          <w:p w14:paraId="7F508F58">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1.263 (3.050–4.185)</w:t>
            </w:r>
          </w:p>
        </w:tc>
        <w:tc>
          <w:tcPr>
            <w:tcW w:w="1240" w:type="dxa"/>
            <w:vAlign w:val="center"/>
          </w:tcPr>
          <w:p w14:paraId="77E634A2">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&lt;0.001</w:t>
            </w:r>
          </w:p>
        </w:tc>
        <w:tc>
          <w:tcPr>
            <w:tcW w:w="1546" w:type="dxa"/>
            <w:vAlign w:val="center"/>
          </w:tcPr>
          <w:p w14:paraId="4721C147">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&lt;0.001</w:t>
            </w:r>
          </w:p>
        </w:tc>
        <w:tc>
          <w:tcPr>
            <w:tcW w:w="2053" w:type="dxa"/>
            <w:vAlign w:val="center"/>
          </w:tcPr>
          <w:p w14:paraId="42C891A8">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0.002</w:t>
            </w:r>
          </w:p>
        </w:tc>
      </w:tr>
      <w:tr w14:paraId="6BC25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6" w:type="dxa"/>
            <w:vAlign w:val="center"/>
          </w:tcPr>
          <w:p w14:paraId="7ADC8D69">
            <w:pPr>
              <w:keepNext w:val="0"/>
              <w:keepLines w:val="0"/>
              <w:widowControl/>
              <w:suppressLineNumbers w:val="0"/>
              <w:jc w:val="left"/>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TyG-WWI</w:t>
            </w:r>
          </w:p>
        </w:tc>
        <w:tc>
          <w:tcPr>
            <w:tcW w:w="1952" w:type="dxa"/>
            <w:vAlign w:val="center"/>
          </w:tcPr>
          <w:p w14:paraId="4DE4F82B">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1.218 (2.916–4.001)</w:t>
            </w:r>
          </w:p>
        </w:tc>
        <w:tc>
          <w:tcPr>
            <w:tcW w:w="1240" w:type="dxa"/>
            <w:vAlign w:val="center"/>
          </w:tcPr>
          <w:p w14:paraId="7898EF9A">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0.003</w:t>
            </w:r>
          </w:p>
        </w:tc>
        <w:tc>
          <w:tcPr>
            <w:tcW w:w="1546" w:type="dxa"/>
            <w:vAlign w:val="center"/>
          </w:tcPr>
          <w:p w14:paraId="43293A81">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0.004</w:t>
            </w:r>
          </w:p>
        </w:tc>
        <w:tc>
          <w:tcPr>
            <w:tcW w:w="2053" w:type="dxa"/>
            <w:vAlign w:val="center"/>
          </w:tcPr>
          <w:p w14:paraId="3117F87F">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0.028</w:t>
            </w:r>
          </w:p>
        </w:tc>
      </w:tr>
      <w:tr w14:paraId="50331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6" w:type="dxa"/>
            <w:vAlign w:val="center"/>
          </w:tcPr>
          <w:p w14:paraId="7CD8C0CC">
            <w:pPr>
              <w:keepNext w:val="0"/>
              <w:keepLines w:val="0"/>
              <w:widowControl/>
              <w:suppressLineNumbers w:val="0"/>
              <w:jc w:val="left"/>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TyG-LAP</w:t>
            </w:r>
          </w:p>
        </w:tc>
        <w:tc>
          <w:tcPr>
            <w:tcW w:w="1952" w:type="dxa"/>
            <w:vAlign w:val="center"/>
          </w:tcPr>
          <w:p w14:paraId="681AF4D8">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1.267 (3.086–4.153)</w:t>
            </w:r>
          </w:p>
        </w:tc>
        <w:tc>
          <w:tcPr>
            <w:tcW w:w="1240" w:type="dxa"/>
            <w:vAlign w:val="center"/>
          </w:tcPr>
          <w:p w14:paraId="0B6407CE">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&lt;0.001</w:t>
            </w:r>
          </w:p>
        </w:tc>
        <w:tc>
          <w:tcPr>
            <w:tcW w:w="1546" w:type="dxa"/>
            <w:vAlign w:val="center"/>
          </w:tcPr>
          <w:p w14:paraId="18FF26EB">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&lt;0.001</w:t>
            </w:r>
          </w:p>
        </w:tc>
        <w:tc>
          <w:tcPr>
            <w:tcW w:w="2053" w:type="dxa"/>
            <w:vAlign w:val="center"/>
          </w:tcPr>
          <w:p w14:paraId="46DC968A">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0.001</w:t>
            </w:r>
          </w:p>
        </w:tc>
      </w:tr>
      <w:tr w14:paraId="04E46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6" w:type="dxa"/>
            <w:vAlign w:val="center"/>
          </w:tcPr>
          <w:p w14:paraId="22DAD867">
            <w:pPr>
              <w:keepNext w:val="0"/>
              <w:keepLines w:val="0"/>
              <w:widowControl/>
              <w:suppressLineNumbers w:val="0"/>
              <w:jc w:val="left"/>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TyG-ABSI</w:t>
            </w:r>
          </w:p>
        </w:tc>
        <w:tc>
          <w:tcPr>
            <w:tcW w:w="1952" w:type="dxa"/>
            <w:vAlign w:val="center"/>
          </w:tcPr>
          <w:p w14:paraId="44896C3C">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1.212 (2.915–3.950)</w:t>
            </w:r>
          </w:p>
        </w:tc>
        <w:tc>
          <w:tcPr>
            <w:tcW w:w="1240" w:type="dxa"/>
            <w:vAlign w:val="center"/>
          </w:tcPr>
          <w:p w14:paraId="5463403A">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0.003</w:t>
            </w:r>
          </w:p>
        </w:tc>
        <w:tc>
          <w:tcPr>
            <w:tcW w:w="1546" w:type="dxa"/>
            <w:vAlign w:val="center"/>
          </w:tcPr>
          <w:p w14:paraId="5EC6A887">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0.004</w:t>
            </w:r>
          </w:p>
        </w:tc>
        <w:tc>
          <w:tcPr>
            <w:tcW w:w="2053" w:type="dxa"/>
            <w:vAlign w:val="center"/>
          </w:tcPr>
          <w:p w14:paraId="2CA3B446">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0.025</w:t>
            </w:r>
          </w:p>
        </w:tc>
      </w:tr>
      <w:tr w14:paraId="25441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6" w:type="dxa"/>
            <w:vAlign w:val="center"/>
          </w:tcPr>
          <w:p w14:paraId="5397768F">
            <w:pPr>
              <w:keepNext w:val="0"/>
              <w:keepLines w:val="0"/>
              <w:widowControl/>
              <w:suppressLineNumbers w:val="0"/>
              <w:jc w:val="left"/>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TyG-VAI</w:t>
            </w:r>
          </w:p>
        </w:tc>
        <w:tc>
          <w:tcPr>
            <w:tcW w:w="1952" w:type="dxa"/>
            <w:vAlign w:val="center"/>
          </w:tcPr>
          <w:p w14:paraId="0ECFFAC1">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1.278 (3.091–4.251)</w:t>
            </w:r>
          </w:p>
        </w:tc>
        <w:tc>
          <w:tcPr>
            <w:tcW w:w="1240" w:type="dxa"/>
            <w:vAlign w:val="center"/>
          </w:tcPr>
          <w:p w14:paraId="4909582E">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&lt;0.001</w:t>
            </w:r>
          </w:p>
        </w:tc>
        <w:tc>
          <w:tcPr>
            <w:tcW w:w="1546" w:type="dxa"/>
            <w:vAlign w:val="center"/>
          </w:tcPr>
          <w:p w14:paraId="76DF92A7">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&lt;0.001</w:t>
            </w:r>
          </w:p>
        </w:tc>
        <w:tc>
          <w:tcPr>
            <w:tcW w:w="2053" w:type="dxa"/>
            <w:vAlign w:val="center"/>
          </w:tcPr>
          <w:p w14:paraId="705107F4">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0.001</w:t>
            </w:r>
          </w:p>
        </w:tc>
      </w:tr>
      <w:tr w14:paraId="7C226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616" w:type="dxa"/>
            <w:tcBorders>
              <w:bottom w:val="single" w:color="auto" w:sz="4" w:space="0"/>
            </w:tcBorders>
            <w:vAlign w:val="center"/>
          </w:tcPr>
          <w:p w14:paraId="79EBEE62">
            <w:pPr>
              <w:keepNext w:val="0"/>
              <w:keepLines w:val="0"/>
              <w:widowControl/>
              <w:suppressLineNumbers w:val="0"/>
              <w:jc w:val="left"/>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TyG-CVAI</w:t>
            </w:r>
          </w:p>
        </w:tc>
        <w:tc>
          <w:tcPr>
            <w:tcW w:w="1952" w:type="dxa"/>
            <w:tcBorders>
              <w:bottom w:val="single" w:color="auto" w:sz="4" w:space="0"/>
            </w:tcBorders>
            <w:vAlign w:val="center"/>
          </w:tcPr>
          <w:p w14:paraId="12852806">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1.290 (3.136–4.290)</w:t>
            </w:r>
          </w:p>
        </w:tc>
        <w:tc>
          <w:tcPr>
            <w:tcW w:w="1240" w:type="dxa"/>
            <w:tcBorders>
              <w:bottom w:val="single" w:color="auto" w:sz="4" w:space="0"/>
            </w:tcBorders>
            <w:vAlign w:val="center"/>
          </w:tcPr>
          <w:p w14:paraId="3385BF69">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&lt;0.001</w:t>
            </w:r>
          </w:p>
        </w:tc>
        <w:tc>
          <w:tcPr>
            <w:tcW w:w="1546" w:type="dxa"/>
            <w:tcBorders>
              <w:bottom w:val="single" w:color="auto" w:sz="4" w:space="0"/>
            </w:tcBorders>
            <w:vAlign w:val="center"/>
          </w:tcPr>
          <w:p w14:paraId="19EBCE13">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&lt;0.001</w:t>
            </w:r>
          </w:p>
        </w:tc>
        <w:tc>
          <w:tcPr>
            <w:tcW w:w="2053" w:type="dxa"/>
            <w:tcBorders>
              <w:bottom w:val="single" w:color="auto" w:sz="4" w:space="0"/>
            </w:tcBorders>
            <w:vAlign w:val="center"/>
          </w:tcPr>
          <w:p w14:paraId="6D817D02">
            <w:pPr>
              <w:keepNext w:val="0"/>
              <w:keepLines w:val="0"/>
              <w:widowControl/>
              <w:suppressLineNumbers w:val="0"/>
              <w:jc w:val="center"/>
              <w:rPr>
                <w:rFonts w:hint="default" w:ascii="Times New Roman" w:hAnsi="Times New Roman" w:cs="Times New Roman"/>
                <w:b w:val="0"/>
                <w:bCs w:val="0"/>
                <w:sz w:val="15"/>
                <w:szCs w:val="18"/>
                <w:vertAlign w:val="baseline"/>
              </w:rPr>
            </w:pPr>
            <w:r>
              <w:rPr>
                <w:rFonts w:hint="default" w:ascii="Times New Roman" w:hAnsi="Times New Roman" w:eastAsia="var(--dsw-font-markdown-table)" w:cs="Times New Roman"/>
                <w:i w:val="0"/>
                <w:iCs w:val="0"/>
                <w:caps w:val="0"/>
                <w:color w:val="0F1115"/>
                <w:spacing w:val="0"/>
                <w:kern w:val="0"/>
                <w:sz w:val="18"/>
                <w:szCs w:val="18"/>
                <w:lang w:val="en-US" w:eastAsia="zh-CN" w:bidi="ar"/>
              </w:rPr>
              <w:t>&lt;0.001</w:t>
            </w:r>
          </w:p>
        </w:tc>
      </w:tr>
    </w:tbl>
    <w:p w14:paraId="04619832">
      <w:pPr>
        <w:rPr>
          <w:rFonts w:hint="default" w:ascii="Times New Roman" w:hAnsi="Times New Roman" w:cs="Times New Roman"/>
          <w:b/>
          <w:bCs/>
          <w:sz w:val="28"/>
          <w:szCs w:val="28"/>
        </w:rPr>
      </w:pPr>
      <w:r>
        <w:rPr>
          <w:rFonts w:hint="default" w:ascii="Times New Roman" w:hAnsi="Times New Roman" w:cs="Times New Roman"/>
          <w:b/>
          <w:bCs/>
        </w:rPr>
        <w:t>Note:</w:t>
      </w:r>
      <w:r>
        <w:rPr>
          <w:rFonts w:hint="default" w:ascii="Times New Roman" w:hAnsi="Times New Roman" w:cs="Times New Roman"/>
          <w:b w:val="0"/>
          <w:bCs w:val="0"/>
        </w:rPr>
        <w:t xml:space="preserve"> Cox proportional hazards regression was performed with each TyG-derived index modeled as a continuous variable (per 1-SD increase). Model 2 was adjusted for </w:t>
      </w:r>
      <w:r>
        <w:rPr>
          <w:rFonts w:hint="default" w:ascii="Times New Roman" w:hAnsi="Times New Roman" w:cs="Times New Roman"/>
        </w:rPr>
        <w:t>gender, age, smoke, drink, exercise</w:t>
      </w:r>
      <w:r>
        <w:rPr>
          <w:rFonts w:hint="default" w:ascii="Times New Roman" w:hAnsi="Times New Roman" w:cs="Times New Roman"/>
          <w:b w:val="0"/>
          <w:bCs w:val="0"/>
        </w:rPr>
        <w:t xml:space="preserve">. FDR, false discovery rate (Benjamini–Hochberg method); Bonferroni, Bonferroni correction. A two-sided </w:t>
      </w:r>
      <w:r>
        <w:rPr>
          <w:rFonts w:hint="default" w:ascii="Times New Roman" w:hAnsi="Times New Roman" w:cs="Times New Roman"/>
          <w:b w:val="0"/>
          <w:bCs w:val="0"/>
          <w:i/>
          <w:iCs/>
        </w:rPr>
        <w:t>P</w:t>
      </w:r>
      <w:r>
        <w:rPr>
          <w:rFonts w:hint="default" w:ascii="Times New Roman" w:hAnsi="Times New Roman" w:cs="Times New Roman"/>
          <w:b w:val="0"/>
          <w:bCs w:val="0"/>
        </w:rPr>
        <w:t xml:space="preserve"> &lt; 0.05 was considered statistically significant. † The HR (95% CI) values are presented as reported in the original analysis output; the wide confidence intervals reflect the per-1-SD scaling and the modest number of events. </w:t>
      </w:r>
    </w:p>
    <w:p w14:paraId="27ECFFDD">
      <w:pPr>
        <w:rPr>
          <w:rFonts w:hint="eastAsia" w:ascii="Times New Roman" w:hAnsi="Times New Roman" w:cs="Times New Roman" w:eastAsiaTheme="minorEastAsia"/>
          <w:lang w:eastAsia="zh-CN"/>
        </w:rPr>
      </w:pPr>
    </w:p>
    <w:p w14:paraId="778ED09C">
      <w:pPr>
        <w:rPr>
          <w:rFonts w:hint="default" w:ascii="Times New Roman" w:hAnsi="Times New Roman" w:cs="Times New Roman" w:eastAsiaTheme="minorEastAsia"/>
          <w:b/>
          <w:bCs/>
          <w:lang w:val="en-US" w:eastAsia="zh-CN"/>
        </w:rPr>
      </w:pPr>
      <w:r>
        <w:rPr>
          <w:rFonts w:hint="eastAsia" w:ascii="Times New Roman" w:hAnsi="Times New Roman" w:cs="Times New Roman" w:eastAsiaTheme="minorEastAsia"/>
          <w:b/>
          <w:bCs/>
          <w:lang w:eastAsia="zh-CN"/>
        </w:rPr>
        <w:t>Supplementary Table S</w:t>
      </w:r>
      <w:r>
        <w:rPr>
          <w:rFonts w:hint="eastAsia" w:ascii="Times New Roman" w:hAnsi="Times New Roman" w:cs="Times New Roman"/>
          <w:b/>
          <w:bCs/>
          <w:lang w:val="en-US" w:eastAsia="zh-CN"/>
        </w:rPr>
        <w:t>6</w:t>
      </w:r>
      <w:r>
        <w:rPr>
          <w:rFonts w:hint="eastAsia" w:ascii="Times New Roman" w:hAnsi="Times New Roman" w:cs="Times New Roman" w:eastAsiaTheme="minorEastAsia"/>
          <w:b/>
          <w:bCs/>
          <w:lang w:eastAsia="zh-CN"/>
        </w:rPr>
        <w:t>. Incremental predictive value of TyG and TyG-related indices for 5-year advanced CKM risk (Continuous NRI and IDI)</w:t>
      </w:r>
      <w:r>
        <w:rPr>
          <w:rFonts w:hint="eastAsia" w:ascii="Times New Roman" w:hAnsi="Times New Roman" w:cs="Times New Roman"/>
          <w:b/>
          <w:bCs/>
          <w:lang w:val="en-US" w:eastAsia="zh-CN"/>
        </w:rPr>
        <w:t>.</w:t>
      </w:r>
    </w:p>
    <w:tbl>
      <w:tblPr>
        <w:tblStyle w:val="3"/>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8"/>
        <w:gridCol w:w="2484"/>
        <w:gridCol w:w="1045"/>
        <w:gridCol w:w="2484"/>
        <w:gridCol w:w="898"/>
      </w:tblGrid>
      <w:tr w14:paraId="3C964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nil"/>
              <w:bottom w:val="single" w:color="auto" w:sz="4" w:space="0"/>
              <w:right w:val="nil"/>
            </w:tcBorders>
            <w:vAlign w:val="center"/>
          </w:tcPr>
          <w:p w14:paraId="4CF2A21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sz w:val="18"/>
                <w:szCs w:val="18"/>
                <w:vertAlign w:val="baseline"/>
              </w:rPr>
            </w:pPr>
            <w:r>
              <w:rPr>
                <w:rFonts w:hint="default" w:ascii="Times New Roman" w:hAnsi="Times New Roman" w:eastAsia="宋体" w:cs="Times New Roman"/>
                <w:b/>
                <w:bCs/>
                <w:i w:val="0"/>
                <w:iCs w:val="0"/>
                <w:color w:val="0F1115"/>
                <w:kern w:val="0"/>
                <w:sz w:val="18"/>
                <w:szCs w:val="18"/>
                <w:u w:val="none"/>
                <w:lang w:val="en-US" w:eastAsia="zh-CN" w:bidi="ar"/>
              </w:rPr>
              <w:t>Index</w:t>
            </w:r>
          </w:p>
        </w:tc>
        <w:tc>
          <w:tcPr>
            <w:tcW w:w="0" w:type="auto"/>
            <w:tcBorders>
              <w:top w:val="single" w:color="auto" w:sz="4" w:space="0"/>
              <w:left w:val="nil"/>
              <w:bottom w:val="single" w:color="auto" w:sz="4" w:space="0"/>
              <w:right w:val="nil"/>
            </w:tcBorders>
            <w:vAlign w:val="center"/>
          </w:tcPr>
          <w:p w14:paraId="5D35628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sz w:val="18"/>
                <w:szCs w:val="18"/>
                <w:vertAlign w:val="baseline"/>
                <w:lang w:val="en-US"/>
              </w:rPr>
            </w:pPr>
            <w:r>
              <w:rPr>
                <w:rFonts w:hint="default" w:ascii="Times New Roman" w:hAnsi="Times New Roman" w:cs="Times New Roman"/>
                <w:b/>
                <w:bCs/>
              </w:rPr>
              <w:t>Continuous</w:t>
            </w:r>
            <w:r>
              <w:rPr>
                <w:rFonts w:hint="eastAsia" w:ascii="Times New Roman" w:hAnsi="Times New Roman" w:eastAsia="宋体" w:cs="Times New Roman"/>
                <w:b/>
                <w:bCs/>
                <w:i w:val="0"/>
                <w:iCs w:val="0"/>
                <w:color w:val="0F1115"/>
                <w:kern w:val="0"/>
                <w:sz w:val="18"/>
                <w:szCs w:val="18"/>
                <w:u w:val="none"/>
                <w:lang w:val="en-US" w:eastAsia="zh-CN" w:bidi="ar"/>
              </w:rPr>
              <w:t xml:space="preserve"> </w:t>
            </w:r>
            <w:r>
              <w:rPr>
                <w:rFonts w:hint="default" w:ascii="Times New Roman" w:hAnsi="Times New Roman" w:eastAsia="宋体" w:cs="Times New Roman"/>
                <w:b/>
                <w:bCs/>
                <w:i w:val="0"/>
                <w:iCs w:val="0"/>
                <w:color w:val="0F1115"/>
                <w:kern w:val="0"/>
                <w:sz w:val="18"/>
                <w:szCs w:val="18"/>
                <w:u w:val="none"/>
                <w:lang w:val="en-US" w:eastAsia="zh-CN" w:bidi="ar"/>
              </w:rPr>
              <w:t>NRI</w:t>
            </w:r>
            <w:r>
              <w:rPr>
                <w:rFonts w:hint="eastAsia" w:ascii="Times New Roman" w:hAnsi="Times New Roman" w:eastAsia="宋体" w:cs="Times New Roman"/>
                <w:b/>
                <w:bCs/>
                <w:i w:val="0"/>
                <w:iCs w:val="0"/>
                <w:color w:val="0F1115"/>
                <w:kern w:val="0"/>
                <w:sz w:val="18"/>
                <w:szCs w:val="18"/>
                <w:u w:val="none"/>
                <w:lang w:val="en-US" w:eastAsia="zh-CN" w:bidi="ar"/>
              </w:rPr>
              <w:t xml:space="preserve"> (95%CI)</w:t>
            </w:r>
          </w:p>
        </w:tc>
        <w:tc>
          <w:tcPr>
            <w:tcW w:w="0" w:type="auto"/>
            <w:tcBorders>
              <w:top w:val="single" w:color="auto" w:sz="4" w:space="0"/>
              <w:left w:val="nil"/>
              <w:bottom w:val="single" w:color="auto" w:sz="4" w:space="0"/>
              <w:right w:val="nil"/>
            </w:tcBorders>
            <w:vAlign w:val="center"/>
          </w:tcPr>
          <w:p w14:paraId="767A101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sz w:val="18"/>
                <w:szCs w:val="18"/>
                <w:vertAlign w:val="baseline"/>
              </w:rPr>
            </w:pPr>
            <w:r>
              <w:rPr>
                <w:rFonts w:hint="default" w:ascii="Times New Roman" w:hAnsi="Times New Roman" w:eastAsia="宋体" w:cs="Times New Roman"/>
                <w:b/>
                <w:bCs/>
                <w:i/>
                <w:iCs/>
                <w:color w:val="0F1115"/>
                <w:kern w:val="0"/>
                <w:sz w:val="18"/>
                <w:szCs w:val="18"/>
                <w:u w:val="none"/>
                <w:lang w:val="en-US" w:eastAsia="zh-CN" w:bidi="ar"/>
              </w:rPr>
              <w:t>P</w:t>
            </w:r>
          </w:p>
        </w:tc>
        <w:tc>
          <w:tcPr>
            <w:tcW w:w="0" w:type="auto"/>
            <w:tcBorders>
              <w:top w:val="single" w:color="auto" w:sz="4" w:space="0"/>
              <w:left w:val="nil"/>
              <w:bottom w:val="single" w:color="auto" w:sz="4" w:space="0"/>
              <w:right w:val="nil"/>
            </w:tcBorders>
            <w:vAlign w:val="center"/>
          </w:tcPr>
          <w:p w14:paraId="5C0E992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sz w:val="18"/>
                <w:szCs w:val="18"/>
                <w:vertAlign w:val="baseline"/>
              </w:rPr>
            </w:pPr>
            <w:r>
              <w:rPr>
                <w:rFonts w:hint="default" w:ascii="Times New Roman" w:hAnsi="Times New Roman" w:eastAsia="宋体" w:cs="Times New Roman"/>
                <w:b/>
                <w:bCs/>
                <w:i w:val="0"/>
                <w:iCs w:val="0"/>
                <w:color w:val="0F1115"/>
                <w:kern w:val="0"/>
                <w:sz w:val="18"/>
                <w:szCs w:val="18"/>
                <w:u w:val="none"/>
                <w:lang w:val="en-US" w:eastAsia="zh-CN" w:bidi="ar"/>
              </w:rPr>
              <w:t>IDI</w:t>
            </w:r>
            <w:r>
              <w:rPr>
                <w:rFonts w:hint="eastAsia" w:ascii="Times New Roman" w:hAnsi="Times New Roman" w:eastAsia="宋体" w:cs="Times New Roman"/>
                <w:b/>
                <w:bCs/>
                <w:i w:val="0"/>
                <w:iCs w:val="0"/>
                <w:color w:val="0F1115"/>
                <w:kern w:val="0"/>
                <w:sz w:val="18"/>
                <w:szCs w:val="18"/>
                <w:u w:val="none"/>
                <w:lang w:val="en-US" w:eastAsia="zh-CN" w:bidi="ar"/>
              </w:rPr>
              <w:t xml:space="preserve"> (95%CI)</w:t>
            </w:r>
          </w:p>
        </w:tc>
        <w:tc>
          <w:tcPr>
            <w:tcW w:w="898" w:type="dxa"/>
            <w:tcBorders>
              <w:top w:val="single" w:color="auto" w:sz="4" w:space="0"/>
              <w:left w:val="nil"/>
              <w:bottom w:val="single" w:color="auto" w:sz="4" w:space="0"/>
              <w:right w:val="nil"/>
            </w:tcBorders>
            <w:vAlign w:val="center"/>
          </w:tcPr>
          <w:p w14:paraId="2598657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sz w:val="18"/>
                <w:szCs w:val="18"/>
                <w:vertAlign w:val="baseline"/>
              </w:rPr>
            </w:pPr>
            <w:r>
              <w:rPr>
                <w:rFonts w:hint="default" w:ascii="Times New Roman" w:hAnsi="Times New Roman" w:eastAsia="宋体" w:cs="Times New Roman"/>
                <w:b/>
                <w:bCs/>
                <w:i/>
                <w:iCs/>
                <w:color w:val="0F1115"/>
                <w:kern w:val="0"/>
                <w:sz w:val="18"/>
                <w:szCs w:val="18"/>
                <w:u w:val="none"/>
                <w:lang w:val="en-US" w:eastAsia="zh-CN" w:bidi="ar"/>
              </w:rPr>
              <w:t>P</w:t>
            </w:r>
          </w:p>
        </w:tc>
      </w:tr>
      <w:tr w14:paraId="7DDF2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nil"/>
              <w:bottom w:val="nil"/>
              <w:right w:val="nil"/>
            </w:tcBorders>
            <w:vAlign w:val="center"/>
          </w:tcPr>
          <w:p w14:paraId="4D6BB6B0">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bCs/>
                <w:sz w:val="18"/>
                <w:szCs w:val="18"/>
                <w:lang w:val="en-US" w:eastAsia="zh-CN"/>
              </w:rPr>
            </w:pPr>
            <w:r>
              <w:rPr>
                <w:rFonts w:hint="eastAsia" w:ascii="Times New Roman" w:hAnsi="Times New Roman" w:eastAsia="宋体" w:cs="Times New Roman"/>
                <w:b w:val="0"/>
                <w:bCs/>
                <w:sz w:val="18"/>
                <w:szCs w:val="18"/>
                <w:lang w:val="en-US" w:eastAsia="zh-CN"/>
              </w:rPr>
              <w:t>Model clinical</w:t>
            </w:r>
          </w:p>
        </w:tc>
        <w:tc>
          <w:tcPr>
            <w:tcW w:w="0" w:type="auto"/>
            <w:tcBorders>
              <w:top w:val="single" w:color="auto" w:sz="4" w:space="0"/>
              <w:left w:val="nil"/>
              <w:bottom w:val="nil"/>
              <w:right w:val="nil"/>
            </w:tcBorders>
            <w:vAlign w:val="center"/>
          </w:tcPr>
          <w:p w14:paraId="5F88A12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sz w:val="18"/>
                <w:szCs w:val="18"/>
                <w:lang w:val="en-US" w:eastAsia="zh-CN"/>
              </w:rPr>
            </w:pPr>
            <w:r>
              <w:rPr>
                <w:rFonts w:hint="eastAsia" w:ascii="Times New Roman" w:hAnsi="Times New Roman" w:eastAsia="宋体" w:cs="Times New Roman"/>
                <w:b w:val="0"/>
                <w:bCs/>
                <w:sz w:val="18"/>
                <w:szCs w:val="18"/>
                <w:lang w:val="en-US" w:eastAsia="zh-CN"/>
              </w:rPr>
              <w:t>Ref</w:t>
            </w:r>
          </w:p>
        </w:tc>
        <w:tc>
          <w:tcPr>
            <w:tcW w:w="0" w:type="auto"/>
            <w:tcBorders>
              <w:top w:val="single" w:color="auto" w:sz="4" w:space="0"/>
              <w:left w:val="nil"/>
              <w:bottom w:val="nil"/>
              <w:right w:val="nil"/>
            </w:tcBorders>
            <w:vAlign w:val="center"/>
          </w:tcPr>
          <w:p w14:paraId="1485B11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sz w:val="18"/>
                <w:szCs w:val="18"/>
              </w:rPr>
            </w:pPr>
          </w:p>
        </w:tc>
        <w:tc>
          <w:tcPr>
            <w:tcW w:w="0" w:type="auto"/>
            <w:tcBorders>
              <w:top w:val="single" w:color="auto" w:sz="4" w:space="0"/>
              <w:left w:val="nil"/>
              <w:bottom w:val="nil"/>
              <w:right w:val="nil"/>
            </w:tcBorders>
            <w:vAlign w:val="center"/>
          </w:tcPr>
          <w:p w14:paraId="626EBAD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sz w:val="18"/>
                <w:szCs w:val="18"/>
              </w:rPr>
            </w:pPr>
          </w:p>
        </w:tc>
        <w:tc>
          <w:tcPr>
            <w:tcW w:w="898" w:type="dxa"/>
            <w:tcBorders>
              <w:top w:val="single" w:color="auto" w:sz="4" w:space="0"/>
              <w:left w:val="nil"/>
              <w:bottom w:val="nil"/>
              <w:right w:val="nil"/>
            </w:tcBorders>
            <w:vAlign w:val="center"/>
          </w:tcPr>
          <w:p w14:paraId="0CE4E8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sz w:val="18"/>
                <w:szCs w:val="18"/>
              </w:rPr>
            </w:pPr>
          </w:p>
        </w:tc>
      </w:tr>
      <w:tr w14:paraId="2F696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vAlign w:val="center"/>
          </w:tcPr>
          <w:p w14:paraId="7A95C97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bCs/>
                <w:sz w:val="18"/>
                <w:szCs w:val="18"/>
                <w:vertAlign w:val="baseline"/>
              </w:rPr>
            </w:pPr>
            <w:r>
              <w:rPr>
                <w:rFonts w:hint="eastAsia" w:ascii="Times New Roman" w:hAnsi="Times New Roman" w:eastAsia="宋体" w:cs="Times New Roman"/>
                <w:b w:val="0"/>
                <w:bCs/>
                <w:sz w:val="18"/>
                <w:szCs w:val="18"/>
                <w:lang w:val="en-US" w:eastAsia="zh-CN"/>
              </w:rPr>
              <w:t>+</w:t>
            </w:r>
            <w:r>
              <w:rPr>
                <w:rFonts w:hint="default" w:ascii="Times New Roman" w:hAnsi="Times New Roman" w:eastAsia="宋体" w:cs="Times New Roman"/>
                <w:b w:val="0"/>
                <w:bCs/>
                <w:sz w:val="18"/>
                <w:szCs w:val="18"/>
              </w:rPr>
              <w:t>TyG</w:t>
            </w:r>
          </w:p>
        </w:tc>
        <w:tc>
          <w:tcPr>
            <w:tcW w:w="2484" w:type="dxa"/>
            <w:tcBorders>
              <w:top w:val="nil"/>
              <w:left w:val="nil"/>
              <w:bottom w:val="nil"/>
              <w:right w:val="nil"/>
            </w:tcBorders>
            <w:vAlign w:val="bottom"/>
          </w:tcPr>
          <w:p w14:paraId="02EF6DA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0.121 (-0.038-0.265)</w:t>
            </w:r>
          </w:p>
        </w:tc>
        <w:tc>
          <w:tcPr>
            <w:tcW w:w="1045" w:type="dxa"/>
            <w:tcBorders>
              <w:top w:val="nil"/>
              <w:left w:val="nil"/>
              <w:bottom w:val="nil"/>
              <w:right w:val="nil"/>
            </w:tcBorders>
            <w:vAlign w:val="bottom"/>
          </w:tcPr>
          <w:p w14:paraId="207D802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0.120</w:t>
            </w:r>
          </w:p>
        </w:tc>
        <w:tc>
          <w:tcPr>
            <w:tcW w:w="2484" w:type="dxa"/>
            <w:tcBorders>
              <w:top w:val="nil"/>
              <w:left w:val="nil"/>
              <w:bottom w:val="nil"/>
              <w:right w:val="nil"/>
            </w:tcBorders>
            <w:vAlign w:val="bottom"/>
          </w:tcPr>
          <w:p w14:paraId="5B1C9B5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0.004 (-0.000-0.014)</w:t>
            </w:r>
          </w:p>
        </w:tc>
        <w:tc>
          <w:tcPr>
            <w:tcW w:w="898" w:type="dxa"/>
            <w:tcBorders>
              <w:top w:val="nil"/>
              <w:left w:val="nil"/>
              <w:bottom w:val="nil"/>
              <w:right w:val="nil"/>
            </w:tcBorders>
            <w:vAlign w:val="bottom"/>
          </w:tcPr>
          <w:p w14:paraId="0711847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0.084</w:t>
            </w:r>
          </w:p>
        </w:tc>
      </w:tr>
      <w:tr w14:paraId="280A0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vAlign w:val="center"/>
          </w:tcPr>
          <w:p w14:paraId="65CC562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bCs/>
                <w:sz w:val="18"/>
                <w:szCs w:val="18"/>
                <w:lang w:val="en-US" w:eastAsia="zh-CN"/>
              </w:rPr>
            </w:pPr>
            <w:r>
              <w:rPr>
                <w:rFonts w:hint="eastAsia" w:ascii="Times New Roman" w:hAnsi="Times New Roman" w:eastAsia="宋体" w:cs="Times New Roman"/>
                <w:b w:val="0"/>
                <w:bCs/>
                <w:sz w:val="18"/>
                <w:szCs w:val="18"/>
                <w:lang w:val="en-US" w:eastAsia="zh-CN"/>
              </w:rPr>
              <w:t>+CVAI</w:t>
            </w:r>
          </w:p>
        </w:tc>
        <w:tc>
          <w:tcPr>
            <w:tcW w:w="2484" w:type="dxa"/>
            <w:tcBorders>
              <w:top w:val="nil"/>
              <w:left w:val="nil"/>
              <w:bottom w:val="nil"/>
              <w:right w:val="nil"/>
            </w:tcBorders>
            <w:vAlign w:val="bottom"/>
          </w:tcPr>
          <w:p w14:paraId="073600E3">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cs="Times New Roman"/>
                <w:b w:val="0"/>
                <w:bCs w:val="0"/>
                <w:sz w:val="18"/>
                <w:szCs w:val="18"/>
                <w:lang w:val="en-US" w:eastAsia="zh-CN"/>
              </w:rPr>
            </w:pPr>
            <w:r>
              <w:rPr>
                <w:rFonts w:hint="default" w:ascii="Times New Roman" w:hAnsi="Times New Roman" w:eastAsia="宋体" w:cs="Times New Roman"/>
                <w:b w:val="0"/>
                <w:bCs/>
                <w:sz w:val="18"/>
                <w:szCs w:val="18"/>
              </w:rPr>
              <w:t>0.349 (0.200-0.480)</w:t>
            </w:r>
          </w:p>
        </w:tc>
        <w:tc>
          <w:tcPr>
            <w:tcW w:w="1045" w:type="dxa"/>
            <w:tcBorders>
              <w:top w:val="nil"/>
              <w:left w:val="nil"/>
              <w:bottom w:val="nil"/>
              <w:right w:val="nil"/>
            </w:tcBorders>
            <w:vAlign w:val="bottom"/>
          </w:tcPr>
          <w:p w14:paraId="49B57EFF">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cs="Times New Roman"/>
                <w:b w:val="0"/>
                <w:bCs w:val="0"/>
                <w:sz w:val="18"/>
                <w:szCs w:val="18"/>
                <w:lang w:val="en-US" w:eastAsia="zh-CN"/>
              </w:rPr>
            </w:pPr>
            <w:r>
              <w:rPr>
                <w:rFonts w:hint="eastAsia" w:ascii="Times New Roman" w:hAnsi="Times New Roman" w:cs="Times New Roman"/>
                <w:b w:val="0"/>
                <w:bCs w:val="0"/>
                <w:sz w:val="18"/>
                <w:szCs w:val="18"/>
                <w:lang w:val="en-US" w:eastAsia="zh-CN"/>
              </w:rPr>
              <w:t>&lt;0.001</w:t>
            </w:r>
          </w:p>
        </w:tc>
        <w:tc>
          <w:tcPr>
            <w:tcW w:w="2484" w:type="dxa"/>
            <w:tcBorders>
              <w:top w:val="nil"/>
              <w:left w:val="nil"/>
              <w:bottom w:val="nil"/>
              <w:right w:val="nil"/>
            </w:tcBorders>
            <w:vAlign w:val="bottom"/>
          </w:tcPr>
          <w:p w14:paraId="637E76BD">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cs="Times New Roman"/>
                <w:b w:val="0"/>
                <w:bCs w:val="0"/>
                <w:sz w:val="18"/>
                <w:szCs w:val="18"/>
                <w:lang w:val="en-US" w:eastAsia="zh-CN"/>
              </w:rPr>
            </w:pPr>
            <w:r>
              <w:rPr>
                <w:rFonts w:hint="eastAsia" w:ascii="Times New Roman" w:hAnsi="Times New Roman" w:cs="Times New Roman"/>
                <w:b w:val="0"/>
                <w:bCs w:val="0"/>
                <w:sz w:val="18"/>
                <w:szCs w:val="18"/>
                <w:lang w:val="en-US" w:eastAsia="zh-CN"/>
              </w:rPr>
              <w:t>0.008 (0.001-0.022)</w:t>
            </w:r>
          </w:p>
        </w:tc>
        <w:tc>
          <w:tcPr>
            <w:tcW w:w="898" w:type="dxa"/>
            <w:tcBorders>
              <w:top w:val="nil"/>
              <w:left w:val="nil"/>
              <w:bottom w:val="nil"/>
              <w:right w:val="nil"/>
            </w:tcBorders>
            <w:vAlign w:val="bottom"/>
          </w:tcPr>
          <w:p w14:paraId="15812B4F">
            <w:pPr>
              <w:keepNext w:val="0"/>
              <w:keepLines w:val="0"/>
              <w:widowControl/>
              <w:suppressLineNumbers w:val="0"/>
              <w:snapToGrid w:val="0"/>
              <w:ind w:left="0" w:leftChars="0" w:right="0" w:rightChars="0" w:firstLine="0" w:firstLineChars="0"/>
              <w:jc w:val="center"/>
              <w:textAlignment w:val="center"/>
              <w:rPr>
                <w:rFonts w:hint="eastAsia" w:ascii="Times New Roman" w:hAnsi="Times New Roman" w:cs="Times New Roman"/>
                <w:b w:val="0"/>
                <w:bCs w:val="0"/>
                <w:sz w:val="18"/>
                <w:szCs w:val="18"/>
                <w:lang w:val="en-US" w:eastAsia="zh-CN"/>
              </w:rPr>
            </w:pPr>
            <w:r>
              <w:rPr>
                <w:rFonts w:hint="eastAsia" w:ascii="Times New Roman" w:hAnsi="Times New Roman" w:cs="Times New Roman"/>
                <w:b w:val="0"/>
                <w:bCs w:val="0"/>
                <w:sz w:val="18"/>
                <w:szCs w:val="18"/>
                <w:lang w:val="en-US" w:eastAsia="zh-CN"/>
              </w:rPr>
              <w:t>0.012</w:t>
            </w:r>
          </w:p>
        </w:tc>
      </w:tr>
      <w:tr w14:paraId="36054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vAlign w:val="center"/>
          </w:tcPr>
          <w:p w14:paraId="00CEB3A7">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bCs w:val="0"/>
                <w:sz w:val="18"/>
                <w:szCs w:val="18"/>
                <w:vertAlign w:val="baseline"/>
              </w:rPr>
            </w:pP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TyG</w:t>
            </w: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WC</w:t>
            </w:r>
          </w:p>
        </w:tc>
        <w:tc>
          <w:tcPr>
            <w:tcW w:w="2484" w:type="dxa"/>
            <w:tcBorders>
              <w:top w:val="nil"/>
              <w:left w:val="nil"/>
              <w:bottom w:val="nil"/>
              <w:right w:val="nil"/>
            </w:tcBorders>
            <w:vAlign w:val="bottom"/>
          </w:tcPr>
          <w:p w14:paraId="5BE0599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0.263 (0.102-0.400)</w:t>
            </w:r>
          </w:p>
        </w:tc>
        <w:tc>
          <w:tcPr>
            <w:tcW w:w="1045" w:type="dxa"/>
            <w:tcBorders>
              <w:top w:val="nil"/>
              <w:left w:val="nil"/>
              <w:bottom w:val="nil"/>
              <w:right w:val="nil"/>
            </w:tcBorders>
            <w:vAlign w:val="bottom"/>
          </w:tcPr>
          <w:p w14:paraId="652519F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&lt;0.001</w:t>
            </w:r>
          </w:p>
        </w:tc>
        <w:tc>
          <w:tcPr>
            <w:tcW w:w="2484" w:type="dxa"/>
            <w:tcBorders>
              <w:top w:val="nil"/>
              <w:left w:val="nil"/>
              <w:bottom w:val="nil"/>
              <w:right w:val="nil"/>
            </w:tcBorders>
            <w:vAlign w:val="bottom"/>
          </w:tcPr>
          <w:p w14:paraId="4F62D3B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0.009 (0.001-0.021)</w:t>
            </w:r>
          </w:p>
        </w:tc>
        <w:tc>
          <w:tcPr>
            <w:tcW w:w="898" w:type="dxa"/>
            <w:tcBorders>
              <w:top w:val="nil"/>
              <w:left w:val="nil"/>
              <w:bottom w:val="nil"/>
              <w:right w:val="nil"/>
            </w:tcBorders>
            <w:vAlign w:val="bottom"/>
          </w:tcPr>
          <w:p w14:paraId="2C3C56B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0.024</w:t>
            </w:r>
          </w:p>
        </w:tc>
      </w:tr>
      <w:tr w14:paraId="6E300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vAlign w:val="center"/>
          </w:tcPr>
          <w:p w14:paraId="2E07DF2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bCs w:val="0"/>
                <w:sz w:val="18"/>
                <w:szCs w:val="18"/>
                <w:vertAlign w:val="baseline"/>
              </w:rPr>
            </w:pP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TyG</w:t>
            </w: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WHtR</w:t>
            </w:r>
          </w:p>
        </w:tc>
        <w:tc>
          <w:tcPr>
            <w:tcW w:w="2484" w:type="dxa"/>
            <w:tcBorders>
              <w:top w:val="nil"/>
              <w:left w:val="nil"/>
              <w:bottom w:val="nil"/>
              <w:right w:val="nil"/>
            </w:tcBorders>
            <w:vAlign w:val="bottom"/>
          </w:tcPr>
          <w:p w14:paraId="46BA890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0.236 (0.086-0.370)</w:t>
            </w:r>
          </w:p>
        </w:tc>
        <w:tc>
          <w:tcPr>
            <w:tcW w:w="1045" w:type="dxa"/>
            <w:tcBorders>
              <w:top w:val="nil"/>
              <w:left w:val="nil"/>
              <w:bottom w:val="nil"/>
              <w:right w:val="nil"/>
            </w:tcBorders>
            <w:vAlign w:val="bottom"/>
          </w:tcPr>
          <w:p w14:paraId="18DB170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&lt;0.001</w:t>
            </w:r>
          </w:p>
        </w:tc>
        <w:tc>
          <w:tcPr>
            <w:tcW w:w="2484" w:type="dxa"/>
            <w:tcBorders>
              <w:top w:val="nil"/>
              <w:left w:val="nil"/>
              <w:bottom w:val="nil"/>
              <w:right w:val="nil"/>
            </w:tcBorders>
            <w:vAlign w:val="bottom"/>
          </w:tcPr>
          <w:p w14:paraId="4F3CAFD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0.007 (0.001-0.019)</w:t>
            </w:r>
          </w:p>
        </w:tc>
        <w:tc>
          <w:tcPr>
            <w:tcW w:w="898" w:type="dxa"/>
            <w:tcBorders>
              <w:top w:val="nil"/>
              <w:left w:val="nil"/>
              <w:bottom w:val="nil"/>
              <w:right w:val="nil"/>
            </w:tcBorders>
            <w:vAlign w:val="bottom"/>
          </w:tcPr>
          <w:p w14:paraId="6D1A4BE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0.032</w:t>
            </w:r>
          </w:p>
        </w:tc>
      </w:tr>
      <w:tr w14:paraId="01C79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vAlign w:val="center"/>
          </w:tcPr>
          <w:p w14:paraId="7C2AFEB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bCs w:val="0"/>
                <w:sz w:val="18"/>
                <w:szCs w:val="18"/>
                <w:vertAlign w:val="baseline"/>
              </w:rPr>
            </w:pP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TyG</w:t>
            </w: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BMI</w:t>
            </w:r>
          </w:p>
        </w:tc>
        <w:tc>
          <w:tcPr>
            <w:tcW w:w="2484" w:type="dxa"/>
            <w:tcBorders>
              <w:top w:val="nil"/>
              <w:left w:val="nil"/>
              <w:bottom w:val="nil"/>
              <w:right w:val="nil"/>
            </w:tcBorders>
            <w:vAlign w:val="bottom"/>
          </w:tcPr>
          <w:p w14:paraId="733C510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0.197 (0.037-0.352)</w:t>
            </w:r>
          </w:p>
        </w:tc>
        <w:tc>
          <w:tcPr>
            <w:tcW w:w="1045" w:type="dxa"/>
            <w:tcBorders>
              <w:top w:val="nil"/>
              <w:left w:val="nil"/>
              <w:bottom w:val="nil"/>
              <w:right w:val="nil"/>
            </w:tcBorders>
            <w:vAlign w:val="bottom"/>
          </w:tcPr>
          <w:p w14:paraId="258E540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0.008</w:t>
            </w:r>
          </w:p>
        </w:tc>
        <w:tc>
          <w:tcPr>
            <w:tcW w:w="2484" w:type="dxa"/>
            <w:tcBorders>
              <w:top w:val="nil"/>
              <w:left w:val="nil"/>
              <w:bottom w:val="nil"/>
              <w:right w:val="nil"/>
            </w:tcBorders>
            <w:vAlign w:val="bottom"/>
          </w:tcPr>
          <w:p w14:paraId="46A6E06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0.005 (0.000-0.015)</w:t>
            </w:r>
          </w:p>
        </w:tc>
        <w:tc>
          <w:tcPr>
            <w:tcW w:w="898" w:type="dxa"/>
            <w:tcBorders>
              <w:top w:val="nil"/>
              <w:left w:val="nil"/>
              <w:bottom w:val="nil"/>
              <w:right w:val="nil"/>
            </w:tcBorders>
            <w:vAlign w:val="bottom"/>
          </w:tcPr>
          <w:p w14:paraId="626AC74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0.036</w:t>
            </w:r>
          </w:p>
        </w:tc>
      </w:tr>
      <w:tr w14:paraId="60F09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vAlign w:val="center"/>
          </w:tcPr>
          <w:p w14:paraId="794BE6A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bCs w:val="0"/>
                <w:sz w:val="18"/>
                <w:szCs w:val="18"/>
                <w:vertAlign w:val="baseline"/>
              </w:rPr>
            </w:pP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TyG</w:t>
            </w: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BRI</w:t>
            </w:r>
          </w:p>
        </w:tc>
        <w:tc>
          <w:tcPr>
            <w:tcW w:w="2484" w:type="dxa"/>
            <w:tcBorders>
              <w:top w:val="nil"/>
              <w:left w:val="nil"/>
              <w:bottom w:val="nil"/>
              <w:right w:val="nil"/>
            </w:tcBorders>
            <w:vAlign w:val="bottom"/>
          </w:tcPr>
          <w:p w14:paraId="3370B6E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0.210 (0.059-0.378)</w:t>
            </w:r>
          </w:p>
        </w:tc>
        <w:tc>
          <w:tcPr>
            <w:tcW w:w="1045" w:type="dxa"/>
            <w:tcBorders>
              <w:top w:val="nil"/>
              <w:left w:val="nil"/>
              <w:bottom w:val="nil"/>
              <w:right w:val="nil"/>
            </w:tcBorders>
            <w:vAlign w:val="bottom"/>
          </w:tcPr>
          <w:p w14:paraId="3B6029F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&lt;0.001</w:t>
            </w:r>
          </w:p>
        </w:tc>
        <w:tc>
          <w:tcPr>
            <w:tcW w:w="2484" w:type="dxa"/>
            <w:tcBorders>
              <w:top w:val="nil"/>
              <w:left w:val="nil"/>
              <w:bottom w:val="nil"/>
              <w:right w:val="nil"/>
            </w:tcBorders>
            <w:vAlign w:val="bottom"/>
          </w:tcPr>
          <w:p w14:paraId="38FCA33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0.006 (0.000-0.017)</w:t>
            </w:r>
          </w:p>
        </w:tc>
        <w:tc>
          <w:tcPr>
            <w:tcW w:w="898" w:type="dxa"/>
            <w:tcBorders>
              <w:top w:val="nil"/>
              <w:left w:val="nil"/>
              <w:bottom w:val="nil"/>
              <w:right w:val="nil"/>
            </w:tcBorders>
            <w:vAlign w:val="bottom"/>
          </w:tcPr>
          <w:p w14:paraId="61E910D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0.040</w:t>
            </w:r>
          </w:p>
        </w:tc>
      </w:tr>
      <w:tr w14:paraId="1E40E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vAlign w:val="center"/>
          </w:tcPr>
          <w:p w14:paraId="592AF44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bCs w:val="0"/>
                <w:sz w:val="18"/>
                <w:szCs w:val="18"/>
                <w:vertAlign w:val="baseline"/>
              </w:rPr>
            </w:pP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TyG</w:t>
            </w: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WWI</w:t>
            </w:r>
          </w:p>
        </w:tc>
        <w:tc>
          <w:tcPr>
            <w:tcW w:w="2484" w:type="dxa"/>
            <w:tcBorders>
              <w:top w:val="nil"/>
              <w:left w:val="nil"/>
              <w:bottom w:val="nil"/>
              <w:right w:val="nil"/>
            </w:tcBorders>
            <w:vAlign w:val="bottom"/>
          </w:tcPr>
          <w:p w14:paraId="02DA365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0.228 (0.090-0.359)</w:t>
            </w:r>
          </w:p>
        </w:tc>
        <w:tc>
          <w:tcPr>
            <w:tcW w:w="1045" w:type="dxa"/>
            <w:tcBorders>
              <w:top w:val="nil"/>
              <w:left w:val="nil"/>
              <w:bottom w:val="nil"/>
              <w:right w:val="nil"/>
            </w:tcBorders>
            <w:vAlign w:val="bottom"/>
          </w:tcPr>
          <w:p w14:paraId="6B04144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0.004</w:t>
            </w:r>
          </w:p>
        </w:tc>
        <w:tc>
          <w:tcPr>
            <w:tcW w:w="2484" w:type="dxa"/>
            <w:tcBorders>
              <w:top w:val="nil"/>
              <w:left w:val="nil"/>
              <w:bottom w:val="nil"/>
              <w:right w:val="nil"/>
            </w:tcBorders>
            <w:vAlign w:val="bottom"/>
          </w:tcPr>
          <w:p w14:paraId="4055736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0.005 (-0.000-0.016)</w:t>
            </w:r>
          </w:p>
        </w:tc>
        <w:tc>
          <w:tcPr>
            <w:tcW w:w="898" w:type="dxa"/>
            <w:tcBorders>
              <w:top w:val="nil"/>
              <w:left w:val="nil"/>
              <w:bottom w:val="nil"/>
              <w:right w:val="nil"/>
            </w:tcBorders>
            <w:vAlign w:val="bottom"/>
          </w:tcPr>
          <w:p w14:paraId="6EF0A1C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0.056</w:t>
            </w:r>
          </w:p>
        </w:tc>
      </w:tr>
      <w:tr w14:paraId="330F9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vAlign w:val="center"/>
          </w:tcPr>
          <w:p w14:paraId="41C1BBE9">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Times New Roman"/>
                <w:b w:val="0"/>
                <w:bCs w:val="0"/>
                <w:kern w:val="2"/>
                <w:sz w:val="18"/>
                <w:szCs w:val="18"/>
                <w:vertAlign w:val="baseline"/>
                <w:lang w:val="en-US" w:eastAsia="zh-CN" w:bidi="ar-SA"/>
              </w:rPr>
            </w:pP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TyG</w:t>
            </w: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LAP</w:t>
            </w:r>
          </w:p>
        </w:tc>
        <w:tc>
          <w:tcPr>
            <w:tcW w:w="2484" w:type="dxa"/>
            <w:tcBorders>
              <w:top w:val="nil"/>
              <w:left w:val="nil"/>
              <w:bottom w:val="nil"/>
              <w:right w:val="nil"/>
            </w:tcBorders>
            <w:shd w:val="clear" w:color="auto" w:fill="auto"/>
            <w:vAlign w:val="bottom"/>
          </w:tcPr>
          <w:p w14:paraId="23900BA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lang w:val="en-US" w:eastAsia="zh-CN"/>
              </w:rPr>
            </w:pPr>
            <w:r>
              <w:rPr>
                <w:rFonts w:hint="eastAsia" w:ascii="Times New Roman" w:hAnsi="Times New Roman" w:cs="Times New Roman"/>
                <w:b w:val="0"/>
                <w:bCs w:val="0"/>
                <w:sz w:val="18"/>
                <w:szCs w:val="18"/>
                <w:lang w:val="en-US" w:eastAsia="zh-CN"/>
              </w:rPr>
              <w:t>0.284 (0.146-0.451)</w:t>
            </w:r>
          </w:p>
        </w:tc>
        <w:tc>
          <w:tcPr>
            <w:tcW w:w="1045" w:type="dxa"/>
            <w:tcBorders>
              <w:top w:val="nil"/>
              <w:left w:val="nil"/>
              <w:bottom w:val="nil"/>
              <w:right w:val="nil"/>
            </w:tcBorders>
            <w:shd w:val="clear" w:color="auto" w:fill="auto"/>
            <w:vAlign w:val="bottom"/>
          </w:tcPr>
          <w:p w14:paraId="43398C3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lang w:val="en-US" w:eastAsia="zh-CN"/>
              </w:rPr>
            </w:pPr>
            <w:r>
              <w:rPr>
                <w:rFonts w:hint="eastAsia" w:ascii="Times New Roman" w:hAnsi="Times New Roman" w:cs="Times New Roman"/>
                <w:b w:val="0"/>
                <w:bCs w:val="0"/>
                <w:sz w:val="18"/>
                <w:szCs w:val="18"/>
                <w:lang w:val="en-US" w:eastAsia="zh-CN"/>
              </w:rPr>
              <w:t>&lt;0.001</w:t>
            </w:r>
          </w:p>
        </w:tc>
        <w:tc>
          <w:tcPr>
            <w:tcW w:w="2484" w:type="dxa"/>
            <w:tcBorders>
              <w:top w:val="nil"/>
              <w:left w:val="nil"/>
              <w:bottom w:val="nil"/>
              <w:right w:val="nil"/>
            </w:tcBorders>
            <w:shd w:val="clear" w:color="auto" w:fill="auto"/>
            <w:vAlign w:val="bottom"/>
          </w:tcPr>
          <w:p w14:paraId="5F6AB08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lang w:val="en-US" w:eastAsia="zh-CN"/>
              </w:rPr>
            </w:pPr>
            <w:r>
              <w:rPr>
                <w:rFonts w:hint="eastAsia" w:ascii="Times New Roman" w:hAnsi="Times New Roman" w:cs="Times New Roman"/>
                <w:b w:val="0"/>
                <w:bCs w:val="0"/>
                <w:sz w:val="18"/>
                <w:szCs w:val="18"/>
                <w:lang w:val="en-US" w:eastAsia="zh-CN"/>
              </w:rPr>
              <w:t>0.010 (0.001-0.023)</w:t>
            </w:r>
          </w:p>
        </w:tc>
        <w:tc>
          <w:tcPr>
            <w:tcW w:w="898" w:type="dxa"/>
            <w:tcBorders>
              <w:top w:val="nil"/>
              <w:left w:val="nil"/>
              <w:bottom w:val="nil"/>
              <w:right w:val="nil"/>
            </w:tcBorders>
            <w:shd w:val="clear" w:color="auto" w:fill="auto"/>
            <w:vAlign w:val="bottom"/>
          </w:tcPr>
          <w:p w14:paraId="2403CEC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lang w:val="en-US" w:eastAsia="zh-CN"/>
              </w:rPr>
            </w:pPr>
            <w:r>
              <w:rPr>
                <w:rFonts w:hint="eastAsia" w:ascii="Times New Roman" w:hAnsi="Times New Roman" w:cs="Times New Roman"/>
                <w:b w:val="0"/>
                <w:bCs w:val="0"/>
                <w:sz w:val="18"/>
                <w:szCs w:val="18"/>
                <w:lang w:val="en-US" w:eastAsia="zh-CN"/>
              </w:rPr>
              <w:t>0.008</w:t>
            </w:r>
          </w:p>
        </w:tc>
      </w:tr>
      <w:tr w14:paraId="02B68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vAlign w:val="center"/>
          </w:tcPr>
          <w:p w14:paraId="3AE5EEE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bCs w:val="0"/>
                <w:sz w:val="18"/>
                <w:szCs w:val="18"/>
                <w:vertAlign w:val="baseline"/>
              </w:rPr>
            </w:pP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TyG</w:t>
            </w: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ABSI</w:t>
            </w:r>
          </w:p>
        </w:tc>
        <w:tc>
          <w:tcPr>
            <w:tcW w:w="2484" w:type="dxa"/>
            <w:tcBorders>
              <w:top w:val="nil"/>
              <w:left w:val="nil"/>
              <w:bottom w:val="nil"/>
              <w:right w:val="nil"/>
            </w:tcBorders>
            <w:vAlign w:val="bottom"/>
          </w:tcPr>
          <w:p w14:paraId="4BD1256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0.259 (0.103-0.388)</w:t>
            </w:r>
          </w:p>
        </w:tc>
        <w:tc>
          <w:tcPr>
            <w:tcW w:w="1045" w:type="dxa"/>
            <w:tcBorders>
              <w:top w:val="nil"/>
              <w:left w:val="nil"/>
              <w:bottom w:val="nil"/>
              <w:right w:val="nil"/>
            </w:tcBorders>
            <w:vAlign w:val="bottom"/>
          </w:tcPr>
          <w:p w14:paraId="553DC9E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&lt;0.001</w:t>
            </w:r>
          </w:p>
        </w:tc>
        <w:tc>
          <w:tcPr>
            <w:tcW w:w="2484" w:type="dxa"/>
            <w:tcBorders>
              <w:top w:val="nil"/>
              <w:left w:val="nil"/>
              <w:bottom w:val="nil"/>
              <w:right w:val="nil"/>
            </w:tcBorders>
            <w:vAlign w:val="bottom"/>
          </w:tcPr>
          <w:p w14:paraId="25EAB01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0.005 (-0.000-0.017)</w:t>
            </w:r>
          </w:p>
        </w:tc>
        <w:tc>
          <w:tcPr>
            <w:tcW w:w="898" w:type="dxa"/>
            <w:tcBorders>
              <w:top w:val="nil"/>
              <w:left w:val="nil"/>
              <w:bottom w:val="nil"/>
              <w:right w:val="nil"/>
            </w:tcBorders>
            <w:vAlign w:val="bottom"/>
          </w:tcPr>
          <w:p w14:paraId="35DD886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0.060</w:t>
            </w:r>
          </w:p>
        </w:tc>
      </w:tr>
      <w:tr w14:paraId="71B41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vAlign w:val="center"/>
          </w:tcPr>
          <w:p w14:paraId="7BE46C76">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bCs w:val="0"/>
                <w:sz w:val="18"/>
                <w:szCs w:val="18"/>
                <w:vertAlign w:val="baseline"/>
              </w:rPr>
            </w:pP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TyG</w:t>
            </w: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VAI</w:t>
            </w:r>
          </w:p>
        </w:tc>
        <w:tc>
          <w:tcPr>
            <w:tcW w:w="2484" w:type="dxa"/>
            <w:tcBorders>
              <w:top w:val="nil"/>
              <w:left w:val="nil"/>
              <w:bottom w:val="nil"/>
              <w:right w:val="nil"/>
            </w:tcBorders>
            <w:vAlign w:val="bottom"/>
          </w:tcPr>
          <w:p w14:paraId="1616318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0.228 (0.078-0.391)</w:t>
            </w:r>
          </w:p>
        </w:tc>
        <w:tc>
          <w:tcPr>
            <w:tcW w:w="1045" w:type="dxa"/>
            <w:tcBorders>
              <w:top w:val="nil"/>
              <w:left w:val="nil"/>
              <w:bottom w:val="nil"/>
              <w:right w:val="nil"/>
            </w:tcBorders>
            <w:vAlign w:val="bottom"/>
          </w:tcPr>
          <w:p w14:paraId="4A201BE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&lt;0.001</w:t>
            </w:r>
          </w:p>
        </w:tc>
        <w:tc>
          <w:tcPr>
            <w:tcW w:w="2484" w:type="dxa"/>
            <w:tcBorders>
              <w:top w:val="nil"/>
              <w:left w:val="nil"/>
              <w:bottom w:val="nil"/>
              <w:right w:val="nil"/>
            </w:tcBorders>
            <w:vAlign w:val="bottom"/>
          </w:tcPr>
          <w:p w14:paraId="02FBE70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0.007 (0.001-0.022)</w:t>
            </w:r>
          </w:p>
        </w:tc>
        <w:tc>
          <w:tcPr>
            <w:tcW w:w="898" w:type="dxa"/>
            <w:tcBorders>
              <w:top w:val="nil"/>
              <w:left w:val="nil"/>
              <w:bottom w:val="nil"/>
              <w:right w:val="nil"/>
            </w:tcBorders>
            <w:vAlign w:val="bottom"/>
          </w:tcPr>
          <w:p w14:paraId="256685A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rPr>
            </w:pPr>
            <w:r>
              <w:rPr>
                <w:rFonts w:hint="eastAsia" w:ascii="Times New Roman" w:hAnsi="Times New Roman" w:cs="Times New Roman"/>
                <w:b w:val="0"/>
                <w:bCs w:val="0"/>
                <w:sz w:val="18"/>
                <w:szCs w:val="18"/>
                <w:lang w:val="en-US" w:eastAsia="zh-CN"/>
              </w:rPr>
              <w:t>0.012</w:t>
            </w:r>
          </w:p>
        </w:tc>
      </w:tr>
      <w:tr w14:paraId="38E41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08" w:type="dxa"/>
            <w:tcBorders>
              <w:top w:val="nil"/>
              <w:left w:val="nil"/>
              <w:bottom w:val="single" w:color="auto" w:sz="4" w:space="0"/>
              <w:right w:val="nil"/>
            </w:tcBorders>
            <w:shd w:val="clear" w:color="auto" w:fill="auto"/>
            <w:vAlign w:val="center"/>
          </w:tcPr>
          <w:p w14:paraId="15E4B555">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bCs w:val="0"/>
                <w:kern w:val="2"/>
                <w:sz w:val="18"/>
                <w:szCs w:val="18"/>
                <w:vertAlign w:val="baseline"/>
                <w:lang w:val="en-US" w:eastAsia="zh-CN" w:bidi="ar-SA"/>
              </w:rPr>
            </w:pP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TyG</w:t>
            </w: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CVAI</w:t>
            </w:r>
          </w:p>
        </w:tc>
        <w:tc>
          <w:tcPr>
            <w:tcW w:w="2484" w:type="dxa"/>
            <w:tcBorders>
              <w:top w:val="nil"/>
              <w:left w:val="nil"/>
              <w:bottom w:val="single" w:color="auto" w:sz="4" w:space="0"/>
              <w:right w:val="nil"/>
            </w:tcBorders>
            <w:shd w:val="clear" w:color="auto" w:fill="auto"/>
            <w:vAlign w:val="bottom"/>
          </w:tcPr>
          <w:p w14:paraId="416AAAE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lang w:val="en-US" w:eastAsia="zh-CN"/>
              </w:rPr>
            </w:pPr>
            <w:r>
              <w:rPr>
                <w:rFonts w:hint="eastAsia" w:ascii="Times New Roman" w:hAnsi="Times New Roman" w:cs="Times New Roman"/>
                <w:b w:val="0"/>
                <w:bCs w:val="0"/>
                <w:sz w:val="18"/>
                <w:szCs w:val="18"/>
                <w:lang w:val="en-US" w:eastAsia="zh-CN"/>
              </w:rPr>
              <w:t>0.363 (0.198-0.493)</w:t>
            </w:r>
          </w:p>
        </w:tc>
        <w:tc>
          <w:tcPr>
            <w:tcW w:w="1045" w:type="dxa"/>
            <w:tcBorders>
              <w:top w:val="nil"/>
              <w:left w:val="nil"/>
              <w:bottom w:val="single" w:color="auto" w:sz="4" w:space="0"/>
              <w:right w:val="nil"/>
            </w:tcBorders>
            <w:shd w:val="clear" w:color="auto" w:fill="auto"/>
            <w:vAlign w:val="bottom"/>
          </w:tcPr>
          <w:p w14:paraId="43ACDA0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lang w:val="en-US" w:eastAsia="zh-CN"/>
              </w:rPr>
            </w:pPr>
            <w:r>
              <w:rPr>
                <w:rFonts w:hint="eastAsia" w:ascii="Times New Roman" w:hAnsi="Times New Roman" w:cs="Times New Roman"/>
                <w:b w:val="0"/>
                <w:bCs w:val="0"/>
                <w:sz w:val="18"/>
                <w:szCs w:val="18"/>
                <w:lang w:val="en-US" w:eastAsia="zh-CN"/>
              </w:rPr>
              <w:t>&lt;0.001</w:t>
            </w:r>
          </w:p>
        </w:tc>
        <w:tc>
          <w:tcPr>
            <w:tcW w:w="2484" w:type="dxa"/>
            <w:tcBorders>
              <w:top w:val="nil"/>
              <w:left w:val="nil"/>
              <w:bottom w:val="single" w:color="auto" w:sz="4" w:space="0"/>
              <w:right w:val="nil"/>
            </w:tcBorders>
            <w:shd w:val="clear" w:color="auto" w:fill="auto"/>
            <w:vAlign w:val="bottom"/>
          </w:tcPr>
          <w:p w14:paraId="1CFA39D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lang w:val="en-US" w:eastAsia="zh-CN"/>
              </w:rPr>
            </w:pPr>
            <w:r>
              <w:rPr>
                <w:rFonts w:hint="eastAsia" w:ascii="Times New Roman" w:hAnsi="Times New Roman" w:cs="Times New Roman"/>
                <w:b w:val="0"/>
                <w:bCs w:val="0"/>
                <w:sz w:val="18"/>
                <w:szCs w:val="18"/>
                <w:lang w:val="en-US" w:eastAsia="zh-CN"/>
              </w:rPr>
              <w:t>0.009 (0.001-0.022)</w:t>
            </w:r>
          </w:p>
        </w:tc>
        <w:tc>
          <w:tcPr>
            <w:tcW w:w="898" w:type="dxa"/>
            <w:tcBorders>
              <w:top w:val="nil"/>
              <w:left w:val="nil"/>
              <w:bottom w:val="single" w:color="auto" w:sz="4" w:space="0"/>
              <w:right w:val="nil"/>
            </w:tcBorders>
            <w:shd w:val="clear" w:color="auto" w:fill="auto"/>
            <w:vAlign w:val="bottom"/>
          </w:tcPr>
          <w:p w14:paraId="029D903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cs="Times New Roman"/>
                <w:b w:val="0"/>
                <w:bCs w:val="0"/>
                <w:sz w:val="18"/>
                <w:szCs w:val="18"/>
                <w:lang w:val="en-US" w:eastAsia="zh-CN"/>
              </w:rPr>
            </w:pPr>
            <w:r>
              <w:rPr>
                <w:rFonts w:hint="eastAsia" w:ascii="Times New Roman" w:hAnsi="Times New Roman" w:cs="Times New Roman"/>
                <w:b w:val="0"/>
                <w:bCs w:val="0"/>
                <w:sz w:val="18"/>
                <w:szCs w:val="18"/>
                <w:lang w:val="en-US" w:eastAsia="zh-CN"/>
              </w:rPr>
              <w:t>0.016</w:t>
            </w:r>
          </w:p>
        </w:tc>
      </w:tr>
    </w:tbl>
    <w:p w14:paraId="2CDF0910">
      <w:pPr>
        <w:rPr>
          <w:rFonts w:hint="eastAsia" w:ascii="Times New Roman" w:hAnsi="Times New Roman" w:cs="Times New Roman" w:eastAsiaTheme="minorEastAsia"/>
          <w:lang w:eastAsia="zh-CN"/>
        </w:rPr>
      </w:pPr>
      <w:r>
        <w:rPr>
          <w:rFonts w:hint="eastAsia" w:ascii="Times New Roman" w:hAnsi="Times New Roman" w:cs="Times New Roman"/>
          <w:b/>
          <w:bCs/>
          <w:lang w:val="en-US" w:eastAsia="zh-CN"/>
        </w:rPr>
        <w:t>Note:</w:t>
      </w:r>
      <w:r>
        <w:rPr>
          <w:rFonts w:hint="eastAsia" w:ascii="Times New Roman" w:hAnsi="Times New Roman" w:cs="Times New Roman"/>
          <w:lang w:val="en-US" w:eastAsia="zh-CN"/>
        </w:rPr>
        <w:t xml:space="preserve"> </w:t>
      </w:r>
      <w:r>
        <w:rPr>
          <w:rFonts w:hint="eastAsia" w:ascii="Times New Roman" w:hAnsi="Times New Roman" w:cs="Times New Roman" w:eastAsiaTheme="minorEastAsia"/>
          <w:lang w:eastAsia="zh-CN"/>
        </w:rPr>
        <w:t xml:space="preserve">Continuous net reclassification improvement (NRI) and integrated discrimination improvement (IDI) were calculated by adding each TyG or TyG-related index to the </w:t>
      </w:r>
      <w:r>
        <w:rPr>
          <w:rFonts w:hint="eastAsia" w:ascii="Times New Roman" w:hAnsi="Times New Roman" w:cs="Times New Roman"/>
          <w:lang w:val="en-US" w:eastAsia="zh-CN"/>
        </w:rPr>
        <w:t>m</w:t>
      </w:r>
      <w:r>
        <w:rPr>
          <w:rFonts w:hint="eastAsia" w:ascii="Times New Roman" w:hAnsi="Times New Roman" w:cs="Times New Roman" w:eastAsiaTheme="minorEastAsia"/>
          <w:lang w:eastAsia="zh-CN"/>
        </w:rPr>
        <w:t xml:space="preserve">odel </w:t>
      </w:r>
      <w:r>
        <w:rPr>
          <w:rFonts w:hint="eastAsia" w:ascii="Times New Roman" w:hAnsi="Times New Roman" w:cs="Times New Roman"/>
          <w:lang w:val="en-US" w:eastAsia="zh-CN"/>
        </w:rPr>
        <w:t>c</w:t>
      </w:r>
      <w:r>
        <w:rPr>
          <w:rFonts w:hint="eastAsia" w:ascii="Times New Roman" w:hAnsi="Times New Roman" w:cs="Times New Roman" w:eastAsiaTheme="minorEastAsia"/>
          <w:lang w:eastAsia="zh-CN"/>
        </w:rPr>
        <w:t>linical, which was adjusted for gender, age, smok</w:t>
      </w:r>
      <w:r>
        <w:rPr>
          <w:rFonts w:hint="eastAsia" w:ascii="Times New Roman" w:hAnsi="Times New Roman" w:cs="Times New Roman"/>
          <w:lang w:val="en-US" w:eastAsia="zh-CN"/>
        </w:rPr>
        <w:t>e</w:t>
      </w:r>
      <w:r>
        <w:rPr>
          <w:rFonts w:hint="eastAsia" w:ascii="Times New Roman" w:hAnsi="Times New Roman" w:cs="Times New Roman" w:eastAsiaTheme="minorEastAsia"/>
          <w:lang w:eastAsia="zh-CN"/>
        </w:rPr>
        <w:t xml:space="preserve">, </w:t>
      </w:r>
      <w:r>
        <w:rPr>
          <w:rFonts w:hint="eastAsia" w:ascii="Times New Roman" w:hAnsi="Times New Roman" w:cs="Times New Roman"/>
          <w:lang w:val="en-US" w:eastAsia="zh-CN"/>
        </w:rPr>
        <w:t>drink</w:t>
      </w:r>
      <w:r>
        <w:rPr>
          <w:rFonts w:hint="eastAsia" w:ascii="Times New Roman" w:hAnsi="Times New Roman" w:cs="Times New Roman" w:eastAsiaTheme="minorEastAsia"/>
          <w:lang w:eastAsia="zh-CN"/>
        </w:rPr>
        <w:t xml:space="preserve">, </w:t>
      </w:r>
      <w:r>
        <w:rPr>
          <w:rFonts w:hint="eastAsia" w:ascii="Times New Roman" w:hAnsi="Times New Roman" w:cs="Times New Roman"/>
          <w:lang w:val="en-US" w:eastAsia="zh-CN"/>
        </w:rPr>
        <w:t>e</w:t>
      </w:r>
      <w:r>
        <w:rPr>
          <w:rFonts w:hint="eastAsia" w:ascii="Times New Roman" w:hAnsi="Times New Roman" w:cs="Times New Roman" w:eastAsiaTheme="minorEastAsia"/>
          <w:lang w:eastAsia="zh-CN"/>
        </w:rPr>
        <w:t>xercise</w:t>
      </w:r>
      <w:r>
        <w:rPr>
          <w:rFonts w:hint="eastAsia" w:ascii="Times New Roman" w:hAnsi="Times New Roman" w:cs="Times New Roman"/>
          <w:lang w:val="en-US" w:eastAsia="zh-CN"/>
        </w:rPr>
        <w:t xml:space="preserve">, </w:t>
      </w:r>
      <w:r>
        <w:rPr>
          <w:rFonts w:hint="eastAsia" w:ascii="Times New Roman" w:hAnsi="Times New Roman" w:cs="Times New Roman" w:eastAsiaTheme="minorEastAsia"/>
          <w:lang w:eastAsia="zh-CN"/>
        </w:rPr>
        <w:t>SBP</w:t>
      </w:r>
      <w:r>
        <w:rPr>
          <w:rFonts w:hint="eastAsia" w:ascii="Times New Roman" w:hAnsi="Times New Roman" w:cs="Times New Roman"/>
          <w:lang w:val="en-US" w:eastAsia="zh-CN"/>
        </w:rPr>
        <w:t xml:space="preserve">, </w:t>
      </w:r>
      <w:r>
        <w:rPr>
          <w:rFonts w:hint="eastAsia" w:ascii="Times New Roman" w:hAnsi="Times New Roman" w:cs="Times New Roman" w:eastAsiaTheme="minorEastAsia"/>
          <w:lang w:eastAsia="zh-CN"/>
        </w:rPr>
        <w:t>LDL</w:t>
      </w:r>
      <w:r>
        <w:rPr>
          <w:rFonts w:hint="eastAsia" w:ascii="Times New Roman" w:hAnsi="Times New Roman" w:cs="Times New Roman"/>
          <w:lang w:val="en-US" w:eastAsia="zh-CN"/>
        </w:rPr>
        <w:t>-</w:t>
      </w:r>
      <w:r>
        <w:rPr>
          <w:rFonts w:hint="eastAsia" w:ascii="Times New Roman" w:hAnsi="Times New Roman" w:cs="Times New Roman" w:eastAsiaTheme="minorEastAsia"/>
          <w:lang w:eastAsia="zh-CN"/>
        </w:rPr>
        <w:t>C</w:t>
      </w:r>
      <w:r>
        <w:rPr>
          <w:rFonts w:hint="eastAsia" w:ascii="Times New Roman" w:hAnsi="Times New Roman" w:cs="Times New Roman"/>
          <w:lang w:val="en-US" w:eastAsia="zh-CN"/>
        </w:rPr>
        <w:t xml:space="preserve">, </w:t>
      </w:r>
      <w:r>
        <w:rPr>
          <w:rFonts w:hint="eastAsia" w:ascii="Times New Roman" w:hAnsi="Times New Roman" w:cs="Times New Roman" w:eastAsiaTheme="minorEastAsia"/>
          <w:lang w:eastAsia="zh-CN"/>
        </w:rPr>
        <w:t>eGFR</w:t>
      </w:r>
      <w:r>
        <w:rPr>
          <w:rFonts w:hint="eastAsia" w:ascii="Times New Roman" w:hAnsi="Times New Roman" w:cs="Times New Roman"/>
          <w:lang w:val="en-US" w:eastAsia="zh-CN"/>
        </w:rPr>
        <w:t xml:space="preserve"> and </w:t>
      </w:r>
      <w:r>
        <w:rPr>
          <w:rFonts w:hint="default" w:ascii="Times New Roman" w:hAnsi="Times New Roman" w:cs="Times New Roman" w:eastAsiaTheme="minorEastAsia"/>
          <w:lang w:eastAsia="zh-CN"/>
        </w:rPr>
        <w:t>baseline CKM stage (0, 1, or 2)</w:t>
      </w:r>
      <w:r>
        <w:rPr>
          <w:rFonts w:hint="eastAsia" w:ascii="Times New Roman" w:hAnsi="Times New Roman" w:cs="Times New Roman" w:eastAsiaTheme="minorEastAsia"/>
          <w:lang w:eastAsia="zh-CN"/>
        </w:rPr>
        <w:t xml:space="preserve">. Positive values indicate improved reclassification and discrimination. </w:t>
      </w:r>
      <w:r>
        <w:rPr>
          <w:rFonts w:hint="eastAsia" w:ascii="Times New Roman" w:hAnsi="Times New Roman" w:cs="Times New Roman" w:eastAsiaTheme="minorEastAsia"/>
          <w:i/>
          <w:iCs/>
          <w:lang w:eastAsia="zh-CN"/>
        </w:rPr>
        <w:t>P</w:t>
      </w:r>
      <w:r>
        <w:rPr>
          <w:rFonts w:hint="eastAsia" w:ascii="Times New Roman" w:hAnsi="Times New Roman" w:cs="Times New Roman" w:eastAsiaTheme="minorEastAsia"/>
          <w:lang w:eastAsia="zh-CN"/>
        </w:rPr>
        <w:t>-values were derived from bootstrap resampling (1,000 iterations).</w:t>
      </w:r>
    </w:p>
    <w:p w14:paraId="30426719">
      <w:pPr>
        <w:rPr>
          <w:rFonts w:hint="eastAsia" w:ascii="Times New Roman" w:hAnsi="Times New Roman" w:cs="Times New Roman" w:eastAsiaTheme="minorEastAsia"/>
          <w:b/>
          <w:bCs/>
          <w:lang w:eastAsia="zh-CN"/>
        </w:rPr>
      </w:pPr>
    </w:p>
    <w:p w14:paraId="3F110F5E">
      <w:pPr>
        <w:rPr>
          <w:rFonts w:hint="default" w:ascii="Times New Roman" w:hAnsi="Times New Roman" w:cs="Times New Roman" w:eastAsiaTheme="minorEastAsia"/>
          <w:b/>
          <w:bCs/>
          <w:lang w:val="en-US" w:eastAsia="zh-CN"/>
        </w:rPr>
      </w:pPr>
      <w:r>
        <w:rPr>
          <w:rFonts w:hint="eastAsia" w:ascii="Times New Roman" w:hAnsi="Times New Roman" w:cs="Times New Roman" w:eastAsiaTheme="minorEastAsia"/>
          <w:b/>
          <w:bCs/>
          <w:lang w:eastAsia="zh-CN"/>
        </w:rPr>
        <w:t>Supplementary Table S</w:t>
      </w:r>
      <w:r>
        <w:rPr>
          <w:rFonts w:hint="eastAsia" w:ascii="Times New Roman" w:hAnsi="Times New Roman" w:cs="Times New Roman"/>
          <w:b/>
          <w:bCs/>
          <w:lang w:val="en-US" w:eastAsia="zh-CN"/>
        </w:rPr>
        <w:t>7</w:t>
      </w:r>
      <w:r>
        <w:rPr>
          <w:rFonts w:hint="eastAsia" w:ascii="Times New Roman" w:hAnsi="Times New Roman" w:cs="Times New Roman" w:eastAsiaTheme="minorEastAsia"/>
          <w:b/>
          <w:bCs/>
          <w:lang w:eastAsia="zh-CN"/>
        </w:rPr>
        <w:t>. Incremental predictive value of TyG and TyG-related indices for 5-year advanced CKM risk (Continuous NRI and IDI)</w:t>
      </w:r>
      <w:r>
        <w:rPr>
          <w:rFonts w:hint="eastAsia" w:ascii="Times New Roman" w:hAnsi="Times New Roman" w:cs="Times New Roman"/>
          <w:b/>
          <w:bCs/>
          <w:lang w:val="en-US" w:eastAsia="zh-CN"/>
        </w:rPr>
        <w:t>.</w:t>
      </w:r>
    </w:p>
    <w:tbl>
      <w:tblPr>
        <w:tblStyle w:val="3"/>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8"/>
        <w:gridCol w:w="2484"/>
        <w:gridCol w:w="1045"/>
        <w:gridCol w:w="2484"/>
        <w:gridCol w:w="898"/>
      </w:tblGrid>
      <w:tr w14:paraId="2FD1E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nil"/>
              <w:bottom w:val="single" w:color="auto" w:sz="4" w:space="0"/>
              <w:right w:val="nil"/>
            </w:tcBorders>
            <w:vAlign w:val="center"/>
          </w:tcPr>
          <w:p w14:paraId="5AF3855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sz w:val="18"/>
                <w:szCs w:val="18"/>
                <w:vertAlign w:val="baseline"/>
              </w:rPr>
            </w:pPr>
            <w:r>
              <w:rPr>
                <w:rFonts w:hint="default" w:ascii="Times New Roman" w:hAnsi="Times New Roman" w:eastAsia="宋体" w:cs="Times New Roman"/>
                <w:b/>
                <w:bCs/>
                <w:i w:val="0"/>
                <w:iCs w:val="0"/>
                <w:color w:val="0F1115"/>
                <w:kern w:val="0"/>
                <w:sz w:val="18"/>
                <w:szCs w:val="18"/>
                <w:u w:val="none"/>
                <w:lang w:val="en-US" w:eastAsia="zh-CN" w:bidi="ar"/>
              </w:rPr>
              <w:t>Index</w:t>
            </w:r>
          </w:p>
        </w:tc>
        <w:tc>
          <w:tcPr>
            <w:tcW w:w="0" w:type="auto"/>
            <w:tcBorders>
              <w:top w:val="single" w:color="auto" w:sz="4" w:space="0"/>
              <w:left w:val="nil"/>
              <w:bottom w:val="single" w:color="auto" w:sz="4" w:space="0"/>
              <w:right w:val="nil"/>
            </w:tcBorders>
            <w:vAlign w:val="center"/>
          </w:tcPr>
          <w:p w14:paraId="32E417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sz w:val="18"/>
                <w:szCs w:val="18"/>
                <w:vertAlign w:val="baseline"/>
                <w:lang w:val="en-US"/>
              </w:rPr>
            </w:pPr>
            <w:r>
              <w:rPr>
                <w:rFonts w:hint="default" w:ascii="Times New Roman" w:hAnsi="Times New Roman" w:cs="Times New Roman"/>
                <w:b/>
                <w:bCs/>
              </w:rPr>
              <w:t>Continuous</w:t>
            </w:r>
            <w:r>
              <w:rPr>
                <w:rFonts w:hint="eastAsia" w:ascii="Times New Roman" w:hAnsi="Times New Roman" w:eastAsia="宋体" w:cs="Times New Roman"/>
                <w:b/>
                <w:bCs/>
                <w:i w:val="0"/>
                <w:iCs w:val="0"/>
                <w:color w:val="0F1115"/>
                <w:kern w:val="0"/>
                <w:sz w:val="18"/>
                <w:szCs w:val="18"/>
                <w:u w:val="none"/>
                <w:lang w:val="en-US" w:eastAsia="zh-CN" w:bidi="ar"/>
              </w:rPr>
              <w:t xml:space="preserve"> </w:t>
            </w:r>
            <w:r>
              <w:rPr>
                <w:rFonts w:hint="default" w:ascii="Times New Roman" w:hAnsi="Times New Roman" w:eastAsia="宋体" w:cs="Times New Roman"/>
                <w:b/>
                <w:bCs/>
                <w:i w:val="0"/>
                <w:iCs w:val="0"/>
                <w:color w:val="0F1115"/>
                <w:kern w:val="0"/>
                <w:sz w:val="18"/>
                <w:szCs w:val="18"/>
                <w:u w:val="none"/>
                <w:lang w:val="en-US" w:eastAsia="zh-CN" w:bidi="ar"/>
              </w:rPr>
              <w:t>NRI</w:t>
            </w:r>
            <w:r>
              <w:rPr>
                <w:rFonts w:hint="eastAsia" w:ascii="Times New Roman" w:hAnsi="Times New Roman" w:eastAsia="宋体" w:cs="Times New Roman"/>
                <w:b/>
                <w:bCs/>
                <w:i w:val="0"/>
                <w:iCs w:val="0"/>
                <w:color w:val="0F1115"/>
                <w:kern w:val="0"/>
                <w:sz w:val="18"/>
                <w:szCs w:val="18"/>
                <w:u w:val="none"/>
                <w:lang w:val="en-US" w:eastAsia="zh-CN" w:bidi="ar"/>
              </w:rPr>
              <w:t xml:space="preserve"> (95%CI)</w:t>
            </w:r>
          </w:p>
        </w:tc>
        <w:tc>
          <w:tcPr>
            <w:tcW w:w="0" w:type="auto"/>
            <w:tcBorders>
              <w:top w:val="single" w:color="auto" w:sz="4" w:space="0"/>
              <w:left w:val="nil"/>
              <w:bottom w:val="single" w:color="auto" w:sz="4" w:space="0"/>
              <w:right w:val="nil"/>
            </w:tcBorders>
            <w:vAlign w:val="center"/>
          </w:tcPr>
          <w:p w14:paraId="5A5AC43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sz w:val="18"/>
                <w:szCs w:val="18"/>
                <w:vertAlign w:val="baseline"/>
              </w:rPr>
            </w:pPr>
            <w:r>
              <w:rPr>
                <w:rFonts w:hint="default" w:ascii="Times New Roman" w:hAnsi="Times New Roman" w:eastAsia="宋体" w:cs="Times New Roman"/>
                <w:b/>
                <w:bCs/>
                <w:i/>
                <w:iCs/>
                <w:color w:val="0F1115"/>
                <w:kern w:val="0"/>
                <w:sz w:val="18"/>
                <w:szCs w:val="18"/>
                <w:u w:val="none"/>
                <w:lang w:val="en-US" w:eastAsia="zh-CN" w:bidi="ar"/>
              </w:rPr>
              <w:t>P</w:t>
            </w:r>
          </w:p>
        </w:tc>
        <w:tc>
          <w:tcPr>
            <w:tcW w:w="0" w:type="auto"/>
            <w:tcBorders>
              <w:top w:val="single" w:color="auto" w:sz="4" w:space="0"/>
              <w:left w:val="nil"/>
              <w:bottom w:val="single" w:color="auto" w:sz="4" w:space="0"/>
              <w:right w:val="nil"/>
            </w:tcBorders>
            <w:vAlign w:val="center"/>
          </w:tcPr>
          <w:p w14:paraId="18CAA4C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sz w:val="18"/>
                <w:szCs w:val="18"/>
                <w:vertAlign w:val="baseline"/>
              </w:rPr>
            </w:pPr>
            <w:r>
              <w:rPr>
                <w:rFonts w:hint="default" w:ascii="Times New Roman" w:hAnsi="Times New Roman" w:eastAsia="宋体" w:cs="Times New Roman"/>
                <w:b/>
                <w:bCs/>
                <w:i w:val="0"/>
                <w:iCs w:val="0"/>
                <w:color w:val="0F1115"/>
                <w:kern w:val="0"/>
                <w:sz w:val="18"/>
                <w:szCs w:val="18"/>
                <w:u w:val="none"/>
                <w:lang w:val="en-US" w:eastAsia="zh-CN" w:bidi="ar"/>
              </w:rPr>
              <w:t>IDI</w:t>
            </w:r>
            <w:r>
              <w:rPr>
                <w:rFonts w:hint="eastAsia" w:ascii="Times New Roman" w:hAnsi="Times New Roman" w:eastAsia="宋体" w:cs="Times New Roman"/>
                <w:b/>
                <w:bCs/>
                <w:i w:val="0"/>
                <w:iCs w:val="0"/>
                <w:color w:val="0F1115"/>
                <w:kern w:val="0"/>
                <w:sz w:val="18"/>
                <w:szCs w:val="18"/>
                <w:u w:val="none"/>
                <w:lang w:val="en-US" w:eastAsia="zh-CN" w:bidi="ar"/>
              </w:rPr>
              <w:t xml:space="preserve"> (95%CI)</w:t>
            </w:r>
          </w:p>
        </w:tc>
        <w:tc>
          <w:tcPr>
            <w:tcW w:w="898" w:type="dxa"/>
            <w:tcBorders>
              <w:top w:val="single" w:color="auto" w:sz="4" w:space="0"/>
              <w:left w:val="nil"/>
              <w:bottom w:val="single" w:color="auto" w:sz="4" w:space="0"/>
              <w:right w:val="nil"/>
            </w:tcBorders>
            <w:vAlign w:val="center"/>
          </w:tcPr>
          <w:p w14:paraId="351A174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sz w:val="18"/>
                <w:szCs w:val="18"/>
                <w:vertAlign w:val="baseline"/>
              </w:rPr>
            </w:pPr>
            <w:r>
              <w:rPr>
                <w:rFonts w:hint="default" w:ascii="Times New Roman" w:hAnsi="Times New Roman" w:eastAsia="宋体" w:cs="Times New Roman"/>
                <w:b/>
                <w:bCs/>
                <w:i/>
                <w:iCs/>
                <w:color w:val="0F1115"/>
                <w:kern w:val="0"/>
                <w:sz w:val="18"/>
                <w:szCs w:val="18"/>
                <w:u w:val="none"/>
                <w:lang w:val="en-US" w:eastAsia="zh-CN" w:bidi="ar"/>
              </w:rPr>
              <w:t>P</w:t>
            </w:r>
          </w:p>
        </w:tc>
      </w:tr>
      <w:tr w14:paraId="0AD27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nil"/>
              <w:bottom w:val="nil"/>
              <w:right w:val="nil"/>
            </w:tcBorders>
            <w:vAlign w:val="center"/>
          </w:tcPr>
          <w:p w14:paraId="5B46E4BE">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bCs/>
                <w:sz w:val="18"/>
                <w:szCs w:val="18"/>
                <w:lang w:val="en-US" w:eastAsia="zh-CN"/>
              </w:rPr>
            </w:pPr>
            <w:r>
              <w:rPr>
                <w:rFonts w:hint="eastAsia" w:ascii="Times New Roman" w:hAnsi="Times New Roman" w:eastAsia="宋体" w:cs="Times New Roman"/>
                <w:b w:val="0"/>
                <w:bCs/>
                <w:sz w:val="18"/>
                <w:szCs w:val="18"/>
                <w:lang w:val="en-US" w:eastAsia="zh-CN"/>
              </w:rPr>
              <w:t>Basic modle</w:t>
            </w:r>
          </w:p>
        </w:tc>
        <w:tc>
          <w:tcPr>
            <w:tcW w:w="0" w:type="auto"/>
            <w:tcBorders>
              <w:top w:val="single" w:color="auto" w:sz="4" w:space="0"/>
              <w:left w:val="nil"/>
              <w:bottom w:val="nil"/>
              <w:right w:val="nil"/>
            </w:tcBorders>
            <w:vAlign w:val="center"/>
          </w:tcPr>
          <w:p w14:paraId="4558719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sz w:val="18"/>
                <w:szCs w:val="18"/>
                <w:lang w:val="en-US" w:eastAsia="zh-CN"/>
              </w:rPr>
            </w:pPr>
            <w:r>
              <w:rPr>
                <w:rFonts w:hint="eastAsia" w:ascii="Times New Roman" w:hAnsi="Times New Roman" w:eastAsia="宋体" w:cs="Times New Roman"/>
                <w:b w:val="0"/>
                <w:bCs/>
                <w:sz w:val="18"/>
                <w:szCs w:val="18"/>
                <w:lang w:val="en-US" w:eastAsia="zh-CN"/>
              </w:rPr>
              <w:t>Ref</w:t>
            </w:r>
          </w:p>
        </w:tc>
        <w:tc>
          <w:tcPr>
            <w:tcW w:w="0" w:type="auto"/>
            <w:tcBorders>
              <w:top w:val="single" w:color="auto" w:sz="4" w:space="0"/>
              <w:left w:val="nil"/>
              <w:bottom w:val="nil"/>
              <w:right w:val="nil"/>
            </w:tcBorders>
            <w:vAlign w:val="center"/>
          </w:tcPr>
          <w:p w14:paraId="28E87F6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sz w:val="18"/>
                <w:szCs w:val="18"/>
              </w:rPr>
            </w:pPr>
          </w:p>
        </w:tc>
        <w:tc>
          <w:tcPr>
            <w:tcW w:w="0" w:type="auto"/>
            <w:tcBorders>
              <w:top w:val="single" w:color="auto" w:sz="4" w:space="0"/>
              <w:left w:val="nil"/>
              <w:bottom w:val="nil"/>
              <w:right w:val="nil"/>
            </w:tcBorders>
            <w:vAlign w:val="center"/>
          </w:tcPr>
          <w:p w14:paraId="170E7B4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sz w:val="18"/>
                <w:szCs w:val="18"/>
              </w:rPr>
            </w:pPr>
          </w:p>
        </w:tc>
        <w:tc>
          <w:tcPr>
            <w:tcW w:w="898" w:type="dxa"/>
            <w:tcBorders>
              <w:top w:val="single" w:color="auto" w:sz="4" w:space="0"/>
              <w:left w:val="nil"/>
              <w:bottom w:val="nil"/>
              <w:right w:val="nil"/>
            </w:tcBorders>
            <w:vAlign w:val="center"/>
          </w:tcPr>
          <w:p w14:paraId="7F9198C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sz w:val="18"/>
                <w:szCs w:val="18"/>
              </w:rPr>
            </w:pPr>
          </w:p>
        </w:tc>
      </w:tr>
      <w:tr w14:paraId="167C9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vAlign w:val="center"/>
          </w:tcPr>
          <w:p w14:paraId="4122601D">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bCs/>
                <w:sz w:val="18"/>
                <w:szCs w:val="18"/>
                <w:vertAlign w:val="baseline"/>
              </w:rPr>
            </w:pPr>
            <w:r>
              <w:rPr>
                <w:rFonts w:hint="eastAsia" w:ascii="Times New Roman" w:hAnsi="Times New Roman" w:eastAsia="宋体" w:cs="Times New Roman"/>
                <w:b w:val="0"/>
                <w:bCs/>
                <w:sz w:val="18"/>
                <w:szCs w:val="18"/>
                <w:lang w:val="en-US" w:eastAsia="zh-CN"/>
              </w:rPr>
              <w:t>+</w:t>
            </w:r>
            <w:r>
              <w:rPr>
                <w:rFonts w:hint="default" w:ascii="Times New Roman" w:hAnsi="Times New Roman" w:eastAsia="宋体" w:cs="Times New Roman"/>
                <w:b w:val="0"/>
                <w:bCs/>
                <w:sz w:val="18"/>
                <w:szCs w:val="18"/>
              </w:rPr>
              <w:t>TyG</w:t>
            </w:r>
          </w:p>
        </w:tc>
        <w:tc>
          <w:tcPr>
            <w:tcW w:w="0" w:type="auto"/>
            <w:tcBorders>
              <w:top w:val="nil"/>
              <w:left w:val="nil"/>
              <w:bottom w:val="nil"/>
              <w:right w:val="nil"/>
            </w:tcBorders>
            <w:vAlign w:val="center"/>
          </w:tcPr>
          <w:p w14:paraId="5463D58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sz w:val="18"/>
                <w:szCs w:val="18"/>
                <w:vertAlign w:val="baseline"/>
              </w:rPr>
            </w:pPr>
            <w:r>
              <w:rPr>
                <w:rFonts w:hint="default" w:ascii="Times New Roman" w:hAnsi="Times New Roman" w:eastAsia="宋体" w:cs="Times New Roman"/>
                <w:b w:val="0"/>
                <w:bCs/>
                <w:sz w:val="18"/>
                <w:szCs w:val="18"/>
              </w:rPr>
              <w:t>0.084 (-0.048-0.224)</w:t>
            </w:r>
          </w:p>
        </w:tc>
        <w:tc>
          <w:tcPr>
            <w:tcW w:w="0" w:type="auto"/>
            <w:tcBorders>
              <w:top w:val="nil"/>
              <w:left w:val="nil"/>
              <w:bottom w:val="nil"/>
              <w:right w:val="nil"/>
            </w:tcBorders>
            <w:vAlign w:val="center"/>
          </w:tcPr>
          <w:p w14:paraId="50D11A1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sz w:val="18"/>
                <w:szCs w:val="18"/>
                <w:vertAlign w:val="baseline"/>
              </w:rPr>
            </w:pPr>
            <w:r>
              <w:rPr>
                <w:rFonts w:hint="default" w:ascii="Times New Roman" w:hAnsi="Times New Roman" w:eastAsia="宋体" w:cs="Times New Roman"/>
                <w:b w:val="0"/>
                <w:bCs/>
                <w:sz w:val="18"/>
                <w:szCs w:val="18"/>
              </w:rPr>
              <w:t>0.224</w:t>
            </w:r>
          </w:p>
        </w:tc>
        <w:tc>
          <w:tcPr>
            <w:tcW w:w="0" w:type="auto"/>
            <w:tcBorders>
              <w:top w:val="nil"/>
              <w:left w:val="nil"/>
              <w:bottom w:val="nil"/>
              <w:right w:val="nil"/>
            </w:tcBorders>
            <w:vAlign w:val="center"/>
          </w:tcPr>
          <w:p w14:paraId="2B14B22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sz w:val="18"/>
                <w:szCs w:val="18"/>
                <w:vertAlign w:val="baseline"/>
              </w:rPr>
            </w:pPr>
            <w:r>
              <w:rPr>
                <w:rFonts w:hint="default" w:ascii="Times New Roman" w:hAnsi="Times New Roman" w:eastAsia="宋体" w:cs="Times New Roman"/>
                <w:b w:val="0"/>
                <w:bCs/>
                <w:sz w:val="18"/>
                <w:szCs w:val="18"/>
              </w:rPr>
              <w:t>0.003 (-0.000-0.012)</w:t>
            </w:r>
          </w:p>
        </w:tc>
        <w:tc>
          <w:tcPr>
            <w:tcW w:w="898" w:type="dxa"/>
            <w:tcBorders>
              <w:top w:val="nil"/>
              <w:left w:val="nil"/>
              <w:bottom w:val="nil"/>
              <w:right w:val="nil"/>
            </w:tcBorders>
            <w:vAlign w:val="center"/>
          </w:tcPr>
          <w:p w14:paraId="577215D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sz w:val="18"/>
                <w:szCs w:val="18"/>
                <w:vertAlign w:val="baseline"/>
              </w:rPr>
            </w:pPr>
            <w:r>
              <w:rPr>
                <w:rFonts w:hint="default" w:ascii="Times New Roman" w:hAnsi="Times New Roman" w:eastAsia="宋体" w:cs="Times New Roman"/>
                <w:b w:val="0"/>
                <w:bCs/>
                <w:sz w:val="18"/>
                <w:szCs w:val="18"/>
              </w:rPr>
              <w:t>0.128</w:t>
            </w:r>
          </w:p>
        </w:tc>
      </w:tr>
      <w:tr w14:paraId="163B6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vAlign w:val="center"/>
          </w:tcPr>
          <w:p w14:paraId="4D5C1A1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bCs/>
                <w:sz w:val="18"/>
                <w:szCs w:val="18"/>
                <w:lang w:val="en-US" w:eastAsia="zh-CN"/>
              </w:rPr>
            </w:pPr>
            <w:r>
              <w:rPr>
                <w:rFonts w:hint="eastAsia" w:ascii="Times New Roman" w:hAnsi="Times New Roman" w:eastAsia="宋体" w:cs="Times New Roman"/>
                <w:b w:val="0"/>
                <w:bCs/>
                <w:sz w:val="18"/>
                <w:szCs w:val="18"/>
                <w:lang w:val="en-US" w:eastAsia="zh-CN"/>
              </w:rPr>
              <w:t>+CVAI</w:t>
            </w:r>
          </w:p>
        </w:tc>
        <w:tc>
          <w:tcPr>
            <w:tcW w:w="2484" w:type="dxa"/>
            <w:tcBorders>
              <w:top w:val="nil"/>
              <w:left w:val="nil"/>
              <w:bottom w:val="nil"/>
              <w:right w:val="nil"/>
            </w:tcBorders>
            <w:vAlign w:val="bottom"/>
          </w:tcPr>
          <w:p w14:paraId="33270AA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sz w:val="18"/>
                <w:szCs w:val="18"/>
              </w:rPr>
            </w:pPr>
            <w:r>
              <w:rPr>
                <w:rFonts w:hint="eastAsia" w:ascii="Times New Roman" w:hAnsi="Times New Roman" w:eastAsia="宋体" w:cs="Times New Roman"/>
                <w:b w:val="0"/>
                <w:bCs/>
                <w:sz w:val="18"/>
                <w:szCs w:val="18"/>
                <w:lang w:val="en-US" w:eastAsia="zh-CN"/>
              </w:rPr>
              <w:t>0.288 (0.166-0.446)</w:t>
            </w:r>
          </w:p>
        </w:tc>
        <w:tc>
          <w:tcPr>
            <w:tcW w:w="1045" w:type="dxa"/>
            <w:tcBorders>
              <w:top w:val="nil"/>
              <w:left w:val="nil"/>
              <w:bottom w:val="nil"/>
              <w:right w:val="nil"/>
            </w:tcBorders>
            <w:vAlign w:val="bottom"/>
          </w:tcPr>
          <w:p w14:paraId="6D143D4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sz w:val="18"/>
                <w:szCs w:val="18"/>
              </w:rPr>
            </w:pPr>
            <w:r>
              <w:rPr>
                <w:rFonts w:hint="eastAsia" w:ascii="Times New Roman" w:hAnsi="Times New Roman" w:eastAsia="宋体" w:cs="Times New Roman"/>
                <w:b w:val="0"/>
                <w:bCs/>
                <w:sz w:val="18"/>
                <w:szCs w:val="18"/>
                <w:lang w:val="en-US" w:eastAsia="zh-CN"/>
              </w:rPr>
              <w:t>&lt;0.001</w:t>
            </w:r>
          </w:p>
        </w:tc>
        <w:tc>
          <w:tcPr>
            <w:tcW w:w="2484" w:type="dxa"/>
            <w:tcBorders>
              <w:top w:val="nil"/>
              <w:left w:val="nil"/>
              <w:bottom w:val="nil"/>
              <w:right w:val="nil"/>
            </w:tcBorders>
            <w:vAlign w:val="bottom"/>
          </w:tcPr>
          <w:p w14:paraId="10D5850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sz w:val="18"/>
                <w:szCs w:val="18"/>
              </w:rPr>
            </w:pPr>
            <w:r>
              <w:rPr>
                <w:rFonts w:hint="eastAsia" w:ascii="Times New Roman" w:hAnsi="Times New Roman" w:eastAsia="宋体" w:cs="Times New Roman"/>
                <w:b w:val="0"/>
                <w:bCs/>
                <w:sz w:val="18"/>
                <w:szCs w:val="18"/>
                <w:lang w:val="en-US" w:eastAsia="zh-CN"/>
              </w:rPr>
              <w:t>0.009 (0.001-0.022)</w:t>
            </w:r>
          </w:p>
        </w:tc>
        <w:tc>
          <w:tcPr>
            <w:tcW w:w="898" w:type="dxa"/>
            <w:tcBorders>
              <w:top w:val="nil"/>
              <w:left w:val="nil"/>
              <w:bottom w:val="nil"/>
              <w:right w:val="nil"/>
            </w:tcBorders>
            <w:vAlign w:val="bottom"/>
          </w:tcPr>
          <w:p w14:paraId="3A15F3E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sz w:val="18"/>
                <w:szCs w:val="18"/>
              </w:rPr>
            </w:pPr>
            <w:r>
              <w:rPr>
                <w:rFonts w:hint="eastAsia" w:ascii="Times New Roman" w:hAnsi="Times New Roman" w:eastAsia="宋体" w:cs="Times New Roman"/>
                <w:b w:val="0"/>
                <w:bCs/>
                <w:sz w:val="18"/>
                <w:szCs w:val="18"/>
                <w:lang w:val="en-US" w:eastAsia="zh-CN"/>
              </w:rPr>
              <w:t>0.008</w:t>
            </w:r>
          </w:p>
        </w:tc>
      </w:tr>
      <w:tr w14:paraId="7BE6F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vAlign w:val="center"/>
          </w:tcPr>
          <w:p w14:paraId="520190A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bCs w:val="0"/>
                <w:sz w:val="18"/>
                <w:szCs w:val="18"/>
                <w:vertAlign w:val="baseline"/>
              </w:rPr>
            </w:pP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TyG</w:t>
            </w: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WC</w:t>
            </w:r>
          </w:p>
        </w:tc>
        <w:tc>
          <w:tcPr>
            <w:tcW w:w="0" w:type="auto"/>
            <w:tcBorders>
              <w:top w:val="nil"/>
              <w:left w:val="nil"/>
              <w:bottom w:val="nil"/>
              <w:right w:val="nil"/>
            </w:tcBorders>
            <w:vAlign w:val="center"/>
          </w:tcPr>
          <w:p w14:paraId="3E96BAB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0.235 (0.087-0.372)</w:t>
            </w:r>
          </w:p>
        </w:tc>
        <w:tc>
          <w:tcPr>
            <w:tcW w:w="0" w:type="auto"/>
            <w:tcBorders>
              <w:top w:val="nil"/>
              <w:left w:val="nil"/>
              <w:bottom w:val="nil"/>
              <w:right w:val="nil"/>
            </w:tcBorders>
            <w:vAlign w:val="center"/>
          </w:tcPr>
          <w:p w14:paraId="1BF5520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0.004</w:t>
            </w:r>
          </w:p>
        </w:tc>
        <w:tc>
          <w:tcPr>
            <w:tcW w:w="0" w:type="auto"/>
            <w:tcBorders>
              <w:top w:val="nil"/>
              <w:left w:val="nil"/>
              <w:bottom w:val="nil"/>
              <w:right w:val="nil"/>
            </w:tcBorders>
            <w:vAlign w:val="center"/>
          </w:tcPr>
          <w:p w14:paraId="25F7FB0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0.009 (0.002-0.021)</w:t>
            </w:r>
          </w:p>
        </w:tc>
        <w:tc>
          <w:tcPr>
            <w:tcW w:w="898" w:type="dxa"/>
            <w:tcBorders>
              <w:top w:val="nil"/>
              <w:left w:val="nil"/>
              <w:bottom w:val="nil"/>
              <w:right w:val="nil"/>
            </w:tcBorders>
            <w:vAlign w:val="center"/>
          </w:tcPr>
          <w:p w14:paraId="3CE256F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0.012</w:t>
            </w:r>
          </w:p>
        </w:tc>
      </w:tr>
      <w:tr w14:paraId="5EEEE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vAlign w:val="center"/>
          </w:tcPr>
          <w:p w14:paraId="704E01EB">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bCs w:val="0"/>
                <w:sz w:val="18"/>
                <w:szCs w:val="18"/>
                <w:vertAlign w:val="baseline"/>
              </w:rPr>
            </w:pP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TyG</w:t>
            </w: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WHtR</w:t>
            </w:r>
          </w:p>
        </w:tc>
        <w:tc>
          <w:tcPr>
            <w:tcW w:w="0" w:type="auto"/>
            <w:tcBorders>
              <w:top w:val="nil"/>
              <w:left w:val="nil"/>
              <w:bottom w:val="nil"/>
              <w:right w:val="nil"/>
            </w:tcBorders>
            <w:vAlign w:val="center"/>
          </w:tcPr>
          <w:p w14:paraId="533D878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0.158 (0.042-0.314)</w:t>
            </w:r>
          </w:p>
        </w:tc>
        <w:tc>
          <w:tcPr>
            <w:tcW w:w="0" w:type="auto"/>
            <w:tcBorders>
              <w:top w:val="nil"/>
              <w:left w:val="nil"/>
              <w:bottom w:val="nil"/>
              <w:right w:val="nil"/>
            </w:tcBorders>
            <w:vAlign w:val="center"/>
          </w:tcPr>
          <w:p w14:paraId="359AD43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0.008</w:t>
            </w:r>
          </w:p>
        </w:tc>
        <w:tc>
          <w:tcPr>
            <w:tcW w:w="0" w:type="auto"/>
            <w:tcBorders>
              <w:top w:val="nil"/>
              <w:left w:val="nil"/>
              <w:bottom w:val="nil"/>
              <w:right w:val="nil"/>
            </w:tcBorders>
            <w:vAlign w:val="center"/>
          </w:tcPr>
          <w:p w14:paraId="6403E01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0.008 (0.001-0.019)</w:t>
            </w:r>
          </w:p>
        </w:tc>
        <w:tc>
          <w:tcPr>
            <w:tcW w:w="898" w:type="dxa"/>
            <w:tcBorders>
              <w:top w:val="nil"/>
              <w:left w:val="nil"/>
              <w:bottom w:val="nil"/>
              <w:right w:val="nil"/>
            </w:tcBorders>
            <w:vAlign w:val="center"/>
          </w:tcPr>
          <w:p w14:paraId="6CFADD26">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0.016</w:t>
            </w:r>
          </w:p>
        </w:tc>
      </w:tr>
      <w:tr w14:paraId="265C2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vAlign w:val="center"/>
          </w:tcPr>
          <w:p w14:paraId="305BCB9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bCs w:val="0"/>
                <w:sz w:val="18"/>
                <w:szCs w:val="18"/>
                <w:vertAlign w:val="baseline"/>
              </w:rPr>
            </w:pP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TyG</w:t>
            </w: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BMI</w:t>
            </w:r>
          </w:p>
        </w:tc>
        <w:tc>
          <w:tcPr>
            <w:tcW w:w="0" w:type="auto"/>
            <w:tcBorders>
              <w:top w:val="nil"/>
              <w:left w:val="nil"/>
              <w:bottom w:val="nil"/>
              <w:right w:val="nil"/>
            </w:tcBorders>
            <w:vAlign w:val="center"/>
          </w:tcPr>
          <w:p w14:paraId="0020AD8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0.139 (0.009-0.299)</w:t>
            </w:r>
          </w:p>
        </w:tc>
        <w:tc>
          <w:tcPr>
            <w:tcW w:w="0" w:type="auto"/>
            <w:tcBorders>
              <w:top w:val="nil"/>
              <w:left w:val="nil"/>
              <w:bottom w:val="nil"/>
              <w:right w:val="nil"/>
            </w:tcBorders>
            <w:vAlign w:val="center"/>
          </w:tcPr>
          <w:p w14:paraId="7DC462E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0.040</w:t>
            </w:r>
          </w:p>
        </w:tc>
        <w:tc>
          <w:tcPr>
            <w:tcW w:w="0" w:type="auto"/>
            <w:tcBorders>
              <w:top w:val="nil"/>
              <w:left w:val="nil"/>
              <w:bottom w:val="nil"/>
              <w:right w:val="nil"/>
            </w:tcBorders>
            <w:vAlign w:val="center"/>
          </w:tcPr>
          <w:p w14:paraId="2333F14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0.005 (0.000-0.013)</w:t>
            </w:r>
          </w:p>
        </w:tc>
        <w:tc>
          <w:tcPr>
            <w:tcW w:w="898" w:type="dxa"/>
            <w:tcBorders>
              <w:top w:val="nil"/>
              <w:left w:val="nil"/>
              <w:bottom w:val="nil"/>
              <w:right w:val="nil"/>
            </w:tcBorders>
            <w:vAlign w:val="center"/>
          </w:tcPr>
          <w:p w14:paraId="311C6B0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0.028</w:t>
            </w:r>
          </w:p>
        </w:tc>
      </w:tr>
      <w:tr w14:paraId="7B076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vAlign w:val="center"/>
          </w:tcPr>
          <w:p w14:paraId="7237B55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bCs w:val="0"/>
                <w:sz w:val="18"/>
                <w:szCs w:val="18"/>
                <w:vertAlign w:val="baseline"/>
              </w:rPr>
            </w:pP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TyG</w:t>
            </w: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BRI</w:t>
            </w:r>
          </w:p>
        </w:tc>
        <w:tc>
          <w:tcPr>
            <w:tcW w:w="0" w:type="auto"/>
            <w:tcBorders>
              <w:top w:val="nil"/>
              <w:left w:val="nil"/>
              <w:bottom w:val="nil"/>
              <w:right w:val="nil"/>
            </w:tcBorders>
            <w:vAlign w:val="center"/>
          </w:tcPr>
          <w:p w14:paraId="6C7B87D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0.211 (0.060-0.369)</w:t>
            </w:r>
          </w:p>
        </w:tc>
        <w:tc>
          <w:tcPr>
            <w:tcW w:w="0" w:type="auto"/>
            <w:tcBorders>
              <w:top w:val="nil"/>
              <w:left w:val="nil"/>
              <w:bottom w:val="nil"/>
              <w:right w:val="nil"/>
            </w:tcBorders>
            <w:vAlign w:val="center"/>
          </w:tcPr>
          <w:p w14:paraId="18DF883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&lt;0.001</w:t>
            </w:r>
          </w:p>
        </w:tc>
        <w:tc>
          <w:tcPr>
            <w:tcW w:w="0" w:type="auto"/>
            <w:tcBorders>
              <w:top w:val="nil"/>
              <w:left w:val="nil"/>
              <w:bottom w:val="nil"/>
              <w:right w:val="nil"/>
            </w:tcBorders>
            <w:vAlign w:val="center"/>
          </w:tcPr>
          <w:p w14:paraId="7A387BA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0.007 (0.000-0.018)</w:t>
            </w:r>
          </w:p>
        </w:tc>
        <w:tc>
          <w:tcPr>
            <w:tcW w:w="898" w:type="dxa"/>
            <w:tcBorders>
              <w:top w:val="nil"/>
              <w:left w:val="nil"/>
              <w:bottom w:val="nil"/>
              <w:right w:val="nil"/>
            </w:tcBorders>
            <w:vAlign w:val="center"/>
          </w:tcPr>
          <w:p w14:paraId="79DD8B78">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0.020</w:t>
            </w:r>
          </w:p>
        </w:tc>
      </w:tr>
      <w:tr w14:paraId="65CC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vAlign w:val="center"/>
          </w:tcPr>
          <w:p w14:paraId="7F390BE3">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bCs w:val="0"/>
                <w:sz w:val="18"/>
                <w:szCs w:val="18"/>
                <w:vertAlign w:val="baseline"/>
              </w:rPr>
            </w:pP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TyG</w:t>
            </w: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WWI</w:t>
            </w:r>
          </w:p>
        </w:tc>
        <w:tc>
          <w:tcPr>
            <w:tcW w:w="0" w:type="auto"/>
            <w:tcBorders>
              <w:top w:val="nil"/>
              <w:left w:val="nil"/>
              <w:bottom w:val="nil"/>
              <w:right w:val="nil"/>
            </w:tcBorders>
            <w:vAlign w:val="center"/>
          </w:tcPr>
          <w:p w14:paraId="6E6E252A">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0.201 (0.064-0.352)</w:t>
            </w:r>
          </w:p>
        </w:tc>
        <w:tc>
          <w:tcPr>
            <w:tcW w:w="0" w:type="auto"/>
            <w:tcBorders>
              <w:top w:val="nil"/>
              <w:left w:val="nil"/>
              <w:bottom w:val="nil"/>
              <w:right w:val="nil"/>
            </w:tcBorders>
            <w:vAlign w:val="center"/>
          </w:tcPr>
          <w:p w14:paraId="2A2714AF">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0.004</w:t>
            </w:r>
          </w:p>
        </w:tc>
        <w:tc>
          <w:tcPr>
            <w:tcW w:w="0" w:type="auto"/>
            <w:tcBorders>
              <w:top w:val="nil"/>
              <w:left w:val="nil"/>
              <w:bottom w:val="nil"/>
              <w:right w:val="nil"/>
            </w:tcBorders>
            <w:vAlign w:val="center"/>
          </w:tcPr>
          <w:p w14:paraId="680FD6A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0.005 (-0.000-0.015)</w:t>
            </w:r>
          </w:p>
        </w:tc>
        <w:tc>
          <w:tcPr>
            <w:tcW w:w="898" w:type="dxa"/>
            <w:tcBorders>
              <w:top w:val="nil"/>
              <w:left w:val="nil"/>
              <w:bottom w:val="nil"/>
              <w:right w:val="nil"/>
            </w:tcBorders>
            <w:vAlign w:val="center"/>
          </w:tcPr>
          <w:p w14:paraId="5600C82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0.052</w:t>
            </w:r>
          </w:p>
        </w:tc>
      </w:tr>
      <w:tr w14:paraId="176F0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shd w:val="clear" w:color="auto" w:fill="auto"/>
            <w:vAlign w:val="center"/>
          </w:tcPr>
          <w:p w14:paraId="37AB8499">
            <w:pPr>
              <w:keepNext w:val="0"/>
              <w:keepLines w:val="0"/>
              <w:widowControl/>
              <w:suppressLineNumbers w:val="0"/>
              <w:snapToGrid w:val="0"/>
              <w:ind w:left="0" w:leftChars="0" w:right="0" w:rightChars="0" w:firstLine="0" w:firstLineChars="0"/>
              <w:jc w:val="left"/>
              <w:textAlignment w:val="center"/>
              <w:rPr>
                <w:rFonts w:hint="eastAsia" w:ascii="Times New Roman" w:hAnsi="Times New Roman" w:eastAsia="宋体" w:cs="Times New Roman"/>
                <w:b w:val="0"/>
                <w:bCs w:val="0"/>
                <w:kern w:val="2"/>
                <w:sz w:val="18"/>
                <w:szCs w:val="18"/>
                <w:vertAlign w:val="baseline"/>
                <w:lang w:val="en-US" w:eastAsia="zh-CN" w:bidi="ar-SA"/>
              </w:rPr>
            </w:pP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TyG</w:t>
            </w: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LAP</w:t>
            </w:r>
          </w:p>
        </w:tc>
        <w:tc>
          <w:tcPr>
            <w:tcW w:w="0" w:type="auto"/>
            <w:tcBorders>
              <w:top w:val="nil"/>
              <w:left w:val="nil"/>
              <w:bottom w:val="nil"/>
              <w:right w:val="nil"/>
            </w:tcBorders>
            <w:shd w:val="clear" w:color="auto" w:fill="auto"/>
            <w:vAlign w:val="center"/>
          </w:tcPr>
          <w:p w14:paraId="1AA97867">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kern w:val="2"/>
                <w:sz w:val="18"/>
                <w:szCs w:val="18"/>
                <w:vertAlign w:val="baseline"/>
                <w:lang w:val="en-US" w:eastAsia="zh-CN" w:bidi="ar-SA"/>
              </w:rPr>
            </w:pPr>
            <w:r>
              <w:rPr>
                <w:rFonts w:hint="default" w:ascii="Times New Roman" w:hAnsi="Times New Roman" w:cs="Times New Roman"/>
                <w:b w:val="0"/>
                <w:bCs w:val="0"/>
                <w:sz w:val="18"/>
                <w:szCs w:val="18"/>
              </w:rPr>
              <w:t>0.259 (0.111-0.413)</w:t>
            </w:r>
          </w:p>
        </w:tc>
        <w:tc>
          <w:tcPr>
            <w:tcW w:w="0" w:type="auto"/>
            <w:tcBorders>
              <w:top w:val="nil"/>
              <w:left w:val="nil"/>
              <w:bottom w:val="nil"/>
              <w:right w:val="nil"/>
            </w:tcBorders>
            <w:shd w:val="clear" w:color="auto" w:fill="auto"/>
            <w:vAlign w:val="center"/>
          </w:tcPr>
          <w:p w14:paraId="23599B0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kern w:val="2"/>
                <w:sz w:val="18"/>
                <w:szCs w:val="18"/>
                <w:vertAlign w:val="baseline"/>
                <w:lang w:val="en-US" w:eastAsia="zh-CN" w:bidi="ar-SA"/>
              </w:rPr>
            </w:pPr>
            <w:r>
              <w:rPr>
                <w:rFonts w:hint="default" w:ascii="Times New Roman" w:hAnsi="Times New Roman" w:cs="Times New Roman"/>
                <w:b w:val="0"/>
                <w:bCs w:val="0"/>
                <w:sz w:val="18"/>
                <w:szCs w:val="18"/>
              </w:rPr>
              <w:t>&lt;0.001</w:t>
            </w:r>
          </w:p>
        </w:tc>
        <w:tc>
          <w:tcPr>
            <w:tcW w:w="0" w:type="auto"/>
            <w:tcBorders>
              <w:top w:val="nil"/>
              <w:left w:val="nil"/>
              <w:bottom w:val="nil"/>
              <w:right w:val="nil"/>
            </w:tcBorders>
            <w:shd w:val="clear" w:color="auto" w:fill="auto"/>
            <w:vAlign w:val="center"/>
          </w:tcPr>
          <w:p w14:paraId="4A2C5EFB">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kern w:val="2"/>
                <w:sz w:val="18"/>
                <w:szCs w:val="18"/>
                <w:vertAlign w:val="baseline"/>
                <w:lang w:val="en-US" w:eastAsia="zh-CN" w:bidi="ar-SA"/>
              </w:rPr>
            </w:pPr>
            <w:r>
              <w:rPr>
                <w:rFonts w:hint="default" w:ascii="Times New Roman" w:hAnsi="Times New Roman" w:cs="Times New Roman"/>
                <w:b w:val="0"/>
                <w:bCs w:val="0"/>
                <w:sz w:val="18"/>
                <w:szCs w:val="18"/>
              </w:rPr>
              <w:t>0.009 (0.001-0.022)</w:t>
            </w:r>
          </w:p>
        </w:tc>
        <w:tc>
          <w:tcPr>
            <w:tcW w:w="898" w:type="dxa"/>
            <w:tcBorders>
              <w:top w:val="nil"/>
              <w:left w:val="nil"/>
              <w:bottom w:val="nil"/>
              <w:right w:val="nil"/>
            </w:tcBorders>
            <w:shd w:val="clear" w:color="auto" w:fill="auto"/>
            <w:vAlign w:val="center"/>
          </w:tcPr>
          <w:p w14:paraId="20EF7BF3">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kern w:val="2"/>
                <w:sz w:val="18"/>
                <w:szCs w:val="18"/>
                <w:vertAlign w:val="baseline"/>
                <w:lang w:val="en-US" w:eastAsia="zh-CN" w:bidi="ar-SA"/>
              </w:rPr>
            </w:pPr>
            <w:r>
              <w:rPr>
                <w:rFonts w:hint="default" w:ascii="Times New Roman" w:hAnsi="Times New Roman" w:cs="Times New Roman"/>
                <w:b w:val="0"/>
                <w:bCs w:val="0"/>
                <w:sz w:val="18"/>
                <w:szCs w:val="18"/>
              </w:rPr>
              <w:t>0.008</w:t>
            </w:r>
          </w:p>
        </w:tc>
      </w:tr>
      <w:tr w14:paraId="36860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vAlign w:val="center"/>
          </w:tcPr>
          <w:p w14:paraId="09ABAE69">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bCs w:val="0"/>
                <w:sz w:val="18"/>
                <w:szCs w:val="18"/>
                <w:vertAlign w:val="baseline"/>
              </w:rPr>
            </w:pP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TyG</w:t>
            </w: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ABSI</w:t>
            </w:r>
          </w:p>
        </w:tc>
        <w:tc>
          <w:tcPr>
            <w:tcW w:w="0" w:type="auto"/>
            <w:tcBorders>
              <w:top w:val="nil"/>
              <w:left w:val="nil"/>
              <w:bottom w:val="nil"/>
              <w:right w:val="nil"/>
            </w:tcBorders>
            <w:vAlign w:val="center"/>
          </w:tcPr>
          <w:p w14:paraId="6C36B34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0.263 (0.121-0.399)</w:t>
            </w:r>
          </w:p>
        </w:tc>
        <w:tc>
          <w:tcPr>
            <w:tcW w:w="0" w:type="auto"/>
            <w:tcBorders>
              <w:top w:val="nil"/>
              <w:left w:val="nil"/>
              <w:bottom w:val="nil"/>
              <w:right w:val="nil"/>
            </w:tcBorders>
            <w:vAlign w:val="center"/>
          </w:tcPr>
          <w:p w14:paraId="19EE51C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&lt;0.001</w:t>
            </w:r>
          </w:p>
        </w:tc>
        <w:tc>
          <w:tcPr>
            <w:tcW w:w="0" w:type="auto"/>
            <w:tcBorders>
              <w:top w:val="nil"/>
              <w:left w:val="nil"/>
              <w:bottom w:val="nil"/>
              <w:right w:val="nil"/>
            </w:tcBorders>
            <w:vAlign w:val="center"/>
          </w:tcPr>
          <w:p w14:paraId="7A32810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0.005 (0.000-0.016)</w:t>
            </w:r>
          </w:p>
        </w:tc>
        <w:tc>
          <w:tcPr>
            <w:tcW w:w="898" w:type="dxa"/>
            <w:tcBorders>
              <w:top w:val="nil"/>
              <w:left w:val="nil"/>
              <w:bottom w:val="nil"/>
              <w:right w:val="nil"/>
            </w:tcBorders>
            <w:vAlign w:val="center"/>
          </w:tcPr>
          <w:p w14:paraId="15747694">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0.044</w:t>
            </w:r>
          </w:p>
        </w:tc>
      </w:tr>
      <w:tr w14:paraId="3917E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vAlign w:val="center"/>
          </w:tcPr>
          <w:p w14:paraId="1705A6D8">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bCs w:val="0"/>
                <w:sz w:val="18"/>
                <w:szCs w:val="18"/>
                <w:vertAlign w:val="baseline"/>
              </w:rPr>
            </w:pP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TyG</w:t>
            </w: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VAI</w:t>
            </w:r>
          </w:p>
        </w:tc>
        <w:tc>
          <w:tcPr>
            <w:tcW w:w="0" w:type="auto"/>
            <w:tcBorders>
              <w:top w:val="nil"/>
              <w:left w:val="nil"/>
              <w:bottom w:val="nil"/>
              <w:right w:val="nil"/>
            </w:tcBorders>
            <w:vAlign w:val="center"/>
          </w:tcPr>
          <w:p w14:paraId="4763169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0.224 (0.091-0.382)</w:t>
            </w:r>
          </w:p>
        </w:tc>
        <w:tc>
          <w:tcPr>
            <w:tcW w:w="0" w:type="auto"/>
            <w:tcBorders>
              <w:top w:val="nil"/>
              <w:left w:val="nil"/>
              <w:bottom w:val="nil"/>
              <w:right w:val="nil"/>
            </w:tcBorders>
            <w:vAlign w:val="center"/>
          </w:tcPr>
          <w:p w14:paraId="7C23672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&lt;0.001</w:t>
            </w:r>
          </w:p>
        </w:tc>
        <w:tc>
          <w:tcPr>
            <w:tcW w:w="0" w:type="auto"/>
            <w:tcBorders>
              <w:top w:val="nil"/>
              <w:left w:val="nil"/>
              <w:bottom w:val="nil"/>
              <w:right w:val="nil"/>
            </w:tcBorders>
            <w:vAlign w:val="center"/>
          </w:tcPr>
          <w:p w14:paraId="060C59FE">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0.008 (0.001-0.024)</w:t>
            </w:r>
          </w:p>
        </w:tc>
        <w:tc>
          <w:tcPr>
            <w:tcW w:w="898" w:type="dxa"/>
            <w:tcBorders>
              <w:top w:val="nil"/>
              <w:left w:val="nil"/>
              <w:bottom w:val="nil"/>
              <w:right w:val="nil"/>
            </w:tcBorders>
            <w:vAlign w:val="center"/>
          </w:tcPr>
          <w:p w14:paraId="6AE1454D">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sz w:val="18"/>
                <w:szCs w:val="18"/>
                <w:vertAlign w:val="baseline"/>
              </w:rPr>
            </w:pPr>
            <w:r>
              <w:rPr>
                <w:rFonts w:hint="default" w:ascii="Times New Roman" w:hAnsi="Times New Roman" w:cs="Times New Roman"/>
                <w:b w:val="0"/>
                <w:bCs w:val="0"/>
                <w:sz w:val="18"/>
                <w:szCs w:val="18"/>
              </w:rPr>
              <w:t>0.004</w:t>
            </w:r>
          </w:p>
        </w:tc>
      </w:tr>
      <w:tr w14:paraId="071F1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608" w:type="dxa"/>
            <w:tcBorders>
              <w:top w:val="nil"/>
              <w:left w:val="nil"/>
              <w:bottom w:val="single" w:color="auto" w:sz="4" w:space="0"/>
              <w:right w:val="nil"/>
            </w:tcBorders>
            <w:shd w:val="clear" w:color="auto" w:fill="auto"/>
            <w:vAlign w:val="center"/>
          </w:tcPr>
          <w:p w14:paraId="080160F4">
            <w:pPr>
              <w:keepNext w:val="0"/>
              <w:keepLines w:val="0"/>
              <w:widowControl/>
              <w:suppressLineNumbers w:val="0"/>
              <w:snapToGrid w:val="0"/>
              <w:ind w:left="0" w:leftChars="0" w:right="0" w:rightChars="0" w:firstLine="0" w:firstLineChars="0"/>
              <w:jc w:val="left"/>
              <w:textAlignment w:val="center"/>
              <w:rPr>
                <w:rFonts w:hint="default" w:ascii="Times New Roman" w:hAnsi="Times New Roman" w:eastAsia="宋体" w:cs="Times New Roman"/>
                <w:b w:val="0"/>
                <w:bCs w:val="0"/>
                <w:kern w:val="2"/>
                <w:sz w:val="18"/>
                <w:szCs w:val="18"/>
                <w:vertAlign w:val="baseline"/>
                <w:lang w:val="en-US" w:eastAsia="zh-CN" w:bidi="ar-SA"/>
              </w:rPr>
            </w:pP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TyG</w:t>
            </w:r>
            <w:r>
              <w:rPr>
                <w:rFonts w:hint="eastAsia" w:ascii="Times New Roman" w:hAnsi="Times New Roman" w:cs="Times New Roman"/>
                <w:b w:val="0"/>
                <w:bCs w:val="0"/>
                <w:sz w:val="18"/>
                <w:szCs w:val="18"/>
                <w:lang w:val="en-US" w:eastAsia="zh-CN"/>
              </w:rPr>
              <w:t>-</w:t>
            </w:r>
            <w:r>
              <w:rPr>
                <w:rFonts w:hint="default" w:ascii="Times New Roman" w:hAnsi="Times New Roman" w:cs="Times New Roman"/>
                <w:b w:val="0"/>
                <w:bCs w:val="0"/>
                <w:sz w:val="18"/>
                <w:szCs w:val="18"/>
              </w:rPr>
              <w:t>CVAI</w:t>
            </w:r>
          </w:p>
        </w:tc>
        <w:tc>
          <w:tcPr>
            <w:tcW w:w="2484" w:type="dxa"/>
            <w:tcBorders>
              <w:top w:val="nil"/>
              <w:left w:val="nil"/>
              <w:bottom w:val="single" w:color="auto" w:sz="4" w:space="0"/>
              <w:right w:val="nil"/>
            </w:tcBorders>
            <w:shd w:val="clear" w:color="auto" w:fill="auto"/>
            <w:vAlign w:val="center"/>
          </w:tcPr>
          <w:p w14:paraId="469873A2">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kern w:val="2"/>
                <w:sz w:val="18"/>
                <w:szCs w:val="18"/>
                <w:vertAlign w:val="baseline"/>
                <w:lang w:val="en-US" w:eastAsia="zh-CN" w:bidi="ar-SA"/>
              </w:rPr>
            </w:pPr>
            <w:r>
              <w:rPr>
                <w:rFonts w:hint="default" w:ascii="Times New Roman" w:hAnsi="Times New Roman" w:cs="Times New Roman"/>
                <w:b w:val="0"/>
                <w:bCs w:val="0"/>
                <w:sz w:val="18"/>
                <w:szCs w:val="18"/>
              </w:rPr>
              <w:t>0.296 (0.154-0.453)</w:t>
            </w:r>
          </w:p>
        </w:tc>
        <w:tc>
          <w:tcPr>
            <w:tcW w:w="1045" w:type="dxa"/>
            <w:tcBorders>
              <w:top w:val="nil"/>
              <w:left w:val="nil"/>
              <w:bottom w:val="single" w:color="auto" w:sz="4" w:space="0"/>
              <w:right w:val="nil"/>
            </w:tcBorders>
            <w:shd w:val="clear" w:color="auto" w:fill="auto"/>
            <w:vAlign w:val="center"/>
          </w:tcPr>
          <w:p w14:paraId="2107D7E9">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kern w:val="2"/>
                <w:sz w:val="18"/>
                <w:szCs w:val="18"/>
                <w:vertAlign w:val="baseline"/>
                <w:lang w:val="en-US" w:eastAsia="zh-CN" w:bidi="ar-SA"/>
              </w:rPr>
            </w:pPr>
            <w:r>
              <w:rPr>
                <w:rFonts w:hint="default" w:ascii="Times New Roman" w:hAnsi="Times New Roman" w:cs="Times New Roman"/>
                <w:b w:val="0"/>
                <w:bCs w:val="0"/>
                <w:sz w:val="18"/>
                <w:szCs w:val="18"/>
              </w:rPr>
              <w:t>&lt;0.001</w:t>
            </w:r>
          </w:p>
        </w:tc>
        <w:tc>
          <w:tcPr>
            <w:tcW w:w="2484" w:type="dxa"/>
            <w:tcBorders>
              <w:top w:val="nil"/>
              <w:left w:val="nil"/>
              <w:bottom w:val="single" w:color="auto" w:sz="4" w:space="0"/>
              <w:right w:val="nil"/>
            </w:tcBorders>
            <w:shd w:val="clear" w:color="auto" w:fill="auto"/>
            <w:vAlign w:val="center"/>
          </w:tcPr>
          <w:p w14:paraId="5574696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kern w:val="2"/>
                <w:sz w:val="18"/>
                <w:szCs w:val="18"/>
                <w:vertAlign w:val="baseline"/>
                <w:lang w:val="en-US" w:eastAsia="zh-CN" w:bidi="ar-SA"/>
              </w:rPr>
            </w:pPr>
            <w:r>
              <w:rPr>
                <w:rFonts w:hint="default" w:ascii="Times New Roman" w:hAnsi="Times New Roman" w:cs="Times New Roman"/>
                <w:b w:val="0"/>
                <w:bCs w:val="0"/>
                <w:sz w:val="18"/>
                <w:szCs w:val="18"/>
              </w:rPr>
              <w:t>0.010 (0.002-0.023)</w:t>
            </w:r>
          </w:p>
        </w:tc>
        <w:tc>
          <w:tcPr>
            <w:tcW w:w="898" w:type="dxa"/>
            <w:tcBorders>
              <w:top w:val="nil"/>
              <w:left w:val="nil"/>
              <w:bottom w:val="single" w:color="auto" w:sz="4" w:space="0"/>
              <w:right w:val="nil"/>
            </w:tcBorders>
            <w:shd w:val="clear" w:color="auto" w:fill="auto"/>
            <w:vAlign w:val="center"/>
          </w:tcPr>
          <w:p w14:paraId="57AAE455">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val="0"/>
                <w:bCs w:val="0"/>
                <w:kern w:val="2"/>
                <w:sz w:val="18"/>
                <w:szCs w:val="18"/>
                <w:vertAlign w:val="baseline"/>
                <w:lang w:val="en-US" w:eastAsia="zh-CN" w:bidi="ar-SA"/>
              </w:rPr>
            </w:pPr>
            <w:r>
              <w:rPr>
                <w:rFonts w:hint="default" w:ascii="Times New Roman" w:hAnsi="Times New Roman" w:cs="Times New Roman"/>
                <w:b w:val="0"/>
                <w:bCs w:val="0"/>
                <w:sz w:val="18"/>
                <w:szCs w:val="18"/>
              </w:rPr>
              <w:t>0.012</w:t>
            </w:r>
          </w:p>
        </w:tc>
      </w:tr>
    </w:tbl>
    <w:p w14:paraId="1B102ECE">
      <w:pPr>
        <w:rPr>
          <w:rFonts w:hint="eastAsia" w:ascii="Times New Roman" w:hAnsi="Times New Roman" w:cs="Times New Roman" w:eastAsiaTheme="minorEastAsia"/>
          <w:lang w:eastAsia="zh-CN"/>
        </w:rPr>
      </w:pPr>
      <w:r>
        <w:rPr>
          <w:rFonts w:hint="eastAsia" w:ascii="Times New Roman" w:hAnsi="Times New Roman" w:cs="Times New Roman"/>
          <w:b/>
          <w:bCs/>
          <w:lang w:val="en-US" w:eastAsia="zh-CN"/>
        </w:rPr>
        <w:t>Note:</w:t>
      </w:r>
      <w:r>
        <w:rPr>
          <w:rFonts w:hint="eastAsia" w:ascii="Times New Roman" w:hAnsi="Times New Roman" w:cs="Times New Roman"/>
          <w:lang w:val="en-US" w:eastAsia="zh-CN"/>
        </w:rPr>
        <w:t xml:space="preserve"> </w:t>
      </w:r>
      <w:r>
        <w:rPr>
          <w:rFonts w:hint="eastAsia" w:ascii="Times New Roman" w:hAnsi="Times New Roman" w:cs="Times New Roman" w:eastAsiaTheme="minorEastAsia"/>
          <w:lang w:eastAsia="zh-CN"/>
        </w:rPr>
        <w:t>Continuous net reclassification improvement (NRI) and integrated discrimination improvement (IDI) were calculated by adding each TyG or TyG-related index to the base model (Model 2), which was adjusted for gender, age, smok</w:t>
      </w:r>
      <w:r>
        <w:rPr>
          <w:rFonts w:hint="eastAsia" w:ascii="Times New Roman" w:hAnsi="Times New Roman" w:cs="Times New Roman"/>
          <w:lang w:val="en-US" w:eastAsia="zh-CN"/>
        </w:rPr>
        <w:t>e</w:t>
      </w:r>
      <w:r>
        <w:rPr>
          <w:rFonts w:hint="eastAsia" w:ascii="Times New Roman" w:hAnsi="Times New Roman" w:cs="Times New Roman" w:eastAsiaTheme="minorEastAsia"/>
          <w:lang w:eastAsia="zh-CN"/>
        </w:rPr>
        <w:t xml:space="preserve">, </w:t>
      </w:r>
      <w:r>
        <w:rPr>
          <w:rFonts w:hint="eastAsia" w:ascii="Times New Roman" w:hAnsi="Times New Roman" w:cs="Times New Roman"/>
          <w:lang w:val="en-US" w:eastAsia="zh-CN"/>
        </w:rPr>
        <w:t>drink</w:t>
      </w:r>
      <w:r>
        <w:rPr>
          <w:rFonts w:hint="eastAsia" w:ascii="Times New Roman" w:hAnsi="Times New Roman" w:cs="Times New Roman" w:eastAsiaTheme="minorEastAsia"/>
          <w:lang w:eastAsia="zh-CN"/>
        </w:rPr>
        <w:t xml:space="preserve">, and </w:t>
      </w:r>
      <w:r>
        <w:rPr>
          <w:rFonts w:hint="eastAsia" w:ascii="Times New Roman" w:hAnsi="Times New Roman" w:cs="Times New Roman"/>
          <w:lang w:val="en-US" w:eastAsia="zh-CN"/>
        </w:rPr>
        <w:t>e</w:t>
      </w:r>
      <w:r>
        <w:rPr>
          <w:rFonts w:hint="eastAsia" w:ascii="Times New Roman" w:hAnsi="Times New Roman" w:cs="Times New Roman" w:eastAsiaTheme="minorEastAsia"/>
          <w:lang w:eastAsia="zh-CN"/>
        </w:rPr>
        <w:t xml:space="preserve">xercise. Positive values indicate improved reclassification and discrimination. </w:t>
      </w:r>
      <w:r>
        <w:rPr>
          <w:rFonts w:hint="eastAsia" w:ascii="Times New Roman" w:hAnsi="Times New Roman" w:cs="Times New Roman" w:eastAsiaTheme="minorEastAsia"/>
          <w:i/>
          <w:iCs/>
          <w:lang w:eastAsia="zh-CN"/>
        </w:rPr>
        <w:t>P</w:t>
      </w:r>
      <w:r>
        <w:rPr>
          <w:rFonts w:hint="eastAsia" w:ascii="Times New Roman" w:hAnsi="Times New Roman" w:cs="Times New Roman" w:eastAsiaTheme="minorEastAsia"/>
          <w:lang w:eastAsia="zh-CN"/>
        </w:rPr>
        <w:t>-values were derived from bootstrap resampling (1,000 iterations).</w:t>
      </w:r>
    </w:p>
    <w:p w14:paraId="1806EA3D">
      <w:pPr>
        <w:rPr>
          <w:rFonts w:hint="eastAsia" w:ascii="Times New Roman" w:hAnsi="Times New Roman" w:cs="Times New Roman" w:eastAsiaTheme="minorEastAsia"/>
          <w:lang w:eastAsia="zh-CN"/>
        </w:rPr>
      </w:pPr>
    </w:p>
    <w:p w14:paraId="766FCD2F">
      <w:pPr>
        <w:rPr>
          <w:rFonts w:hint="eastAsia" w:ascii="Times New Roman" w:hAnsi="Times New Roman" w:cs="Times New Roman" w:eastAsiaTheme="minorEastAsia"/>
          <w:color w:val="4874CB" w:themeColor="accent1"/>
          <w:lang w:eastAsia="zh-CN"/>
          <w14:textFill>
            <w14:solidFill>
              <w14:schemeClr w14:val="accent1"/>
            </w14:solidFill>
          </w14:textFill>
        </w:rPr>
      </w:pPr>
      <w:r>
        <w:rPr>
          <w:rFonts w:hint="eastAsia" w:ascii="Times New Roman" w:hAnsi="Times New Roman" w:cs="Times New Roman" w:eastAsiaTheme="minorEastAsia"/>
          <w:lang w:eastAsia="zh-CN"/>
        </w:rPr>
        <w:drawing>
          <wp:inline distT="0" distB="0" distL="114300" distR="114300">
            <wp:extent cx="5253355" cy="3404870"/>
            <wp:effectExtent l="0" t="0" r="4445" b="5080"/>
            <wp:docPr id="7" name="图片 7" descr="Supplementary 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upplementary Figure S3"/>
                    <pic:cNvPicPr>
                      <a:picLocks noChangeAspect="1"/>
                    </pic:cNvPicPr>
                  </pic:nvPicPr>
                  <pic:blipFill>
                    <a:blip r:embed="rId6"/>
                    <a:srcRect t="2984" b="6120"/>
                    <a:stretch>
                      <a:fillRect/>
                    </a:stretch>
                  </pic:blipFill>
                  <pic:spPr>
                    <a:xfrm>
                      <a:off x="0" y="0"/>
                      <a:ext cx="5253355" cy="3404870"/>
                    </a:xfrm>
                    <a:prstGeom prst="rect">
                      <a:avLst/>
                    </a:prstGeom>
                  </pic:spPr>
                </pic:pic>
              </a:graphicData>
            </a:graphic>
          </wp:inline>
        </w:drawing>
      </w:r>
    </w:p>
    <w:p w14:paraId="1279B0A5">
      <w:pPr>
        <w:rPr>
          <w:rFonts w:hint="eastAsia" w:ascii="Times New Roman" w:hAnsi="Times New Roman" w:cs="Times New Roman" w:eastAsiaTheme="minorEastAsia"/>
          <w:color w:val="4874CB" w:themeColor="accent1"/>
          <w:lang w:eastAsia="zh-CN"/>
          <w14:textFill>
            <w14:solidFill>
              <w14:schemeClr w14:val="accent1"/>
            </w14:solidFill>
          </w14:textFill>
        </w:rPr>
      </w:pPr>
    </w:p>
    <w:p w14:paraId="4A2569F5">
      <w:pPr>
        <w:rPr>
          <w:rFonts w:hint="default" w:ascii="Times New Roman" w:hAnsi="Times New Roman" w:cs="Times New Roman"/>
          <w:b w:val="0"/>
          <w:bCs w:val="0"/>
          <w:color w:val="auto"/>
        </w:rPr>
      </w:pPr>
      <w:r>
        <w:rPr>
          <w:rFonts w:hint="default" w:ascii="Times New Roman" w:hAnsi="Times New Roman" w:cs="Times New Roman"/>
          <w:b/>
          <w:bCs/>
          <w:color w:val="auto"/>
        </w:rPr>
        <w:t>Supplementary Figure S3. Time-dependent ROC curves for TyG and TyG-related indices predicting 5-year advanced CKM syndrome.</w:t>
      </w:r>
      <w:r>
        <w:rPr>
          <w:rFonts w:hint="default" w:ascii="Times New Roman" w:hAnsi="Times New Roman" w:cs="Times New Roman"/>
          <w:b w:val="0"/>
          <w:bCs w:val="0"/>
          <w:color w:val="auto"/>
        </w:rPr>
        <w:t xml:space="preserve"> (A–C) Based on Model Clinical (adjusted for gender, age, smoke, drink, exercise, SBP, LDL-C, eGFR, and baseline CKM stage); (D–F) Based on Model 2 (adjusted for gender, age, smoke, drink, and exercise). Time points are 24, 36, and 60 months, respectively. The AUC of each index was calculated at each time point and compared with the corresponding reference model using DeLong tests.</w:t>
      </w:r>
    </w:p>
    <w:p w14:paraId="32EDCC8B">
      <w:pPr>
        <w:rPr>
          <w:rFonts w:hint="eastAsia" w:ascii="Times New Roman" w:hAnsi="Times New Roman" w:cs="Times New Roman" w:eastAsiaTheme="minorEastAsia"/>
          <w:lang w:eastAsia="zh-CN"/>
        </w:rPr>
      </w:pPr>
    </w:p>
    <w:p w14:paraId="16FF5515">
      <w:pPr>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41290" cy="6803390"/>
            <wp:effectExtent l="0" t="0" r="6985" b="6985"/>
            <wp:docPr id="18" name="图片 18" descr="Supplementary 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Supplementary Figure S3"/>
                    <pic:cNvPicPr>
                      <a:picLocks noChangeAspect="1"/>
                    </pic:cNvPicPr>
                  </pic:nvPicPr>
                  <pic:blipFill>
                    <a:blip r:embed="rId7"/>
                    <a:stretch>
                      <a:fillRect/>
                    </a:stretch>
                  </pic:blipFill>
                  <pic:spPr>
                    <a:xfrm>
                      <a:off x="0" y="0"/>
                      <a:ext cx="5241290" cy="6803390"/>
                    </a:xfrm>
                    <a:prstGeom prst="rect">
                      <a:avLst/>
                    </a:prstGeom>
                  </pic:spPr>
                </pic:pic>
              </a:graphicData>
            </a:graphic>
          </wp:inline>
        </w:drawing>
      </w:r>
    </w:p>
    <w:p w14:paraId="17A40EC1">
      <w:pPr>
        <w:rPr>
          <w:rFonts w:hint="eastAsia" w:ascii="Times New Roman" w:hAnsi="Times New Roman" w:cs="Times New Roman" w:eastAsiaTheme="minorEastAsia"/>
          <w:lang w:eastAsia="zh-CN"/>
        </w:rPr>
      </w:pPr>
      <w:r>
        <w:rPr>
          <w:rFonts w:hint="eastAsia" w:ascii="Times New Roman" w:hAnsi="Times New Roman" w:cs="Times New Roman" w:eastAsiaTheme="minorEastAsia"/>
          <w:b/>
          <w:bCs/>
          <w:lang w:eastAsia="zh-CN"/>
        </w:rPr>
        <w:t>Supplementary Figure S</w:t>
      </w:r>
      <w:r>
        <w:rPr>
          <w:rFonts w:hint="eastAsia" w:ascii="Times New Roman" w:hAnsi="Times New Roman" w:cs="Times New Roman"/>
          <w:b/>
          <w:bCs/>
          <w:lang w:val="en-US" w:eastAsia="zh-CN"/>
        </w:rPr>
        <w:t>4</w:t>
      </w:r>
      <w:r>
        <w:rPr>
          <w:rFonts w:hint="eastAsia" w:ascii="Times New Roman" w:hAnsi="Times New Roman" w:cs="Times New Roman" w:eastAsiaTheme="minorEastAsia"/>
          <w:b/>
          <w:bCs/>
          <w:lang w:eastAsia="zh-CN"/>
        </w:rPr>
        <w:t>.</w:t>
      </w:r>
      <w:r>
        <w:rPr>
          <w:rFonts w:hint="eastAsia" w:ascii="Times New Roman" w:hAnsi="Times New Roman" w:cs="Times New Roman" w:eastAsiaTheme="minorEastAsia"/>
          <w:lang w:eastAsia="zh-CN"/>
        </w:rPr>
        <w:t xml:space="preserve"> Feature selection and importance assessment. (A) LASSO coefficient trajectories (10</w:t>
      </w:r>
      <w:r>
        <w:rPr>
          <w:rFonts w:hint="eastAsia" w:ascii="Times New Roman" w:hAnsi="Times New Roman" w:cs="Times New Roman"/>
          <w:lang w:val="en-US" w:eastAsia="zh-CN"/>
        </w:rPr>
        <w:t>-</w:t>
      </w:r>
      <w:r>
        <w:rPr>
          <w:rFonts w:hint="eastAsia" w:ascii="Times New Roman" w:hAnsi="Times New Roman" w:cs="Times New Roman" w:eastAsiaTheme="minorEastAsia"/>
          <w:lang w:eastAsia="zh-CN"/>
        </w:rPr>
        <w:t>fold cross</w:t>
      </w:r>
      <w:r>
        <w:rPr>
          <w:rFonts w:hint="eastAsia" w:ascii="Times New Roman" w:hAnsi="Times New Roman" w:cs="Times New Roman"/>
          <w:lang w:val="en-US" w:eastAsia="zh-CN"/>
        </w:rPr>
        <w:t>-</w:t>
      </w:r>
      <w:r>
        <w:rPr>
          <w:rFonts w:hint="eastAsia" w:ascii="Times New Roman" w:hAnsi="Times New Roman" w:cs="Times New Roman" w:eastAsiaTheme="minorEastAsia"/>
          <w:lang w:eastAsia="zh-CN"/>
        </w:rPr>
        <w:t>validation); (B) Boruta variable importance (Z</w:t>
      </w:r>
      <w:r>
        <w:rPr>
          <w:rFonts w:hint="eastAsia" w:ascii="Times New Roman" w:hAnsi="Times New Roman" w:cs="Times New Roman"/>
          <w:lang w:val="en-US" w:eastAsia="zh-CN"/>
        </w:rPr>
        <w:t>-</w:t>
      </w:r>
      <w:r>
        <w:rPr>
          <w:rFonts w:hint="eastAsia" w:ascii="Times New Roman" w:hAnsi="Times New Roman" w:cs="Times New Roman" w:eastAsiaTheme="minorEastAsia"/>
          <w:lang w:eastAsia="zh-CN"/>
        </w:rPr>
        <w:t>scores) with confirmed/rejected variables; (C) RF</w:t>
      </w:r>
      <w:r>
        <w:rPr>
          <w:rFonts w:hint="eastAsia" w:ascii="Times New Roman" w:hAnsi="Times New Roman" w:cs="Times New Roman"/>
          <w:lang w:val="en-US" w:eastAsia="zh-CN"/>
        </w:rPr>
        <w:t>-</w:t>
      </w:r>
      <w:r>
        <w:rPr>
          <w:rFonts w:hint="eastAsia" w:ascii="Times New Roman" w:hAnsi="Times New Roman" w:cs="Times New Roman" w:eastAsiaTheme="minorEastAsia"/>
          <w:lang w:eastAsia="zh-CN"/>
        </w:rPr>
        <w:t>RFE feature ranking based on mean decrease Gini; (D) Spearman correlation heatmap between the final selected features and key covariates (blue: negative, orange: positive), with |r| &lt; 0.8 indicating no severe multicollinearity; (E) Feature reduction trajectory: the gray dashed line indicates the optimal feature subset (n = 6), selected at the AUC plateau with Brier score, HL</w:t>
      </w:r>
      <w:r>
        <w:rPr>
          <w:rFonts w:hint="eastAsia" w:ascii="Times New Roman" w:hAnsi="Times New Roman" w:cs="Times New Roman"/>
          <w:lang w:val="en-US" w:eastAsia="zh-CN"/>
        </w:rPr>
        <w:t>-</w:t>
      </w:r>
      <w:r>
        <w:rPr>
          <w:rFonts w:hint="eastAsia" w:ascii="Times New Roman" w:hAnsi="Times New Roman" w:cs="Times New Roman" w:eastAsiaTheme="minorEastAsia"/>
          <w:i/>
          <w:iCs/>
          <w:lang w:eastAsia="zh-CN"/>
        </w:rPr>
        <w:t>P</w:t>
      </w:r>
      <w:r>
        <w:rPr>
          <w:rFonts w:hint="eastAsia" w:ascii="Times New Roman" w:hAnsi="Times New Roman" w:cs="Times New Roman" w:eastAsiaTheme="minorEastAsia"/>
          <w:lang w:eastAsia="zh-CN"/>
        </w:rPr>
        <w:t>, and DCA net benefit visualized as reference; (F) Final XGBoost model feature importance (impurity</w:t>
      </w:r>
      <w:r>
        <w:rPr>
          <w:rFonts w:hint="eastAsia" w:ascii="Times New Roman" w:hAnsi="Times New Roman" w:cs="Times New Roman"/>
          <w:lang w:val="en-US" w:eastAsia="zh-CN"/>
        </w:rPr>
        <w:t>-</w:t>
      </w:r>
      <w:r>
        <w:rPr>
          <w:rFonts w:hint="eastAsia" w:ascii="Times New Roman" w:hAnsi="Times New Roman" w:cs="Times New Roman" w:eastAsiaTheme="minorEastAsia"/>
          <w:lang w:eastAsia="zh-CN"/>
        </w:rPr>
        <w:t>based).</w:t>
      </w:r>
    </w:p>
    <w:p w14:paraId="744CF899">
      <w:pPr>
        <w:rPr>
          <w:rFonts w:hint="eastAsia" w:ascii="Times New Roman" w:hAnsi="Times New Roman" w:cs="Times New Roman" w:eastAsiaTheme="minorEastAsia"/>
          <w:lang w:eastAsia="zh-CN"/>
        </w:rPr>
      </w:pPr>
    </w:p>
    <w:p w14:paraId="62A72ADC">
      <w:pPr>
        <w:rPr>
          <w:rFonts w:hint="eastAsia" w:ascii="Times New Roman" w:hAnsi="Times New Roman" w:cs="Times New Roman" w:eastAsiaTheme="minorEastAsia"/>
          <w:b/>
          <w:bCs/>
          <w:lang w:eastAsia="zh-CN"/>
        </w:rPr>
      </w:pPr>
      <w:r>
        <w:rPr>
          <w:rFonts w:hint="eastAsia" w:ascii="Times New Roman" w:hAnsi="Times New Roman" w:cs="Times New Roman" w:eastAsiaTheme="minorEastAsia"/>
          <w:b/>
          <w:bCs/>
          <w:lang w:eastAsia="zh-CN"/>
        </w:rPr>
        <w:t>Supplementary Table S</w:t>
      </w:r>
      <w:r>
        <w:rPr>
          <w:rFonts w:hint="eastAsia" w:ascii="Times New Roman" w:hAnsi="Times New Roman" w:cs="Times New Roman"/>
          <w:b/>
          <w:bCs/>
          <w:lang w:val="en-US" w:eastAsia="zh-CN"/>
        </w:rPr>
        <w:t>8</w:t>
      </w:r>
      <w:r>
        <w:rPr>
          <w:rFonts w:hint="eastAsia" w:ascii="Times New Roman" w:hAnsi="Times New Roman" w:cs="Times New Roman" w:eastAsiaTheme="minorEastAsia"/>
          <w:b/>
          <w:bCs/>
          <w:lang w:eastAsia="zh-CN"/>
        </w:rPr>
        <w:t>. Feature selection stability across 1,000 bootstrap resamples.</w:t>
      </w:r>
    </w:p>
    <w:tbl>
      <w:tblPr>
        <w:tblStyle w:val="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2"/>
        <w:gridCol w:w="1854"/>
        <w:gridCol w:w="1827"/>
        <w:gridCol w:w="1890"/>
        <w:gridCol w:w="1776"/>
      </w:tblGrid>
      <w:tr w14:paraId="415F2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687" w:type="pct"/>
            <w:tcBorders>
              <w:top w:val="single" w:color="auto" w:sz="4" w:space="0"/>
              <w:left w:val="nil"/>
              <w:bottom w:val="single" w:color="auto" w:sz="4" w:space="0"/>
              <w:right w:val="nil"/>
            </w:tcBorders>
            <w:vAlign w:val="center"/>
          </w:tcPr>
          <w:p w14:paraId="55B96682">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sz w:val="20"/>
                <w:szCs w:val="20"/>
                <w:vertAlign w:val="baseline"/>
              </w:rPr>
            </w:pPr>
            <w:r>
              <w:rPr>
                <w:rFonts w:hint="default" w:ascii="Times New Roman" w:hAnsi="Times New Roman" w:eastAsia="var(--dsw-font-markdown-table-h" w:cs="Times New Roman"/>
                <w:b/>
                <w:bCs/>
                <w:i w:val="0"/>
                <w:iCs w:val="0"/>
                <w:caps w:val="0"/>
                <w:color w:val="0F1115"/>
                <w:spacing w:val="0"/>
                <w:kern w:val="0"/>
                <w:sz w:val="20"/>
                <w:szCs w:val="20"/>
                <w:lang w:val="en-US" w:eastAsia="zh-CN" w:bidi="ar"/>
              </w:rPr>
              <w:t>Index</w:t>
            </w:r>
          </w:p>
        </w:tc>
        <w:tc>
          <w:tcPr>
            <w:tcW w:w="1088" w:type="pct"/>
            <w:tcBorders>
              <w:top w:val="single" w:color="auto" w:sz="4" w:space="0"/>
              <w:left w:val="nil"/>
              <w:bottom w:val="single" w:color="auto" w:sz="4" w:space="0"/>
              <w:right w:val="nil"/>
            </w:tcBorders>
            <w:vAlign w:val="center"/>
          </w:tcPr>
          <w:p w14:paraId="2C47C8E9">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sz w:val="20"/>
                <w:szCs w:val="20"/>
                <w:vertAlign w:val="baseline"/>
              </w:rPr>
            </w:pPr>
            <w:r>
              <w:rPr>
                <w:rFonts w:hint="default" w:ascii="Times New Roman" w:hAnsi="Times New Roman" w:eastAsia="var(--dsw-font-markdown-table-h" w:cs="Times New Roman"/>
                <w:b/>
                <w:bCs/>
                <w:i w:val="0"/>
                <w:iCs w:val="0"/>
                <w:caps w:val="0"/>
                <w:color w:val="0F1115"/>
                <w:spacing w:val="0"/>
                <w:kern w:val="0"/>
                <w:sz w:val="20"/>
                <w:szCs w:val="20"/>
                <w:lang w:val="en-US" w:eastAsia="zh-CN" w:bidi="ar"/>
              </w:rPr>
              <w:t>LASSO selection frequency (%)</w:t>
            </w:r>
          </w:p>
        </w:tc>
        <w:tc>
          <w:tcPr>
            <w:tcW w:w="1072" w:type="pct"/>
            <w:tcBorders>
              <w:top w:val="single" w:color="auto" w:sz="4" w:space="0"/>
              <w:left w:val="nil"/>
              <w:bottom w:val="single" w:color="auto" w:sz="4" w:space="0"/>
              <w:right w:val="nil"/>
            </w:tcBorders>
            <w:vAlign w:val="center"/>
          </w:tcPr>
          <w:p w14:paraId="35561570">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sz w:val="20"/>
                <w:szCs w:val="20"/>
                <w:vertAlign w:val="baseline"/>
              </w:rPr>
            </w:pPr>
            <w:r>
              <w:rPr>
                <w:rFonts w:hint="default" w:ascii="Times New Roman" w:hAnsi="Times New Roman" w:eastAsia="var(--dsw-font-markdown-table-h" w:cs="Times New Roman"/>
                <w:b/>
                <w:bCs/>
                <w:i w:val="0"/>
                <w:iCs w:val="0"/>
                <w:caps w:val="0"/>
                <w:color w:val="0F1115"/>
                <w:spacing w:val="0"/>
                <w:kern w:val="0"/>
                <w:sz w:val="20"/>
                <w:szCs w:val="20"/>
                <w:lang w:val="en-US" w:eastAsia="zh-CN" w:bidi="ar"/>
              </w:rPr>
              <w:t>Boruta selection frequency (%)</w:t>
            </w:r>
          </w:p>
        </w:tc>
        <w:tc>
          <w:tcPr>
            <w:tcW w:w="1109" w:type="pct"/>
            <w:tcBorders>
              <w:top w:val="single" w:color="auto" w:sz="4" w:space="0"/>
              <w:left w:val="nil"/>
              <w:bottom w:val="single" w:color="auto" w:sz="4" w:space="0"/>
              <w:right w:val="nil"/>
            </w:tcBorders>
            <w:vAlign w:val="center"/>
          </w:tcPr>
          <w:p w14:paraId="455F0A43">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sz w:val="20"/>
                <w:szCs w:val="20"/>
                <w:vertAlign w:val="baseline"/>
              </w:rPr>
            </w:pPr>
            <w:r>
              <w:rPr>
                <w:rFonts w:hint="default" w:ascii="Times New Roman" w:hAnsi="Times New Roman" w:eastAsia="var(--dsw-font-markdown-table-h" w:cs="Times New Roman"/>
                <w:b/>
                <w:bCs/>
                <w:i w:val="0"/>
                <w:iCs w:val="0"/>
                <w:caps w:val="0"/>
                <w:color w:val="0F1115"/>
                <w:spacing w:val="0"/>
                <w:kern w:val="0"/>
                <w:sz w:val="20"/>
                <w:szCs w:val="20"/>
                <w:lang w:val="en-US" w:eastAsia="zh-CN" w:bidi="ar"/>
              </w:rPr>
              <w:t>RF-RFE selection frequency (%)</w:t>
            </w:r>
          </w:p>
        </w:tc>
        <w:tc>
          <w:tcPr>
            <w:tcW w:w="1042" w:type="pct"/>
            <w:tcBorders>
              <w:top w:val="single" w:color="auto" w:sz="4" w:space="0"/>
              <w:left w:val="nil"/>
              <w:bottom w:val="single" w:color="auto" w:sz="4" w:space="0"/>
              <w:right w:val="nil"/>
            </w:tcBorders>
            <w:vAlign w:val="center"/>
          </w:tcPr>
          <w:p w14:paraId="45EDB7FC">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sz w:val="20"/>
                <w:szCs w:val="20"/>
                <w:vertAlign w:val="baseline"/>
              </w:rPr>
            </w:pPr>
            <w:r>
              <w:rPr>
                <w:rFonts w:hint="default" w:ascii="Times New Roman" w:hAnsi="Times New Roman" w:eastAsia="var(--dsw-font-markdown-table-h" w:cs="Times New Roman"/>
                <w:b/>
                <w:bCs/>
                <w:i w:val="0"/>
                <w:iCs w:val="0"/>
                <w:caps w:val="0"/>
                <w:color w:val="0F1115"/>
                <w:spacing w:val="0"/>
                <w:kern w:val="0"/>
                <w:sz w:val="20"/>
                <w:szCs w:val="20"/>
                <w:lang w:val="en-US" w:eastAsia="zh-CN" w:bidi="ar"/>
              </w:rPr>
              <w:t>Mean selection frequency (%)</w:t>
            </w:r>
          </w:p>
        </w:tc>
      </w:tr>
      <w:tr w14:paraId="56457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7" w:type="pct"/>
            <w:tcBorders>
              <w:top w:val="single" w:color="auto" w:sz="4" w:space="0"/>
              <w:left w:val="nil"/>
              <w:bottom w:val="nil"/>
              <w:right w:val="nil"/>
            </w:tcBorders>
            <w:vAlign w:val="center"/>
          </w:tcPr>
          <w:p w14:paraId="309D0DD9">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TyG-CVAI</w:t>
            </w:r>
          </w:p>
        </w:tc>
        <w:tc>
          <w:tcPr>
            <w:tcW w:w="1088" w:type="pct"/>
            <w:tcBorders>
              <w:top w:val="single" w:color="auto" w:sz="4" w:space="0"/>
              <w:left w:val="nil"/>
              <w:bottom w:val="nil"/>
              <w:right w:val="nil"/>
            </w:tcBorders>
            <w:vAlign w:val="center"/>
          </w:tcPr>
          <w:p w14:paraId="56393841">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100.0</w:t>
            </w:r>
          </w:p>
        </w:tc>
        <w:tc>
          <w:tcPr>
            <w:tcW w:w="1072" w:type="pct"/>
            <w:tcBorders>
              <w:top w:val="single" w:color="auto" w:sz="4" w:space="0"/>
              <w:left w:val="nil"/>
              <w:bottom w:val="nil"/>
              <w:right w:val="nil"/>
            </w:tcBorders>
            <w:vAlign w:val="center"/>
          </w:tcPr>
          <w:p w14:paraId="07E793DF">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100.0</w:t>
            </w:r>
          </w:p>
        </w:tc>
        <w:tc>
          <w:tcPr>
            <w:tcW w:w="1109" w:type="pct"/>
            <w:tcBorders>
              <w:top w:val="single" w:color="auto" w:sz="4" w:space="0"/>
              <w:left w:val="nil"/>
              <w:bottom w:val="nil"/>
              <w:right w:val="nil"/>
            </w:tcBorders>
            <w:vAlign w:val="center"/>
          </w:tcPr>
          <w:p w14:paraId="6037DF26">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100.0</w:t>
            </w:r>
          </w:p>
        </w:tc>
        <w:tc>
          <w:tcPr>
            <w:tcW w:w="1042" w:type="pct"/>
            <w:tcBorders>
              <w:top w:val="single" w:color="auto" w:sz="4" w:space="0"/>
              <w:left w:val="nil"/>
              <w:bottom w:val="nil"/>
              <w:right w:val="nil"/>
            </w:tcBorders>
            <w:vAlign w:val="center"/>
          </w:tcPr>
          <w:p w14:paraId="7628844B">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100.0</w:t>
            </w:r>
          </w:p>
        </w:tc>
      </w:tr>
      <w:tr w14:paraId="15E84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7" w:type="pct"/>
            <w:tcBorders>
              <w:top w:val="nil"/>
              <w:left w:val="nil"/>
              <w:bottom w:val="nil"/>
              <w:right w:val="nil"/>
            </w:tcBorders>
            <w:vAlign w:val="center"/>
          </w:tcPr>
          <w:p w14:paraId="572366E6">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TyG-LAP</w:t>
            </w:r>
          </w:p>
        </w:tc>
        <w:tc>
          <w:tcPr>
            <w:tcW w:w="1088" w:type="pct"/>
            <w:tcBorders>
              <w:top w:val="nil"/>
              <w:left w:val="nil"/>
              <w:bottom w:val="nil"/>
              <w:right w:val="nil"/>
            </w:tcBorders>
            <w:vAlign w:val="center"/>
          </w:tcPr>
          <w:p w14:paraId="0F81F642">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98.4</w:t>
            </w:r>
          </w:p>
        </w:tc>
        <w:tc>
          <w:tcPr>
            <w:tcW w:w="1072" w:type="pct"/>
            <w:tcBorders>
              <w:top w:val="nil"/>
              <w:left w:val="nil"/>
              <w:bottom w:val="nil"/>
              <w:right w:val="nil"/>
            </w:tcBorders>
            <w:vAlign w:val="center"/>
          </w:tcPr>
          <w:p w14:paraId="18AB7CAF">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100.0</w:t>
            </w:r>
          </w:p>
        </w:tc>
        <w:tc>
          <w:tcPr>
            <w:tcW w:w="1109" w:type="pct"/>
            <w:tcBorders>
              <w:top w:val="nil"/>
              <w:left w:val="nil"/>
              <w:bottom w:val="nil"/>
              <w:right w:val="nil"/>
            </w:tcBorders>
            <w:vAlign w:val="center"/>
          </w:tcPr>
          <w:p w14:paraId="6294F2B4">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97.5</w:t>
            </w:r>
          </w:p>
        </w:tc>
        <w:tc>
          <w:tcPr>
            <w:tcW w:w="1042" w:type="pct"/>
            <w:tcBorders>
              <w:top w:val="nil"/>
              <w:left w:val="nil"/>
              <w:bottom w:val="nil"/>
              <w:right w:val="nil"/>
            </w:tcBorders>
            <w:vAlign w:val="center"/>
          </w:tcPr>
          <w:p w14:paraId="11D41E69">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98.6</w:t>
            </w:r>
          </w:p>
        </w:tc>
      </w:tr>
      <w:tr w14:paraId="36460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7" w:type="pct"/>
            <w:tcBorders>
              <w:top w:val="nil"/>
              <w:left w:val="nil"/>
              <w:bottom w:val="nil"/>
              <w:right w:val="nil"/>
            </w:tcBorders>
            <w:vAlign w:val="center"/>
          </w:tcPr>
          <w:p w14:paraId="5DD669E8">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TyG-VAI</w:t>
            </w:r>
          </w:p>
        </w:tc>
        <w:tc>
          <w:tcPr>
            <w:tcW w:w="1088" w:type="pct"/>
            <w:tcBorders>
              <w:top w:val="nil"/>
              <w:left w:val="nil"/>
              <w:bottom w:val="nil"/>
              <w:right w:val="nil"/>
            </w:tcBorders>
            <w:vAlign w:val="center"/>
          </w:tcPr>
          <w:p w14:paraId="5EDC18CF">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94.9</w:t>
            </w:r>
          </w:p>
        </w:tc>
        <w:tc>
          <w:tcPr>
            <w:tcW w:w="1072" w:type="pct"/>
            <w:tcBorders>
              <w:top w:val="nil"/>
              <w:left w:val="nil"/>
              <w:bottom w:val="nil"/>
              <w:right w:val="nil"/>
            </w:tcBorders>
            <w:vAlign w:val="center"/>
          </w:tcPr>
          <w:p w14:paraId="33FC0DA8">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100.0</w:t>
            </w:r>
          </w:p>
        </w:tc>
        <w:tc>
          <w:tcPr>
            <w:tcW w:w="1109" w:type="pct"/>
            <w:tcBorders>
              <w:top w:val="nil"/>
              <w:left w:val="nil"/>
              <w:bottom w:val="nil"/>
              <w:right w:val="nil"/>
            </w:tcBorders>
            <w:vAlign w:val="center"/>
          </w:tcPr>
          <w:p w14:paraId="1CEE2BA5">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99.3</w:t>
            </w:r>
          </w:p>
        </w:tc>
        <w:tc>
          <w:tcPr>
            <w:tcW w:w="1042" w:type="pct"/>
            <w:tcBorders>
              <w:top w:val="nil"/>
              <w:left w:val="nil"/>
              <w:bottom w:val="nil"/>
              <w:right w:val="nil"/>
            </w:tcBorders>
            <w:vAlign w:val="center"/>
          </w:tcPr>
          <w:p w14:paraId="409EA3D1">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98.1</w:t>
            </w:r>
          </w:p>
        </w:tc>
      </w:tr>
      <w:tr w14:paraId="1C5B6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7" w:type="pct"/>
            <w:tcBorders>
              <w:top w:val="nil"/>
              <w:left w:val="nil"/>
              <w:bottom w:val="nil"/>
              <w:right w:val="nil"/>
            </w:tcBorders>
            <w:vAlign w:val="center"/>
          </w:tcPr>
          <w:p w14:paraId="160E7700">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CVAI</w:t>
            </w:r>
          </w:p>
        </w:tc>
        <w:tc>
          <w:tcPr>
            <w:tcW w:w="1088" w:type="pct"/>
            <w:tcBorders>
              <w:top w:val="nil"/>
              <w:left w:val="nil"/>
              <w:bottom w:val="nil"/>
              <w:right w:val="nil"/>
            </w:tcBorders>
            <w:vAlign w:val="center"/>
          </w:tcPr>
          <w:p w14:paraId="5BACCEA5">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89.2</w:t>
            </w:r>
          </w:p>
        </w:tc>
        <w:tc>
          <w:tcPr>
            <w:tcW w:w="1072" w:type="pct"/>
            <w:tcBorders>
              <w:top w:val="nil"/>
              <w:left w:val="nil"/>
              <w:bottom w:val="nil"/>
              <w:right w:val="nil"/>
            </w:tcBorders>
            <w:vAlign w:val="center"/>
          </w:tcPr>
          <w:p w14:paraId="714128E4">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100.0</w:t>
            </w:r>
          </w:p>
        </w:tc>
        <w:tc>
          <w:tcPr>
            <w:tcW w:w="1109" w:type="pct"/>
            <w:tcBorders>
              <w:top w:val="nil"/>
              <w:left w:val="nil"/>
              <w:bottom w:val="nil"/>
              <w:right w:val="nil"/>
            </w:tcBorders>
            <w:vAlign w:val="center"/>
          </w:tcPr>
          <w:p w14:paraId="092CC254">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100.0</w:t>
            </w:r>
          </w:p>
        </w:tc>
        <w:tc>
          <w:tcPr>
            <w:tcW w:w="1042" w:type="pct"/>
            <w:tcBorders>
              <w:top w:val="nil"/>
              <w:left w:val="nil"/>
              <w:bottom w:val="nil"/>
              <w:right w:val="nil"/>
            </w:tcBorders>
            <w:vAlign w:val="center"/>
          </w:tcPr>
          <w:p w14:paraId="075F5289">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96.4</w:t>
            </w:r>
          </w:p>
        </w:tc>
      </w:tr>
      <w:tr w14:paraId="2D803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7" w:type="pct"/>
            <w:tcBorders>
              <w:top w:val="nil"/>
              <w:left w:val="nil"/>
              <w:bottom w:val="nil"/>
              <w:right w:val="nil"/>
            </w:tcBorders>
            <w:vAlign w:val="center"/>
          </w:tcPr>
          <w:p w14:paraId="789B9F57">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TyG-WC</w:t>
            </w:r>
          </w:p>
        </w:tc>
        <w:tc>
          <w:tcPr>
            <w:tcW w:w="1088" w:type="pct"/>
            <w:tcBorders>
              <w:top w:val="nil"/>
              <w:left w:val="nil"/>
              <w:bottom w:val="nil"/>
              <w:right w:val="nil"/>
            </w:tcBorders>
            <w:vAlign w:val="center"/>
          </w:tcPr>
          <w:p w14:paraId="34E95807">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85.2</w:t>
            </w:r>
          </w:p>
        </w:tc>
        <w:tc>
          <w:tcPr>
            <w:tcW w:w="1072" w:type="pct"/>
            <w:tcBorders>
              <w:top w:val="nil"/>
              <w:left w:val="nil"/>
              <w:bottom w:val="nil"/>
              <w:right w:val="nil"/>
            </w:tcBorders>
            <w:vAlign w:val="center"/>
          </w:tcPr>
          <w:p w14:paraId="206F7684">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100.0</w:t>
            </w:r>
          </w:p>
        </w:tc>
        <w:tc>
          <w:tcPr>
            <w:tcW w:w="1109" w:type="pct"/>
            <w:tcBorders>
              <w:top w:val="nil"/>
              <w:left w:val="nil"/>
              <w:bottom w:val="nil"/>
              <w:right w:val="nil"/>
            </w:tcBorders>
            <w:vAlign w:val="center"/>
          </w:tcPr>
          <w:p w14:paraId="6D08CCF4">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89.6</w:t>
            </w:r>
          </w:p>
        </w:tc>
        <w:tc>
          <w:tcPr>
            <w:tcW w:w="1042" w:type="pct"/>
            <w:tcBorders>
              <w:top w:val="nil"/>
              <w:left w:val="nil"/>
              <w:bottom w:val="nil"/>
              <w:right w:val="nil"/>
            </w:tcBorders>
            <w:vAlign w:val="center"/>
          </w:tcPr>
          <w:p w14:paraId="69B0AFFC">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91.6</w:t>
            </w:r>
          </w:p>
        </w:tc>
      </w:tr>
      <w:tr w14:paraId="3C8C2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7" w:type="pct"/>
            <w:tcBorders>
              <w:top w:val="nil"/>
              <w:left w:val="nil"/>
              <w:bottom w:val="nil"/>
              <w:right w:val="nil"/>
            </w:tcBorders>
            <w:vAlign w:val="center"/>
          </w:tcPr>
          <w:p w14:paraId="421D93EF">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TyG-BMI</w:t>
            </w:r>
          </w:p>
        </w:tc>
        <w:tc>
          <w:tcPr>
            <w:tcW w:w="1088" w:type="pct"/>
            <w:tcBorders>
              <w:top w:val="nil"/>
              <w:left w:val="nil"/>
              <w:bottom w:val="nil"/>
              <w:right w:val="nil"/>
            </w:tcBorders>
            <w:vAlign w:val="center"/>
          </w:tcPr>
          <w:p w14:paraId="596E4ECB">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87.8</w:t>
            </w:r>
          </w:p>
        </w:tc>
        <w:tc>
          <w:tcPr>
            <w:tcW w:w="1072" w:type="pct"/>
            <w:tcBorders>
              <w:top w:val="nil"/>
              <w:left w:val="nil"/>
              <w:bottom w:val="nil"/>
              <w:right w:val="nil"/>
            </w:tcBorders>
            <w:vAlign w:val="center"/>
          </w:tcPr>
          <w:p w14:paraId="5E71DCCB">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100.0</w:t>
            </w:r>
          </w:p>
        </w:tc>
        <w:tc>
          <w:tcPr>
            <w:tcW w:w="1109" w:type="pct"/>
            <w:tcBorders>
              <w:top w:val="nil"/>
              <w:left w:val="nil"/>
              <w:bottom w:val="nil"/>
              <w:right w:val="nil"/>
            </w:tcBorders>
            <w:vAlign w:val="center"/>
          </w:tcPr>
          <w:p w14:paraId="3F763494">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64.5</w:t>
            </w:r>
          </w:p>
        </w:tc>
        <w:tc>
          <w:tcPr>
            <w:tcW w:w="1042" w:type="pct"/>
            <w:tcBorders>
              <w:top w:val="nil"/>
              <w:left w:val="nil"/>
              <w:bottom w:val="nil"/>
              <w:right w:val="nil"/>
            </w:tcBorders>
            <w:vAlign w:val="center"/>
          </w:tcPr>
          <w:p w14:paraId="335766FE">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84.1</w:t>
            </w:r>
          </w:p>
        </w:tc>
      </w:tr>
      <w:tr w14:paraId="00C3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7" w:type="pct"/>
            <w:tcBorders>
              <w:top w:val="nil"/>
              <w:left w:val="nil"/>
              <w:bottom w:val="nil"/>
              <w:right w:val="nil"/>
            </w:tcBorders>
            <w:vAlign w:val="center"/>
          </w:tcPr>
          <w:p w14:paraId="2E81CCE9">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TyG</w:t>
            </w:r>
          </w:p>
        </w:tc>
        <w:tc>
          <w:tcPr>
            <w:tcW w:w="1088" w:type="pct"/>
            <w:tcBorders>
              <w:top w:val="nil"/>
              <w:left w:val="nil"/>
              <w:bottom w:val="nil"/>
              <w:right w:val="nil"/>
            </w:tcBorders>
            <w:vAlign w:val="center"/>
          </w:tcPr>
          <w:p w14:paraId="42E25938">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89.8</w:t>
            </w:r>
          </w:p>
        </w:tc>
        <w:tc>
          <w:tcPr>
            <w:tcW w:w="1072" w:type="pct"/>
            <w:tcBorders>
              <w:top w:val="nil"/>
              <w:left w:val="nil"/>
              <w:bottom w:val="nil"/>
              <w:right w:val="nil"/>
            </w:tcBorders>
            <w:vAlign w:val="center"/>
          </w:tcPr>
          <w:p w14:paraId="7444FB2D">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100.0</w:t>
            </w:r>
          </w:p>
        </w:tc>
        <w:tc>
          <w:tcPr>
            <w:tcW w:w="1109" w:type="pct"/>
            <w:tcBorders>
              <w:top w:val="nil"/>
              <w:left w:val="nil"/>
              <w:bottom w:val="nil"/>
              <w:right w:val="nil"/>
            </w:tcBorders>
            <w:vAlign w:val="center"/>
          </w:tcPr>
          <w:p w14:paraId="0D3746D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59.4</w:t>
            </w:r>
          </w:p>
        </w:tc>
        <w:tc>
          <w:tcPr>
            <w:tcW w:w="1042" w:type="pct"/>
            <w:tcBorders>
              <w:top w:val="nil"/>
              <w:left w:val="nil"/>
              <w:bottom w:val="nil"/>
              <w:right w:val="nil"/>
            </w:tcBorders>
            <w:vAlign w:val="center"/>
          </w:tcPr>
          <w:p w14:paraId="3720945B">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83.1</w:t>
            </w:r>
          </w:p>
        </w:tc>
      </w:tr>
      <w:tr w14:paraId="10D27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7" w:type="pct"/>
            <w:tcBorders>
              <w:top w:val="nil"/>
              <w:left w:val="nil"/>
              <w:bottom w:val="nil"/>
              <w:right w:val="nil"/>
            </w:tcBorders>
            <w:vAlign w:val="center"/>
          </w:tcPr>
          <w:p w14:paraId="2556AD42">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TyG-BRI</w:t>
            </w:r>
          </w:p>
        </w:tc>
        <w:tc>
          <w:tcPr>
            <w:tcW w:w="1088" w:type="pct"/>
            <w:tcBorders>
              <w:top w:val="nil"/>
              <w:left w:val="nil"/>
              <w:bottom w:val="nil"/>
              <w:right w:val="nil"/>
            </w:tcBorders>
            <w:vAlign w:val="center"/>
          </w:tcPr>
          <w:p w14:paraId="7BF2885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78.3</w:t>
            </w:r>
          </w:p>
        </w:tc>
        <w:tc>
          <w:tcPr>
            <w:tcW w:w="1072" w:type="pct"/>
            <w:tcBorders>
              <w:top w:val="nil"/>
              <w:left w:val="nil"/>
              <w:bottom w:val="nil"/>
              <w:right w:val="nil"/>
            </w:tcBorders>
            <w:vAlign w:val="center"/>
          </w:tcPr>
          <w:p w14:paraId="496E1F41">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100.0</w:t>
            </w:r>
          </w:p>
        </w:tc>
        <w:tc>
          <w:tcPr>
            <w:tcW w:w="1109" w:type="pct"/>
            <w:tcBorders>
              <w:top w:val="nil"/>
              <w:left w:val="nil"/>
              <w:bottom w:val="nil"/>
              <w:right w:val="nil"/>
            </w:tcBorders>
            <w:vAlign w:val="center"/>
          </w:tcPr>
          <w:p w14:paraId="15D2547C">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42.8</w:t>
            </w:r>
          </w:p>
        </w:tc>
        <w:tc>
          <w:tcPr>
            <w:tcW w:w="1042" w:type="pct"/>
            <w:tcBorders>
              <w:top w:val="nil"/>
              <w:left w:val="nil"/>
              <w:bottom w:val="nil"/>
              <w:right w:val="nil"/>
            </w:tcBorders>
            <w:vAlign w:val="center"/>
          </w:tcPr>
          <w:p w14:paraId="5D4300C7">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73.7</w:t>
            </w:r>
          </w:p>
        </w:tc>
      </w:tr>
      <w:tr w14:paraId="2FDF0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7" w:type="pct"/>
            <w:tcBorders>
              <w:top w:val="nil"/>
              <w:left w:val="nil"/>
              <w:bottom w:val="nil"/>
              <w:right w:val="nil"/>
            </w:tcBorders>
            <w:vAlign w:val="center"/>
          </w:tcPr>
          <w:p w14:paraId="21A0691A">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TyG-ABSI</w:t>
            </w:r>
          </w:p>
        </w:tc>
        <w:tc>
          <w:tcPr>
            <w:tcW w:w="1088" w:type="pct"/>
            <w:tcBorders>
              <w:top w:val="nil"/>
              <w:left w:val="nil"/>
              <w:bottom w:val="nil"/>
              <w:right w:val="nil"/>
            </w:tcBorders>
            <w:vAlign w:val="center"/>
          </w:tcPr>
          <w:p w14:paraId="0C7A24D7">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79.7</w:t>
            </w:r>
          </w:p>
        </w:tc>
        <w:tc>
          <w:tcPr>
            <w:tcW w:w="1072" w:type="pct"/>
            <w:tcBorders>
              <w:top w:val="nil"/>
              <w:left w:val="nil"/>
              <w:bottom w:val="nil"/>
              <w:right w:val="nil"/>
            </w:tcBorders>
            <w:vAlign w:val="center"/>
          </w:tcPr>
          <w:p w14:paraId="0A5EAA8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100.0</w:t>
            </w:r>
          </w:p>
        </w:tc>
        <w:tc>
          <w:tcPr>
            <w:tcW w:w="1109" w:type="pct"/>
            <w:tcBorders>
              <w:top w:val="nil"/>
              <w:left w:val="nil"/>
              <w:bottom w:val="nil"/>
              <w:right w:val="nil"/>
            </w:tcBorders>
            <w:vAlign w:val="center"/>
          </w:tcPr>
          <w:p w14:paraId="52DEE4B7">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22.2</w:t>
            </w:r>
          </w:p>
        </w:tc>
        <w:tc>
          <w:tcPr>
            <w:tcW w:w="1042" w:type="pct"/>
            <w:tcBorders>
              <w:top w:val="nil"/>
              <w:left w:val="nil"/>
              <w:bottom w:val="nil"/>
              <w:right w:val="nil"/>
            </w:tcBorders>
            <w:vAlign w:val="center"/>
          </w:tcPr>
          <w:p w14:paraId="78C664AD">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67.3</w:t>
            </w:r>
          </w:p>
        </w:tc>
      </w:tr>
      <w:tr w14:paraId="18D21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7" w:type="pct"/>
            <w:tcBorders>
              <w:top w:val="nil"/>
              <w:left w:val="nil"/>
              <w:bottom w:val="nil"/>
              <w:right w:val="nil"/>
            </w:tcBorders>
            <w:vAlign w:val="center"/>
          </w:tcPr>
          <w:p w14:paraId="69F199DB">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TyG-WWI</w:t>
            </w:r>
          </w:p>
        </w:tc>
        <w:tc>
          <w:tcPr>
            <w:tcW w:w="1088" w:type="pct"/>
            <w:tcBorders>
              <w:top w:val="nil"/>
              <w:left w:val="nil"/>
              <w:bottom w:val="nil"/>
              <w:right w:val="nil"/>
            </w:tcBorders>
            <w:vAlign w:val="center"/>
          </w:tcPr>
          <w:p w14:paraId="22026728">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89.2</w:t>
            </w:r>
          </w:p>
        </w:tc>
        <w:tc>
          <w:tcPr>
            <w:tcW w:w="1072" w:type="pct"/>
            <w:tcBorders>
              <w:top w:val="nil"/>
              <w:left w:val="nil"/>
              <w:bottom w:val="nil"/>
              <w:right w:val="nil"/>
            </w:tcBorders>
            <w:vAlign w:val="center"/>
          </w:tcPr>
          <w:p w14:paraId="1B6078E9">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100.0</w:t>
            </w:r>
          </w:p>
        </w:tc>
        <w:tc>
          <w:tcPr>
            <w:tcW w:w="1109" w:type="pct"/>
            <w:tcBorders>
              <w:top w:val="nil"/>
              <w:left w:val="nil"/>
              <w:bottom w:val="nil"/>
              <w:right w:val="nil"/>
            </w:tcBorders>
            <w:vAlign w:val="center"/>
          </w:tcPr>
          <w:p w14:paraId="6330F6EF">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10.9</w:t>
            </w:r>
          </w:p>
        </w:tc>
        <w:tc>
          <w:tcPr>
            <w:tcW w:w="1042" w:type="pct"/>
            <w:tcBorders>
              <w:top w:val="nil"/>
              <w:left w:val="nil"/>
              <w:bottom w:val="nil"/>
              <w:right w:val="nil"/>
            </w:tcBorders>
            <w:vAlign w:val="center"/>
          </w:tcPr>
          <w:p w14:paraId="0C8A191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66.7</w:t>
            </w:r>
          </w:p>
        </w:tc>
      </w:tr>
      <w:tr w14:paraId="73474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87" w:type="pct"/>
            <w:tcBorders>
              <w:top w:val="nil"/>
              <w:left w:val="nil"/>
              <w:bottom w:val="single" w:color="auto" w:sz="4" w:space="0"/>
              <w:right w:val="nil"/>
            </w:tcBorders>
            <w:vAlign w:val="center"/>
          </w:tcPr>
          <w:p w14:paraId="046FDD0B">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TyG-WHtR</w:t>
            </w:r>
          </w:p>
        </w:tc>
        <w:tc>
          <w:tcPr>
            <w:tcW w:w="1088" w:type="pct"/>
            <w:tcBorders>
              <w:top w:val="nil"/>
              <w:left w:val="nil"/>
              <w:bottom w:val="single" w:color="auto" w:sz="4" w:space="0"/>
              <w:right w:val="nil"/>
            </w:tcBorders>
            <w:vAlign w:val="center"/>
          </w:tcPr>
          <w:p w14:paraId="5AE42907">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74.0</w:t>
            </w:r>
          </w:p>
        </w:tc>
        <w:tc>
          <w:tcPr>
            <w:tcW w:w="1072" w:type="pct"/>
            <w:tcBorders>
              <w:top w:val="nil"/>
              <w:left w:val="nil"/>
              <w:bottom w:val="single" w:color="auto" w:sz="4" w:space="0"/>
              <w:right w:val="nil"/>
            </w:tcBorders>
            <w:vAlign w:val="center"/>
          </w:tcPr>
          <w:p w14:paraId="42D3F782">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100.0</w:t>
            </w:r>
          </w:p>
        </w:tc>
        <w:tc>
          <w:tcPr>
            <w:tcW w:w="1109" w:type="pct"/>
            <w:tcBorders>
              <w:top w:val="nil"/>
              <w:left w:val="nil"/>
              <w:bottom w:val="single" w:color="auto" w:sz="4" w:space="0"/>
              <w:right w:val="nil"/>
            </w:tcBorders>
            <w:vAlign w:val="center"/>
          </w:tcPr>
          <w:p w14:paraId="672E9770">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13.8</w:t>
            </w:r>
          </w:p>
        </w:tc>
        <w:tc>
          <w:tcPr>
            <w:tcW w:w="1042" w:type="pct"/>
            <w:tcBorders>
              <w:top w:val="nil"/>
              <w:left w:val="nil"/>
              <w:bottom w:val="single" w:color="auto" w:sz="4" w:space="0"/>
              <w:right w:val="nil"/>
            </w:tcBorders>
            <w:vAlign w:val="center"/>
          </w:tcPr>
          <w:p w14:paraId="7052CD8D">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 w:cs="Times New Roman"/>
                <w:sz w:val="20"/>
                <w:szCs w:val="20"/>
                <w:vertAlign w:val="baseline"/>
              </w:rPr>
            </w:pPr>
            <w:r>
              <w:rPr>
                <w:rFonts w:hint="default" w:ascii="Times New Roman" w:hAnsi="Times New Roman" w:eastAsia="var(--dsw-font-markdown-table)" w:cs="Times New Roman"/>
                <w:i w:val="0"/>
                <w:iCs w:val="0"/>
                <w:caps w:val="0"/>
                <w:color w:val="0F1115"/>
                <w:spacing w:val="0"/>
                <w:kern w:val="0"/>
                <w:sz w:val="20"/>
                <w:szCs w:val="20"/>
                <w:lang w:val="en-US" w:eastAsia="zh-CN" w:bidi="ar"/>
              </w:rPr>
              <w:t>62.6</w:t>
            </w:r>
          </w:p>
        </w:tc>
      </w:tr>
    </w:tbl>
    <w:p w14:paraId="000D9BE5">
      <w:pPr>
        <w:rPr>
          <w:rFonts w:hint="default" w:ascii="Times New Roman" w:hAnsi="Times New Roman" w:cs="Times New Roman"/>
        </w:rPr>
      </w:pPr>
      <w:r>
        <w:rPr>
          <w:rFonts w:hint="default" w:ascii="Times New Roman" w:hAnsi="Times New Roman" w:cs="Times New Roman"/>
          <w:b/>
          <w:bCs/>
        </w:rPr>
        <w:t>Note:</w:t>
      </w:r>
      <w:r>
        <w:rPr>
          <w:rFonts w:hint="default" w:ascii="Times New Roman" w:hAnsi="Times New Roman" w:cs="Times New Roman"/>
        </w:rPr>
        <w:t xml:space="preserve"> Bootstrap resampling (1,000 iterations) was performed within the training set. In each resample, LASSO (</w:t>
      </w:r>
      <w:r>
        <w:rPr>
          <w:rFonts w:hint="eastAsia" w:ascii="Times New Roman" w:hAnsi="Times New Roman" w:cs="Times New Roman"/>
          <w:lang w:val="en-US" w:eastAsia="zh-CN"/>
        </w:rPr>
        <w:t>10</w:t>
      </w:r>
      <w:r>
        <w:rPr>
          <w:rFonts w:hint="default" w:ascii="Times New Roman" w:hAnsi="Times New Roman" w:cs="Times New Roman"/>
        </w:rPr>
        <w:t>-fold cross-validation), Boruta (50 random iterations), and RF-RFE were run separately. For RF-RFE, the number of top-ranked features selected was matched to the number of features selected by LASSO in the same resample. Selection frequency indicates the proportion of resamples in which each index was selected by the corresponding method. Mean selection frequency is the average across the three methods. TyG-CVAI was selected in 100% of resamples by all three methods, demonstrating the highest stability.</w:t>
      </w:r>
    </w:p>
    <w:p w14:paraId="53DD6A66">
      <w:pPr>
        <w:rPr>
          <w:rFonts w:hint="default" w:ascii="Times New Roman" w:hAnsi="Times New Roman" w:cs="Times New Roman" w:eastAsiaTheme="minorEastAsia"/>
          <w:b/>
          <w:bCs/>
          <w:color w:val="auto"/>
          <w:lang w:eastAsia="zh-CN"/>
        </w:rPr>
      </w:pPr>
    </w:p>
    <w:p w14:paraId="73CA87C7">
      <w:pPr>
        <w:rPr>
          <w:rFonts w:hint="eastAsia" w:ascii="Times New Roman" w:hAnsi="Times New Roman" w:cs="Times New Roman" w:eastAsiaTheme="minorEastAsia"/>
          <w:b/>
          <w:bCs/>
          <w:color w:val="auto"/>
          <w:lang w:eastAsia="zh-CN"/>
        </w:rPr>
      </w:pPr>
      <w:r>
        <w:rPr>
          <w:rFonts w:hint="default" w:ascii="Times New Roman" w:hAnsi="Times New Roman" w:cs="Times New Roman" w:eastAsiaTheme="minorEastAsia"/>
          <w:b/>
          <w:bCs/>
          <w:color w:val="auto"/>
          <w:lang w:eastAsia="zh-CN"/>
        </w:rPr>
        <w:t>Supplementary</w:t>
      </w:r>
      <w:r>
        <w:rPr>
          <w:rFonts w:hint="eastAsia" w:ascii="Times New Roman" w:hAnsi="Times New Roman" w:cs="Times New Roman"/>
          <w:b/>
          <w:bCs/>
          <w:color w:val="auto"/>
          <w:lang w:val="en-US" w:eastAsia="zh-CN"/>
        </w:rPr>
        <w:t xml:space="preserve"> </w:t>
      </w:r>
      <w:r>
        <w:rPr>
          <w:rFonts w:hint="default" w:ascii="Times New Roman" w:hAnsi="Times New Roman" w:cs="Times New Roman" w:eastAsiaTheme="minorEastAsia"/>
          <w:b/>
          <w:bCs/>
          <w:lang w:eastAsia="zh-CN"/>
        </w:rPr>
        <w:t xml:space="preserve">Table </w:t>
      </w:r>
      <w:r>
        <w:rPr>
          <w:rFonts w:hint="eastAsia" w:ascii="Times New Roman" w:hAnsi="Times New Roman" w:cs="Times New Roman"/>
          <w:b/>
          <w:bCs/>
          <w:lang w:val="en-US" w:eastAsia="zh-CN"/>
        </w:rPr>
        <w:t>S9</w:t>
      </w:r>
      <w:r>
        <w:rPr>
          <w:rFonts w:hint="default" w:ascii="Times New Roman" w:hAnsi="Times New Roman" w:cs="Times New Roman" w:eastAsiaTheme="minorEastAsia"/>
          <w:b/>
          <w:bCs/>
          <w:lang w:eastAsia="zh-CN"/>
        </w:rPr>
        <w:t>. Predictive performance of machine learning models on the test set</w:t>
      </w:r>
      <w:r>
        <w:rPr>
          <w:rFonts w:hint="eastAsia" w:ascii="Times New Roman" w:hAnsi="Times New Roman" w:cs="Times New Roman"/>
          <w:b/>
          <w:bCs/>
          <w:lang w:val="en-US" w:eastAsia="zh-CN"/>
        </w:rPr>
        <w:t>.</w:t>
      </w:r>
    </w:p>
    <w:tbl>
      <w:tblPr>
        <w:tblStyle w:val="3"/>
        <w:tblW w:w="51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30"/>
        <w:gridCol w:w="2217"/>
        <w:gridCol w:w="1248"/>
        <w:gridCol w:w="1220"/>
        <w:gridCol w:w="905"/>
        <w:gridCol w:w="802"/>
        <w:gridCol w:w="1072"/>
      </w:tblGrid>
      <w:tr w14:paraId="1BFA3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07" w:type="pct"/>
            <w:tcBorders>
              <w:top w:val="single" w:color="auto" w:sz="4" w:space="0"/>
              <w:left w:val="nil"/>
              <w:bottom w:val="single" w:color="auto" w:sz="4" w:space="0"/>
              <w:right w:val="nil"/>
            </w:tcBorders>
            <w:vAlign w:val="center"/>
          </w:tcPr>
          <w:p w14:paraId="31C76635">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b/>
                <w:bCs/>
                <w:sz w:val="20"/>
                <w:szCs w:val="20"/>
                <w:vertAlign w:val="baseline"/>
              </w:rPr>
            </w:pPr>
            <w:r>
              <w:rPr>
                <w:rFonts w:hint="default" w:ascii="Times New Roman" w:hAnsi="Times New Roman" w:eastAsia="宋体" w:cs="Times New Roman"/>
                <w:b/>
                <w:bCs/>
                <w:i w:val="0"/>
                <w:iCs w:val="0"/>
                <w:color w:val="000000"/>
                <w:kern w:val="0"/>
                <w:sz w:val="20"/>
                <w:szCs w:val="20"/>
                <w:u w:val="none"/>
                <w:lang w:val="en-US" w:eastAsia="zh-CN" w:bidi="ar"/>
              </w:rPr>
              <w:t>Model</w:t>
            </w:r>
          </w:p>
        </w:tc>
        <w:tc>
          <w:tcPr>
            <w:tcW w:w="1274" w:type="pct"/>
            <w:tcBorders>
              <w:top w:val="single" w:color="auto" w:sz="4" w:space="0"/>
              <w:left w:val="nil"/>
              <w:bottom w:val="single" w:color="auto" w:sz="4" w:space="0"/>
              <w:right w:val="nil"/>
            </w:tcBorders>
            <w:vAlign w:val="center"/>
          </w:tcPr>
          <w:p w14:paraId="5C529BAA">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b/>
                <w:bCs/>
                <w:sz w:val="20"/>
                <w:szCs w:val="20"/>
                <w:vertAlign w:val="baseline"/>
              </w:rPr>
            </w:pPr>
            <w:r>
              <w:rPr>
                <w:rFonts w:hint="default" w:ascii="Times New Roman" w:hAnsi="Times New Roman" w:eastAsia="宋体" w:cs="Times New Roman"/>
                <w:b/>
                <w:bCs/>
                <w:i w:val="0"/>
                <w:iCs w:val="0"/>
                <w:color w:val="000000"/>
                <w:kern w:val="0"/>
                <w:sz w:val="20"/>
                <w:szCs w:val="20"/>
                <w:u w:val="none"/>
                <w:lang w:val="en-US" w:eastAsia="zh-CN" w:bidi="ar"/>
              </w:rPr>
              <w:t>AUC (95% CI)</w:t>
            </w:r>
          </w:p>
        </w:tc>
        <w:tc>
          <w:tcPr>
            <w:tcW w:w="717" w:type="pct"/>
            <w:tcBorders>
              <w:top w:val="single" w:color="auto" w:sz="4" w:space="0"/>
              <w:left w:val="nil"/>
              <w:bottom w:val="single" w:color="auto" w:sz="4" w:space="0"/>
              <w:right w:val="nil"/>
            </w:tcBorders>
            <w:vAlign w:val="center"/>
          </w:tcPr>
          <w:p w14:paraId="3B4BEDC3">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b/>
                <w:bCs/>
                <w:sz w:val="20"/>
                <w:szCs w:val="20"/>
                <w:vertAlign w:val="baseline"/>
              </w:rPr>
            </w:pPr>
            <w:r>
              <w:rPr>
                <w:rFonts w:hint="default" w:ascii="Times New Roman" w:hAnsi="Times New Roman" w:eastAsia="宋体" w:cs="Times New Roman"/>
                <w:b/>
                <w:bCs/>
                <w:i w:val="0"/>
                <w:iCs w:val="0"/>
                <w:color w:val="000000"/>
                <w:kern w:val="0"/>
                <w:sz w:val="20"/>
                <w:szCs w:val="20"/>
                <w:u w:val="none"/>
                <w:lang w:val="en-US" w:eastAsia="zh-CN" w:bidi="ar"/>
              </w:rPr>
              <w:t>Accuracy</w:t>
            </w:r>
          </w:p>
        </w:tc>
        <w:tc>
          <w:tcPr>
            <w:tcW w:w="701" w:type="pct"/>
            <w:tcBorders>
              <w:top w:val="single" w:color="auto" w:sz="4" w:space="0"/>
              <w:left w:val="nil"/>
              <w:bottom w:val="single" w:color="auto" w:sz="4" w:space="0"/>
              <w:right w:val="nil"/>
            </w:tcBorders>
            <w:vAlign w:val="center"/>
          </w:tcPr>
          <w:p w14:paraId="5DF5FED5">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b/>
                <w:bCs/>
                <w:sz w:val="20"/>
                <w:szCs w:val="20"/>
                <w:vertAlign w:val="baseline"/>
              </w:rPr>
            </w:pPr>
            <w:r>
              <w:rPr>
                <w:rFonts w:hint="default" w:ascii="Times New Roman" w:hAnsi="Times New Roman" w:eastAsia="宋体" w:cs="Times New Roman"/>
                <w:b/>
                <w:bCs/>
                <w:i w:val="0"/>
                <w:iCs w:val="0"/>
                <w:color w:val="000000"/>
                <w:kern w:val="0"/>
                <w:sz w:val="20"/>
                <w:szCs w:val="20"/>
                <w:u w:val="none"/>
                <w:lang w:val="en-US" w:eastAsia="zh-CN" w:bidi="ar"/>
              </w:rPr>
              <w:t>Precision</w:t>
            </w:r>
          </w:p>
        </w:tc>
        <w:tc>
          <w:tcPr>
            <w:tcW w:w="520" w:type="pct"/>
            <w:tcBorders>
              <w:top w:val="single" w:color="auto" w:sz="4" w:space="0"/>
              <w:left w:val="nil"/>
              <w:bottom w:val="single" w:color="auto" w:sz="4" w:space="0"/>
              <w:right w:val="nil"/>
            </w:tcBorders>
            <w:vAlign w:val="center"/>
          </w:tcPr>
          <w:p w14:paraId="3F24EA94">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b/>
                <w:bCs/>
                <w:sz w:val="20"/>
                <w:szCs w:val="20"/>
                <w:vertAlign w:val="baseline"/>
              </w:rPr>
            </w:pPr>
            <w:r>
              <w:rPr>
                <w:rFonts w:hint="default" w:ascii="Times New Roman" w:hAnsi="Times New Roman" w:eastAsia="宋体" w:cs="Times New Roman"/>
                <w:b/>
                <w:bCs/>
                <w:i w:val="0"/>
                <w:iCs w:val="0"/>
                <w:color w:val="000000"/>
                <w:kern w:val="0"/>
                <w:sz w:val="20"/>
                <w:szCs w:val="20"/>
                <w:u w:val="none"/>
                <w:lang w:val="en-US" w:eastAsia="zh-CN" w:bidi="ar"/>
              </w:rPr>
              <w:t>Recall</w:t>
            </w:r>
          </w:p>
        </w:tc>
        <w:tc>
          <w:tcPr>
            <w:tcW w:w="461" w:type="pct"/>
            <w:tcBorders>
              <w:top w:val="single" w:color="auto" w:sz="4" w:space="0"/>
              <w:left w:val="nil"/>
              <w:bottom w:val="single" w:color="auto" w:sz="4" w:space="0"/>
              <w:right w:val="nil"/>
            </w:tcBorders>
            <w:vAlign w:val="center"/>
          </w:tcPr>
          <w:p w14:paraId="6AFF9109">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b/>
                <w:bCs/>
                <w:sz w:val="20"/>
                <w:szCs w:val="20"/>
                <w:vertAlign w:val="baseline"/>
              </w:rPr>
            </w:pPr>
            <w:r>
              <w:rPr>
                <w:rFonts w:hint="default" w:ascii="Times New Roman" w:hAnsi="Times New Roman" w:eastAsia="宋体" w:cs="Times New Roman"/>
                <w:b/>
                <w:bCs/>
                <w:i w:val="0"/>
                <w:iCs w:val="0"/>
                <w:color w:val="000000"/>
                <w:kern w:val="0"/>
                <w:sz w:val="20"/>
                <w:szCs w:val="20"/>
                <w:u w:val="none"/>
                <w:lang w:val="en-US" w:eastAsia="zh-CN" w:bidi="ar"/>
              </w:rPr>
              <w:t>F1</w:t>
            </w:r>
          </w:p>
        </w:tc>
        <w:tc>
          <w:tcPr>
            <w:tcW w:w="616" w:type="pct"/>
            <w:tcBorders>
              <w:top w:val="single" w:color="auto" w:sz="4" w:space="0"/>
              <w:left w:val="nil"/>
              <w:bottom w:val="single" w:color="auto" w:sz="4" w:space="0"/>
              <w:right w:val="nil"/>
            </w:tcBorders>
            <w:vAlign w:val="center"/>
          </w:tcPr>
          <w:p w14:paraId="2196796D">
            <w:pPr>
              <w:keepNext/>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DeLong</w:t>
            </w:r>
            <w:r>
              <w:rPr>
                <w:rFonts w:hint="eastAsia" w:ascii="Times New Roman" w:hAnsi="Times New Roman" w:eastAsia="宋体" w:cs="Times New Roman"/>
                <w:b/>
                <w:bCs/>
                <w:i w:val="0"/>
                <w:iCs w:val="0"/>
                <w:color w:val="000000"/>
                <w:kern w:val="0"/>
                <w:sz w:val="20"/>
                <w:szCs w:val="20"/>
                <w:u w:val="none"/>
                <w:lang w:val="en-US" w:eastAsia="zh-CN" w:bidi="ar"/>
              </w:rPr>
              <w:t xml:space="preserve"> </w:t>
            </w:r>
            <w:r>
              <w:rPr>
                <w:rFonts w:hint="default" w:ascii="Times New Roman" w:hAnsi="Times New Roman" w:eastAsia="宋体" w:cs="Times New Roman"/>
                <w:b/>
                <w:bCs/>
                <w:i/>
                <w:iCs/>
                <w:color w:val="000000"/>
                <w:kern w:val="0"/>
                <w:sz w:val="20"/>
                <w:szCs w:val="20"/>
                <w:u w:val="none"/>
                <w:lang w:val="en-US" w:eastAsia="zh-CN" w:bidi="ar"/>
              </w:rPr>
              <w:t>P</w:t>
            </w:r>
          </w:p>
        </w:tc>
      </w:tr>
      <w:tr w14:paraId="70C39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7" w:type="pct"/>
            <w:tcBorders>
              <w:top w:val="single" w:color="auto" w:sz="4" w:space="0"/>
              <w:left w:val="nil"/>
              <w:bottom w:val="nil"/>
              <w:right w:val="nil"/>
            </w:tcBorders>
            <w:vAlign w:val="center"/>
          </w:tcPr>
          <w:p w14:paraId="3989C8D8">
            <w:pPr>
              <w:keepNext/>
              <w:keepLines w:val="0"/>
              <w:widowControl/>
              <w:suppressLineNumbers w:val="0"/>
              <w:snapToGrid w:val="0"/>
              <w:ind w:left="0" w:leftChars="0" w:right="0" w:rightChars="0" w:firstLine="0" w:firstLineChars="0"/>
              <w:jc w:val="left"/>
              <w:textAlignment w:val="bottom"/>
              <w:rPr>
                <w:rFonts w:hint="default" w:ascii="Times New Roman" w:hAnsi="Times New Roman" w:cs="Times New Roman"/>
                <w:b w:val="0"/>
                <w:bCs w:val="0"/>
                <w:sz w:val="20"/>
                <w:szCs w:val="20"/>
                <w:vertAlign w:val="baseline"/>
              </w:rPr>
            </w:pPr>
            <w:r>
              <w:rPr>
                <w:rFonts w:hint="default" w:ascii="Times New Roman" w:hAnsi="Times New Roman" w:eastAsia="宋体" w:cs="Times New Roman"/>
                <w:b w:val="0"/>
                <w:bCs w:val="0"/>
                <w:i w:val="0"/>
                <w:iCs w:val="0"/>
                <w:color w:val="000000"/>
                <w:kern w:val="0"/>
                <w:sz w:val="20"/>
                <w:szCs w:val="20"/>
                <w:u w:val="none"/>
                <w:lang w:val="en-US" w:eastAsia="zh-CN" w:bidi="ar"/>
              </w:rPr>
              <w:t>MLP</w:t>
            </w:r>
          </w:p>
        </w:tc>
        <w:tc>
          <w:tcPr>
            <w:tcW w:w="1274" w:type="pct"/>
            <w:tcBorders>
              <w:top w:val="single" w:color="auto" w:sz="4" w:space="0"/>
              <w:left w:val="nil"/>
              <w:bottom w:val="nil"/>
              <w:right w:val="nil"/>
            </w:tcBorders>
            <w:vAlign w:val="center"/>
          </w:tcPr>
          <w:p w14:paraId="076FE704">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0.854 (0.813-0.895)</w:t>
            </w:r>
          </w:p>
        </w:tc>
        <w:tc>
          <w:tcPr>
            <w:tcW w:w="717" w:type="pct"/>
            <w:tcBorders>
              <w:top w:val="single" w:color="auto" w:sz="4" w:space="0"/>
              <w:left w:val="nil"/>
              <w:bottom w:val="nil"/>
              <w:right w:val="nil"/>
            </w:tcBorders>
            <w:vAlign w:val="center"/>
          </w:tcPr>
          <w:p w14:paraId="7CB3FF04">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0.699</w:t>
            </w:r>
          </w:p>
        </w:tc>
        <w:tc>
          <w:tcPr>
            <w:tcW w:w="701" w:type="pct"/>
            <w:tcBorders>
              <w:top w:val="single" w:color="auto" w:sz="4" w:space="0"/>
              <w:left w:val="nil"/>
              <w:bottom w:val="nil"/>
              <w:right w:val="nil"/>
            </w:tcBorders>
            <w:vAlign w:val="center"/>
          </w:tcPr>
          <w:p w14:paraId="7927512F">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0.284</w:t>
            </w:r>
          </w:p>
        </w:tc>
        <w:tc>
          <w:tcPr>
            <w:tcW w:w="520" w:type="pct"/>
            <w:tcBorders>
              <w:top w:val="single" w:color="auto" w:sz="4" w:space="0"/>
              <w:left w:val="nil"/>
              <w:bottom w:val="nil"/>
              <w:right w:val="nil"/>
            </w:tcBorders>
            <w:vAlign w:val="center"/>
          </w:tcPr>
          <w:p w14:paraId="39D3BC0C">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0.899</w:t>
            </w:r>
          </w:p>
        </w:tc>
        <w:tc>
          <w:tcPr>
            <w:tcW w:w="461" w:type="pct"/>
            <w:tcBorders>
              <w:top w:val="single" w:color="auto" w:sz="4" w:space="0"/>
              <w:left w:val="nil"/>
              <w:bottom w:val="nil"/>
              <w:right w:val="nil"/>
            </w:tcBorders>
            <w:vAlign w:val="center"/>
          </w:tcPr>
          <w:p w14:paraId="5137A2DE">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0.432</w:t>
            </w:r>
          </w:p>
        </w:tc>
        <w:tc>
          <w:tcPr>
            <w:tcW w:w="616" w:type="pct"/>
            <w:tcBorders>
              <w:top w:val="single" w:color="auto" w:sz="4" w:space="0"/>
              <w:left w:val="nil"/>
              <w:bottom w:val="nil"/>
              <w:right w:val="nil"/>
            </w:tcBorders>
            <w:vAlign w:val="bottom"/>
          </w:tcPr>
          <w:p w14:paraId="7BDF5C89">
            <w:pPr>
              <w:keepNext/>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0.376</w:t>
            </w:r>
          </w:p>
        </w:tc>
      </w:tr>
      <w:tr w14:paraId="56861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7" w:type="pct"/>
            <w:tcBorders>
              <w:top w:val="nil"/>
              <w:left w:val="nil"/>
              <w:bottom w:val="nil"/>
              <w:right w:val="nil"/>
            </w:tcBorders>
            <w:vAlign w:val="center"/>
          </w:tcPr>
          <w:p w14:paraId="3C6141F4">
            <w:pPr>
              <w:keepNext/>
              <w:keepLines w:val="0"/>
              <w:widowControl/>
              <w:suppressLineNumbers w:val="0"/>
              <w:snapToGrid w:val="0"/>
              <w:ind w:left="0" w:leftChars="0" w:right="0" w:rightChars="0" w:firstLine="0" w:firstLineChars="0"/>
              <w:jc w:val="left"/>
              <w:textAlignment w:val="bottom"/>
              <w:rPr>
                <w:rFonts w:hint="default" w:ascii="Times New Roman" w:hAnsi="Times New Roman" w:cs="Times New Roman"/>
                <w:b w:val="0"/>
                <w:bCs w:val="0"/>
                <w:sz w:val="20"/>
                <w:szCs w:val="20"/>
                <w:vertAlign w:val="baseline"/>
              </w:rPr>
            </w:pPr>
            <w:r>
              <w:rPr>
                <w:rFonts w:hint="default" w:ascii="Times New Roman" w:hAnsi="Times New Roman" w:eastAsia="宋体" w:cs="Times New Roman"/>
                <w:b w:val="0"/>
                <w:bCs w:val="0"/>
                <w:i w:val="0"/>
                <w:iCs w:val="0"/>
                <w:color w:val="000000"/>
                <w:kern w:val="0"/>
                <w:sz w:val="20"/>
                <w:szCs w:val="20"/>
                <w:u w:val="none"/>
                <w:lang w:val="en-US" w:eastAsia="zh-CN" w:bidi="ar"/>
              </w:rPr>
              <w:t>XGB</w:t>
            </w:r>
          </w:p>
        </w:tc>
        <w:tc>
          <w:tcPr>
            <w:tcW w:w="1274" w:type="pct"/>
            <w:tcBorders>
              <w:top w:val="nil"/>
              <w:left w:val="nil"/>
              <w:bottom w:val="nil"/>
              <w:right w:val="nil"/>
            </w:tcBorders>
            <w:vAlign w:val="center"/>
          </w:tcPr>
          <w:p w14:paraId="09436E91">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0.839 (0.796-0.883)</w:t>
            </w:r>
          </w:p>
        </w:tc>
        <w:tc>
          <w:tcPr>
            <w:tcW w:w="717" w:type="pct"/>
            <w:tcBorders>
              <w:top w:val="nil"/>
              <w:left w:val="nil"/>
              <w:bottom w:val="nil"/>
              <w:right w:val="nil"/>
            </w:tcBorders>
            <w:vAlign w:val="center"/>
          </w:tcPr>
          <w:p w14:paraId="7F241613">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0.752</w:t>
            </w:r>
          </w:p>
        </w:tc>
        <w:tc>
          <w:tcPr>
            <w:tcW w:w="701" w:type="pct"/>
            <w:tcBorders>
              <w:top w:val="nil"/>
              <w:left w:val="nil"/>
              <w:bottom w:val="nil"/>
              <w:right w:val="nil"/>
            </w:tcBorders>
            <w:vAlign w:val="center"/>
          </w:tcPr>
          <w:p w14:paraId="47925584">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0.321</w:t>
            </w:r>
          </w:p>
        </w:tc>
        <w:tc>
          <w:tcPr>
            <w:tcW w:w="520" w:type="pct"/>
            <w:tcBorders>
              <w:top w:val="nil"/>
              <w:left w:val="nil"/>
              <w:bottom w:val="nil"/>
              <w:right w:val="nil"/>
            </w:tcBorders>
            <w:vAlign w:val="center"/>
          </w:tcPr>
          <w:p w14:paraId="5E52F408">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0.848</w:t>
            </w:r>
          </w:p>
        </w:tc>
        <w:tc>
          <w:tcPr>
            <w:tcW w:w="461" w:type="pct"/>
            <w:tcBorders>
              <w:top w:val="nil"/>
              <w:left w:val="nil"/>
              <w:bottom w:val="nil"/>
              <w:right w:val="nil"/>
            </w:tcBorders>
            <w:vAlign w:val="center"/>
          </w:tcPr>
          <w:p w14:paraId="6901AD6A">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0.465</w:t>
            </w:r>
          </w:p>
        </w:tc>
        <w:tc>
          <w:tcPr>
            <w:tcW w:w="616" w:type="pct"/>
            <w:tcBorders>
              <w:top w:val="nil"/>
              <w:left w:val="nil"/>
              <w:bottom w:val="nil"/>
              <w:right w:val="nil"/>
            </w:tcBorders>
            <w:vAlign w:val="bottom"/>
          </w:tcPr>
          <w:p w14:paraId="5EEC63FF">
            <w:pPr>
              <w:keepNext/>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Ref</w:t>
            </w:r>
          </w:p>
        </w:tc>
      </w:tr>
      <w:tr w14:paraId="4E82D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7" w:type="pct"/>
            <w:tcBorders>
              <w:top w:val="nil"/>
              <w:left w:val="nil"/>
              <w:bottom w:val="nil"/>
              <w:right w:val="nil"/>
            </w:tcBorders>
            <w:vAlign w:val="center"/>
          </w:tcPr>
          <w:p w14:paraId="3312A9E4">
            <w:pPr>
              <w:keepNext/>
              <w:keepLines w:val="0"/>
              <w:widowControl/>
              <w:suppressLineNumbers w:val="0"/>
              <w:snapToGrid w:val="0"/>
              <w:ind w:left="0" w:leftChars="0" w:right="0" w:rightChars="0" w:firstLine="0" w:firstLineChars="0"/>
              <w:jc w:val="left"/>
              <w:textAlignment w:val="bottom"/>
              <w:rPr>
                <w:rFonts w:hint="default" w:ascii="Times New Roman" w:hAnsi="Times New Roman" w:cs="Times New Roman"/>
                <w:b w:val="0"/>
                <w:bCs w:val="0"/>
                <w:sz w:val="20"/>
                <w:szCs w:val="20"/>
                <w:vertAlign w:val="baseline"/>
              </w:rPr>
            </w:pPr>
            <w:r>
              <w:rPr>
                <w:rFonts w:hint="default" w:ascii="Times New Roman" w:hAnsi="Times New Roman" w:eastAsia="宋体" w:cs="Times New Roman"/>
                <w:b w:val="0"/>
                <w:bCs w:val="0"/>
                <w:i w:val="0"/>
                <w:iCs w:val="0"/>
                <w:color w:val="000000"/>
                <w:kern w:val="0"/>
                <w:sz w:val="20"/>
                <w:szCs w:val="20"/>
                <w:u w:val="none"/>
                <w:lang w:val="en-US" w:eastAsia="zh-CN" w:bidi="ar"/>
              </w:rPr>
              <w:t>AdaBoost</w:t>
            </w:r>
          </w:p>
        </w:tc>
        <w:tc>
          <w:tcPr>
            <w:tcW w:w="1274" w:type="pct"/>
            <w:tcBorders>
              <w:top w:val="nil"/>
              <w:left w:val="nil"/>
              <w:bottom w:val="nil"/>
              <w:right w:val="nil"/>
            </w:tcBorders>
            <w:vAlign w:val="center"/>
          </w:tcPr>
          <w:p w14:paraId="6CDB4F9E">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0.830 (0.783-0.877)</w:t>
            </w:r>
          </w:p>
        </w:tc>
        <w:tc>
          <w:tcPr>
            <w:tcW w:w="717" w:type="pct"/>
            <w:tcBorders>
              <w:top w:val="nil"/>
              <w:left w:val="nil"/>
              <w:bottom w:val="nil"/>
              <w:right w:val="nil"/>
            </w:tcBorders>
            <w:vAlign w:val="center"/>
          </w:tcPr>
          <w:p w14:paraId="147B422E">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0.816</w:t>
            </w:r>
          </w:p>
        </w:tc>
        <w:tc>
          <w:tcPr>
            <w:tcW w:w="701" w:type="pct"/>
            <w:tcBorders>
              <w:top w:val="nil"/>
              <w:left w:val="nil"/>
              <w:bottom w:val="nil"/>
              <w:right w:val="nil"/>
            </w:tcBorders>
            <w:vAlign w:val="center"/>
          </w:tcPr>
          <w:p w14:paraId="7FAD834F">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0.383</w:t>
            </w:r>
          </w:p>
        </w:tc>
        <w:tc>
          <w:tcPr>
            <w:tcW w:w="520" w:type="pct"/>
            <w:tcBorders>
              <w:top w:val="nil"/>
              <w:left w:val="nil"/>
              <w:bottom w:val="nil"/>
              <w:right w:val="nil"/>
            </w:tcBorders>
            <w:vAlign w:val="center"/>
          </w:tcPr>
          <w:p w14:paraId="437B7917">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0.722</w:t>
            </w:r>
          </w:p>
        </w:tc>
        <w:tc>
          <w:tcPr>
            <w:tcW w:w="461" w:type="pct"/>
            <w:tcBorders>
              <w:top w:val="nil"/>
              <w:left w:val="nil"/>
              <w:bottom w:val="nil"/>
              <w:right w:val="nil"/>
            </w:tcBorders>
            <w:vAlign w:val="center"/>
          </w:tcPr>
          <w:p w14:paraId="35EE3E75">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lang w:val="en-US"/>
              </w:rPr>
            </w:pPr>
            <w:r>
              <w:rPr>
                <w:rFonts w:hint="default" w:ascii="Times New Roman" w:hAnsi="Times New Roman" w:eastAsia="宋体" w:cs="Times New Roman"/>
                <w:i w:val="0"/>
                <w:iCs w:val="0"/>
                <w:color w:val="000000"/>
                <w:kern w:val="0"/>
                <w:sz w:val="20"/>
                <w:szCs w:val="20"/>
                <w:u w:val="none"/>
                <w:lang w:val="en-US" w:eastAsia="zh-CN" w:bidi="ar"/>
              </w:rPr>
              <w:t>0.500</w:t>
            </w:r>
          </w:p>
        </w:tc>
        <w:tc>
          <w:tcPr>
            <w:tcW w:w="616" w:type="pct"/>
            <w:tcBorders>
              <w:top w:val="nil"/>
              <w:left w:val="nil"/>
              <w:bottom w:val="nil"/>
              <w:right w:val="nil"/>
            </w:tcBorders>
            <w:vAlign w:val="bottom"/>
          </w:tcPr>
          <w:p w14:paraId="1B4B9365">
            <w:pPr>
              <w:keepNext/>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0.357</w:t>
            </w:r>
          </w:p>
        </w:tc>
      </w:tr>
      <w:tr w14:paraId="472A8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7" w:type="pct"/>
            <w:tcBorders>
              <w:top w:val="nil"/>
              <w:left w:val="nil"/>
              <w:bottom w:val="nil"/>
              <w:right w:val="nil"/>
            </w:tcBorders>
            <w:vAlign w:val="center"/>
          </w:tcPr>
          <w:p w14:paraId="76DA6BF1">
            <w:pPr>
              <w:keepNext/>
              <w:keepLines w:val="0"/>
              <w:widowControl/>
              <w:suppressLineNumbers w:val="0"/>
              <w:snapToGrid w:val="0"/>
              <w:ind w:left="0" w:leftChars="0" w:right="0" w:rightChars="0" w:firstLine="0" w:firstLineChars="0"/>
              <w:jc w:val="left"/>
              <w:textAlignment w:val="bottom"/>
              <w:rPr>
                <w:rFonts w:hint="default" w:ascii="Times New Roman" w:hAnsi="Times New Roman" w:cs="Times New Roman"/>
                <w:b w:val="0"/>
                <w:bCs w:val="0"/>
                <w:sz w:val="20"/>
                <w:szCs w:val="20"/>
                <w:vertAlign w:val="baseline"/>
              </w:rPr>
            </w:pPr>
            <w:r>
              <w:rPr>
                <w:rFonts w:hint="default" w:ascii="Times New Roman" w:hAnsi="Times New Roman" w:eastAsia="宋体" w:cs="Times New Roman"/>
                <w:b w:val="0"/>
                <w:bCs w:val="0"/>
                <w:i w:val="0"/>
                <w:iCs w:val="0"/>
                <w:color w:val="000000"/>
                <w:kern w:val="0"/>
                <w:sz w:val="20"/>
                <w:szCs w:val="20"/>
                <w:u w:val="none"/>
                <w:lang w:val="en-US" w:eastAsia="zh-CN" w:bidi="ar"/>
              </w:rPr>
              <w:t>LGB</w:t>
            </w:r>
          </w:p>
        </w:tc>
        <w:tc>
          <w:tcPr>
            <w:tcW w:w="1274" w:type="pct"/>
            <w:tcBorders>
              <w:top w:val="nil"/>
              <w:left w:val="nil"/>
              <w:bottom w:val="nil"/>
              <w:right w:val="nil"/>
            </w:tcBorders>
            <w:vAlign w:val="center"/>
          </w:tcPr>
          <w:p w14:paraId="4512C338">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0.827 (0.781-0.873)</w:t>
            </w:r>
          </w:p>
        </w:tc>
        <w:tc>
          <w:tcPr>
            <w:tcW w:w="717" w:type="pct"/>
            <w:tcBorders>
              <w:top w:val="nil"/>
              <w:left w:val="nil"/>
              <w:bottom w:val="nil"/>
              <w:right w:val="nil"/>
            </w:tcBorders>
            <w:vAlign w:val="center"/>
          </w:tcPr>
          <w:p w14:paraId="26A88F39">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0.778</w:t>
            </w:r>
          </w:p>
        </w:tc>
        <w:tc>
          <w:tcPr>
            <w:tcW w:w="701" w:type="pct"/>
            <w:tcBorders>
              <w:top w:val="nil"/>
              <w:left w:val="nil"/>
              <w:bottom w:val="nil"/>
              <w:right w:val="nil"/>
            </w:tcBorders>
            <w:vAlign w:val="center"/>
          </w:tcPr>
          <w:p w14:paraId="61F4EFEF">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0.337</w:t>
            </w:r>
          </w:p>
        </w:tc>
        <w:tc>
          <w:tcPr>
            <w:tcW w:w="520" w:type="pct"/>
            <w:tcBorders>
              <w:top w:val="nil"/>
              <w:left w:val="nil"/>
              <w:bottom w:val="nil"/>
              <w:right w:val="nil"/>
            </w:tcBorders>
            <w:vAlign w:val="center"/>
          </w:tcPr>
          <w:p w14:paraId="257343CF">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0.772</w:t>
            </w:r>
          </w:p>
        </w:tc>
        <w:tc>
          <w:tcPr>
            <w:tcW w:w="461" w:type="pct"/>
            <w:tcBorders>
              <w:top w:val="nil"/>
              <w:left w:val="nil"/>
              <w:bottom w:val="nil"/>
              <w:right w:val="nil"/>
            </w:tcBorders>
            <w:vAlign w:val="center"/>
          </w:tcPr>
          <w:p w14:paraId="70B87123">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0.469</w:t>
            </w:r>
          </w:p>
        </w:tc>
        <w:tc>
          <w:tcPr>
            <w:tcW w:w="616" w:type="pct"/>
            <w:tcBorders>
              <w:top w:val="nil"/>
              <w:left w:val="nil"/>
              <w:bottom w:val="nil"/>
              <w:right w:val="nil"/>
            </w:tcBorders>
            <w:vAlign w:val="bottom"/>
          </w:tcPr>
          <w:p w14:paraId="53A4C48E">
            <w:pPr>
              <w:keepNext/>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0.319</w:t>
            </w:r>
          </w:p>
        </w:tc>
      </w:tr>
      <w:tr w14:paraId="268A1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7" w:type="pct"/>
            <w:tcBorders>
              <w:top w:val="nil"/>
              <w:left w:val="nil"/>
              <w:bottom w:val="nil"/>
              <w:right w:val="nil"/>
            </w:tcBorders>
            <w:vAlign w:val="center"/>
          </w:tcPr>
          <w:p w14:paraId="35831650">
            <w:pPr>
              <w:keepNext/>
              <w:keepLines w:val="0"/>
              <w:widowControl/>
              <w:suppressLineNumbers w:val="0"/>
              <w:snapToGrid w:val="0"/>
              <w:ind w:left="0" w:leftChars="0" w:right="0" w:rightChars="0" w:firstLine="0" w:firstLineChars="0"/>
              <w:jc w:val="left"/>
              <w:textAlignment w:val="bottom"/>
              <w:rPr>
                <w:rFonts w:hint="default" w:ascii="Times New Roman" w:hAnsi="Times New Roman" w:cs="Times New Roman"/>
                <w:b w:val="0"/>
                <w:bCs w:val="0"/>
                <w:sz w:val="20"/>
                <w:szCs w:val="20"/>
                <w:vertAlign w:val="baseline"/>
              </w:rPr>
            </w:pPr>
            <w:r>
              <w:rPr>
                <w:rFonts w:hint="default" w:ascii="Times New Roman" w:hAnsi="Times New Roman" w:eastAsia="宋体" w:cs="Times New Roman"/>
                <w:b w:val="0"/>
                <w:bCs w:val="0"/>
                <w:i w:val="0"/>
                <w:iCs w:val="0"/>
                <w:color w:val="000000"/>
                <w:kern w:val="0"/>
                <w:sz w:val="20"/>
                <w:szCs w:val="20"/>
                <w:u w:val="none"/>
                <w:lang w:val="en-US" w:eastAsia="zh-CN" w:bidi="ar"/>
              </w:rPr>
              <w:t>RF</w:t>
            </w:r>
          </w:p>
        </w:tc>
        <w:tc>
          <w:tcPr>
            <w:tcW w:w="1274" w:type="pct"/>
            <w:tcBorders>
              <w:top w:val="nil"/>
              <w:left w:val="nil"/>
              <w:bottom w:val="nil"/>
              <w:right w:val="nil"/>
            </w:tcBorders>
            <w:vAlign w:val="center"/>
          </w:tcPr>
          <w:p w14:paraId="74C777C7">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0.822 (0.773-0.871)</w:t>
            </w:r>
          </w:p>
        </w:tc>
        <w:tc>
          <w:tcPr>
            <w:tcW w:w="717" w:type="pct"/>
            <w:tcBorders>
              <w:top w:val="nil"/>
              <w:left w:val="nil"/>
              <w:bottom w:val="nil"/>
              <w:right w:val="nil"/>
            </w:tcBorders>
            <w:vAlign w:val="center"/>
          </w:tcPr>
          <w:p w14:paraId="136301A0">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0.783</w:t>
            </w:r>
          </w:p>
        </w:tc>
        <w:tc>
          <w:tcPr>
            <w:tcW w:w="701" w:type="pct"/>
            <w:tcBorders>
              <w:top w:val="nil"/>
              <w:left w:val="nil"/>
              <w:bottom w:val="nil"/>
              <w:right w:val="nil"/>
            </w:tcBorders>
            <w:vAlign w:val="center"/>
          </w:tcPr>
          <w:p w14:paraId="29888637">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0.337</w:t>
            </w:r>
          </w:p>
        </w:tc>
        <w:tc>
          <w:tcPr>
            <w:tcW w:w="520" w:type="pct"/>
            <w:tcBorders>
              <w:top w:val="nil"/>
              <w:left w:val="nil"/>
              <w:bottom w:val="nil"/>
              <w:right w:val="nil"/>
            </w:tcBorders>
            <w:vAlign w:val="center"/>
          </w:tcPr>
          <w:p w14:paraId="332F90EF">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0.734</w:t>
            </w:r>
          </w:p>
        </w:tc>
        <w:tc>
          <w:tcPr>
            <w:tcW w:w="461" w:type="pct"/>
            <w:tcBorders>
              <w:top w:val="nil"/>
              <w:left w:val="nil"/>
              <w:bottom w:val="nil"/>
              <w:right w:val="nil"/>
            </w:tcBorders>
            <w:vAlign w:val="center"/>
          </w:tcPr>
          <w:p w14:paraId="16C7C761">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0.462</w:t>
            </w:r>
          </w:p>
        </w:tc>
        <w:tc>
          <w:tcPr>
            <w:tcW w:w="616" w:type="pct"/>
            <w:tcBorders>
              <w:top w:val="nil"/>
              <w:left w:val="nil"/>
              <w:bottom w:val="nil"/>
              <w:right w:val="nil"/>
            </w:tcBorders>
            <w:vAlign w:val="bottom"/>
          </w:tcPr>
          <w:p w14:paraId="17C92AD2">
            <w:pPr>
              <w:keepNext/>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0.058</w:t>
            </w:r>
          </w:p>
        </w:tc>
      </w:tr>
      <w:tr w14:paraId="773B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7" w:type="pct"/>
            <w:tcBorders>
              <w:top w:val="nil"/>
              <w:left w:val="nil"/>
              <w:bottom w:val="single" w:color="auto" w:sz="4" w:space="0"/>
              <w:right w:val="nil"/>
            </w:tcBorders>
            <w:vAlign w:val="center"/>
          </w:tcPr>
          <w:p w14:paraId="7C925B28">
            <w:pPr>
              <w:keepNext/>
              <w:keepLines w:val="0"/>
              <w:widowControl/>
              <w:suppressLineNumbers w:val="0"/>
              <w:snapToGrid w:val="0"/>
              <w:ind w:left="0" w:leftChars="0" w:right="0" w:rightChars="0" w:firstLine="0" w:firstLineChars="0"/>
              <w:jc w:val="left"/>
              <w:textAlignment w:val="bottom"/>
              <w:rPr>
                <w:rFonts w:hint="default" w:ascii="Times New Roman" w:hAnsi="Times New Roman" w:cs="Times New Roman"/>
                <w:b w:val="0"/>
                <w:bCs w:val="0"/>
                <w:sz w:val="20"/>
                <w:szCs w:val="20"/>
                <w:vertAlign w:val="baseline"/>
              </w:rPr>
            </w:pPr>
            <w:r>
              <w:rPr>
                <w:rFonts w:hint="default" w:ascii="Times New Roman" w:hAnsi="Times New Roman" w:eastAsia="宋体" w:cs="Times New Roman"/>
                <w:b w:val="0"/>
                <w:bCs w:val="0"/>
                <w:i w:val="0"/>
                <w:iCs w:val="0"/>
                <w:color w:val="000000"/>
                <w:kern w:val="0"/>
                <w:sz w:val="20"/>
                <w:szCs w:val="20"/>
                <w:u w:val="none"/>
                <w:lang w:val="en-US" w:eastAsia="zh-CN" w:bidi="ar"/>
              </w:rPr>
              <w:t>Bagging</w:t>
            </w:r>
          </w:p>
        </w:tc>
        <w:tc>
          <w:tcPr>
            <w:tcW w:w="1274" w:type="pct"/>
            <w:tcBorders>
              <w:top w:val="nil"/>
              <w:left w:val="nil"/>
              <w:bottom w:val="single" w:color="auto" w:sz="4" w:space="0"/>
              <w:right w:val="nil"/>
            </w:tcBorders>
            <w:vAlign w:val="center"/>
          </w:tcPr>
          <w:p w14:paraId="4F4A0DBB">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0.798 (0.739-0.857)</w:t>
            </w:r>
          </w:p>
        </w:tc>
        <w:tc>
          <w:tcPr>
            <w:tcW w:w="717" w:type="pct"/>
            <w:tcBorders>
              <w:top w:val="nil"/>
              <w:left w:val="nil"/>
              <w:bottom w:val="single" w:color="auto" w:sz="4" w:space="0"/>
              <w:right w:val="nil"/>
            </w:tcBorders>
            <w:vAlign w:val="center"/>
          </w:tcPr>
          <w:p w14:paraId="667A0C0F">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0.845</w:t>
            </w:r>
          </w:p>
        </w:tc>
        <w:tc>
          <w:tcPr>
            <w:tcW w:w="701" w:type="pct"/>
            <w:tcBorders>
              <w:top w:val="nil"/>
              <w:left w:val="nil"/>
              <w:bottom w:val="single" w:color="auto" w:sz="4" w:space="0"/>
              <w:right w:val="nil"/>
            </w:tcBorders>
            <w:vAlign w:val="center"/>
          </w:tcPr>
          <w:p w14:paraId="39970C12">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0.427</w:t>
            </w:r>
          </w:p>
        </w:tc>
        <w:tc>
          <w:tcPr>
            <w:tcW w:w="520" w:type="pct"/>
            <w:tcBorders>
              <w:top w:val="nil"/>
              <w:left w:val="nil"/>
              <w:bottom w:val="single" w:color="auto" w:sz="4" w:space="0"/>
              <w:right w:val="nil"/>
            </w:tcBorders>
            <w:vAlign w:val="center"/>
          </w:tcPr>
          <w:p w14:paraId="34BC6AC9">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rPr>
            </w:pPr>
            <w:r>
              <w:rPr>
                <w:rFonts w:hint="default" w:ascii="Times New Roman" w:hAnsi="Times New Roman" w:eastAsia="宋体" w:cs="Times New Roman"/>
                <w:i w:val="0"/>
                <w:iCs w:val="0"/>
                <w:color w:val="000000"/>
                <w:kern w:val="0"/>
                <w:sz w:val="20"/>
                <w:szCs w:val="20"/>
                <w:u w:val="none"/>
                <w:lang w:val="en-US" w:eastAsia="zh-CN" w:bidi="ar"/>
              </w:rPr>
              <w:t>0.633</w:t>
            </w:r>
          </w:p>
        </w:tc>
        <w:tc>
          <w:tcPr>
            <w:tcW w:w="461" w:type="pct"/>
            <w:tcBorders>
              <w:top w:val="nil"/>
              <w:left w:val="nil"/>
              <w:bottom w:val="single" w:color="auto" w:sz="4" w:space="0"/>
              <w:right w:val="nil"/>
            </w:tcBorders>
            <w:vAlign w:val="center"/>
          </w:tcPr>
          <w:p w14:paraId="132B7CB9">
            <w:pPr>
              <w:keepNext/>
              <w:keepLines w:val="0"/>
              <w:widowControl/>
              <w:suppressLineNumbers w:val="0"/>
              <w:snapToGrid w:val="0"/>
              <w:ind w:left="0" w:leftChars="0" w:right="0" w:rightChars="0" w:firstLine="0" w:firstLineChars="0"/>
              <w:jc w:val="center"/>
              <w:textAlignment w:val="bottom"/>
              <w:rPr>
                <w:rFonts w:hint="default" w:ascii="Times New Roman" w:hAnsi="Times New Roman" w:cs="Times New Roman"/>
                <w:sz w:val="20"/>
                <w:szCs w:val="20"/>
                <w:vertAlign w:val="baseline"/>
                <w:lang w:val="en-US"/>
              </w:rPr>
            </w:pPr>
            <w:r>
              <w:rPr>
                <w:rFonts w:hint="default" w:ascii="Times New Roman" w:hAnsi="Times New Roman" w:eastAsia="宋体" w:cs="Times New Roman"/>
                <w:i w:val="0"/>
                <w:iCs w:val="0"/>
                <w:color w:val="000000"/>
                <w:kern w:val="0"/>
                <w:sz w:val="20"/>
                <w:szCs w:val="20"/>
                <w:u w:val="none"/>
                <w:lang w:val="en-US" w:eastAsia="zh-CN" w:bidi="ar"/>
              </w:rPr>
              <w:t>0.510</w:t>
            </w:r>
          </w:p>
        </w:tc>
        <w:tc>
          <w:tcPr>
            <w:tcW w:w="616" w:type="pct"/>
            <w:tcBorders>
              <w:top w:val="nil"/>
              <w:left w:val="nil"/>
              <w:bottom w:val="single" w:color="auto" w:sz="4" w:space="0"/>
              <w:right w:val="nil"/>
            </w:tcBorders>
            <w:vAlign w:val="bottom"/>
          </w:tcPr>
          <w:p w14:paraId="31F6E692">
            <w:pPr>
              <w:keepNext/>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i w:val="0"/>
                <w:iCs w:val="0"/>
                <w:color w:val="000000"/>
                <w:kern w:val="0"/>
                <w:sz w:val="20"/>
                <w:szCs w:val="20"/>
                <w:u w:val="none"/>
                <w:lang w:val="en-US" w:eastAsia="zh-CN" w:bidi="ar"/>
              </w:rPr>
            </w:pPr>
            <w:r>
              <w:rPr>
                <w:rFonts w:hint="eastAsia" w:ascii="Times New Roman" w:hAnsi="Times New Roman" w:eastAsia="宋体" w:cs="Times New Roman"/>
                <w:i w:val="0"/>
                <w:iCs w:val="0"/>
                <w:color w:val="000000"/>
                <w:kern w:val="0"/>
                <w:sz w:val="20"/>
                <w:szCs w:val="20"/>
                <w:u w:val="none"/>
                <w:lang w:val="en-US" w:eastAsia="zh-CN" w:bidi="ar"/>
              </w:rPr>
              <w:t>0.013</w:t>
            </w:r>
          </w:p>
        </w:tc>
      </w:tr>
    </w:tbl>
    <w:p w14:paraId="4F470239">
      <w:pPr>
        <w:rPr>
          <w:rFonts w:hint="default" w:ascii="Times New Roman" w:hAnsi="Times New Roman" w:cs="Times New Roman" w:eastAsiaTheme="minorEastAsia"/>
          <w:b/>
          <w:bCs/>
          <w:color w:val="auto"/>
          <w:lang w:eastAsia="zh-CN"/>
        </w:rPr>
      </w:pPr>
    </w:p>
    <w:p w14:paraId="0D14967E">
      <w:pPr>
        <w:rPr>
          <w:rFonts w:hint="default" w:ascii="Times New Roman" w:hAnsi="Times New Roman" w:cs="Times New Roman" w:eastAsiaTheme="minorEastAsia"/>
          <w:b/>
          <w:bCs/>
          <w:color w:val="auto"/>
          <w:lang w:eastAsia="zh-CN"/>
        </w:rPr>
      </w:pPr>
      <w:r>
        <w:rPr>
          <w:rFonts w:hint="default" w:ascii="Times New Roman" w:hAnsi="Times New Roman" w:cs="Times New Roman" w:eastAsiaTheme="minorEastAsia"/>
          <w:b/>
          <w:bCs/>
          <w:color w:val="auto"/>
          <w:lang w:eastAsia="zh-CN"/>
        </w:rPr>
        <w:drawing>
          <wp:inline distT="0" distB="0" distL="114300" distR="114300">
            <wp:extent cx="5257800" cy="2240280"/>
            <wp:effectExtent l="0" t="0" r="0" b="7620"/>
            <wp:docPr id="4" name="图片 4" descr="Supplementary 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upplementary Figure S4"/>
                    <pic:cNvPicPr>
                      <a:picLocks noChangeAspect="1"/>
                    </pic:cNvPicPr>
                  </pic:nvPicPr>
                  <pic:blipFill>
                    <a:blip r:embed="rId8"/>
                    <a:srcRect b="13741"/>
                    <a:stretch>
                      <a:fillRect/>
                    </a:stretch>
                  </pic:blipFill>
                  <pic:spPr>
                    <a:xfrm>
                      <a:off x="0" y="0"/>
                      <a:ext cx="5257800" cy="2240280"/>
                    </a:xfrm>
                    <a:prstGeom prst="rect">
                      <a:avLst/>
                    </a:prstGeom>
                  </pic:spPr>
                </pic:pic>
              </a:graphicData>
            </a:graphic>
          </wp:inline>
        </w:drawing>
      </w:r>
    </w:p>
    <w:p w14:paraId="44F98282">
      <w:pPr>
        <w:rPr>
          <w:rFonts w:hint="default" w:ascii="Times New Roman" w:hAnsi="Times New Roman" w:cs="Times New Roman" w:eastAsiaTheme="minorEastAsia"/>
          <w:b w:val="0"/>
          <w:bCs w:val="0"/>
          <w:color w:val="auto"/>
          <w:lang w:eastAsia="zh-CN"/>
        </w:rPr>
      </w:pPr>
      <w:r>
        <w:rPr>
          <w:rFonts w:hint="default" w:ascii="Times New Roman" w:hAnsi="Times New Roman" w:cs="Times New Roman" w:eastAsiaTheme="minorEastAsia"/>
          <w:b/>
          <w:bCs/>
          <w:color w:val="auto"/>
          <w:lang w:eastAsia="zh-CN"/>
        </w:rPr>
        <w:t>Supplementary Figure S</w:t>
      </w:r>
      <w:r>
        <w:rPr>
          <w:rFonts w:hint="eastAsia" w:ascii="Times New Roman" w:hAnsi="Times New Roman" w:cs="Times New Roman"/>
          <w:b/>
          <w:bCs/>
          <w:color w:val="auto"/>
          <w:lang w:val="en-US" w:eastAsia="zh-CN"/>
        </w:rPr>
        <w:t>5</w:t>
      </w:r>
      <w:r>
        <w:rPr>
          <w:rFonts w:hint="default" w:ascii="Times New Roman" w:hAnsi="Times New Roman" w:cs="Times New Roman" w:eastAsiaTheme="minorEastAsia"/>
          <w:b/>
          <w:bCs/>
          <w:color w:val="auto"/>
          <w:lang w:eastAsia="zh-CN"/>
        </w:rPr>
        <w:t xml:space="preserve">. Calibration curves with Hosmer‑Lemeshow </w:t>
      </w:r>
      <w:r>
        <w:rPr>
          <w:rFonts w:hint="default" w:ascii="Times New Roman" w:hAnsi="Times New Roman" w:cs="Times New Roman" w:eastAsiaTheme="minorEastAsia"/>
          <w:b/>
          <w:bCs/>
          <w:i/>
          <w:iCs/>
          <w:color w:val="auto"/>
          <w:lang w:eastAsia="zh-CN"/>
        </w:rPr>
        <w:t>P</w:t>
      </w:r>
      <w:r>
        <w:rPr>
          <w:rFonts w:hint="default" w:ascii="Times New Roman" w:hAnsi="Times New Roman" w:cs="Times New Roman" w:eastAsiaTheme="minorEastAsia"/>
          <w:b/>
          <w:bCs/>
          <w:color w:val="auto"/>
          <w:lang w:eastAsia="zh-CN"/>
        </w:rPr>
        <w:t xml:space="preserve">‑values and Brier scores across all six models. </w:t>
      </w:r>
      <w:r>
        <w:rPr>
          <w:rFonts w:hint="default" w:ascii="Times New Roman" w:hAnsi="Times New Roman" w:cs="Times New Roman" w:eastAsiaTheme="minorEastAsia"/>
          <w:b w:val="0"/>
          <w:bCs w:val="0"/>
          <w:color w:val="auto"/>
          <w:lang w:eastAsia="zh-CN"/>
        </w:rPr>
        <w:t xml:space="preserve">Calibration curves for MLP, XGBoost, AdaBoost, LightGBM (LGB), Random Forest (RF), and Bagging are shown. The diagonal dashed line represents perfect calibration. H‑L </w:t>
      </w:r>
      <w:r>
        <w:rPr>
          <w:rFonts w:hint="default" w:ascii="Times New Roman" w:hAnsi="Times New Roman" w:cs="Times New Roman" w:eastAsiaTheme="minorEastAsia"/>
          <w:b w:val="0"/>
          <w:bCs w:val="0"/>
          <w:i/>
          <w:iCs/>
          <w:color w:val="auto"/>
          <w:lang w:eastAsia="zh-CN"/>
        </w:rPr>
        <w:t>P</w:t>
      </w:r>
      <w:r>
        <w:rPr>
          <w:rFonts w:hint="default" w:ascii="Times New Roman" w:hAnsi="Times New Roman" w:cs="Times New Roman" w:eastAsiaTheme="minorEastAsia"/>
          <w:b w:val="0"/>
          <w:bCs w:val="0"/>
          <w:color w:val="auto"/>
          <w:lang w:eastAsia="zh-CN"/>
        </w:rPr>
        <w:t>‑values: RF = 0.568, XGBoost = 0.200, and &lt;0.001 for MLP, AdaBoost, LGB, and Bagging. Brier scores: MLP = 0.089, XGBoost = 0.084, AdaBoost = 0.090, LGB = 0.089, RF = 0.087, and Bagging = 0.088.</w:t>
      </w:r>
    </w:p>
    <w:p w14:paraId="42828923">
      <w:pPr>
        <w:rPr>
          <w:rFonts w:hint="default" w:ascii="Times New Roman" w:hAnsi="Times New Roman" w:cs="Times New Roman" w:eastAsiaTheme="minorEastAsia"/>
          <w:b/>
          <w:bCs/>
          <w:color w:val="auto"/>
          <w:lang w:eastAsia="zh-CN"/>
        </w:rPr>
      </w:pPr>
      <w:r>
        <w:rPr>
          <w:rFonts w:hint="default" w:ascii="Times New Roman" w:hAnsi="Times New Roman" w:cs="Times New Roman" w:eastAsiaTheme="minorEastAsia"/>
          <w:b/>
          <w:bCs/>
          <w:color w:val="auto"/>
          <w:lang w:eastAsia="zh-CN"/>
        </w:rPr>
        <w:t>Supplementary Table S</w:t>
      </w:r>
      <w:r>
        <w:rPr>
          <w:rFonts w:hint="eastAsia" w:ascii="Times New Roman" w:hAnsi="Times New Roman" w:cs="Times New Roman"/>
          <w:b/>
          <w:bCs/>
          <w:color w:val="auto"/>
          <w:lang w:val="en-US" w:eastAsia="zh-CN"/>
        </w:rPr>
        <w:t>10</w:t>
      </w:r>
      <w:r>
        <w:rPr>
          <w:rFonts w:hint="default" w:ascii="Times New Roman" w:hAnsi="Times New Roman" w:cs="Times New Roman" w:eastAsiaTheme="minorEastAsia"/>
          <w:b/>
          <w:bCs/>
          <w:color w:val="auto"/>
          <w:lang w:eastAsia="zh-CN"/>
        </w:rPr>
        <w:t>. Brier scores and pairwise comparisons versus XGBoost across all machine learning models.</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7"/>
        <w:gridCol w:w="2706"/>
        <w:gridCol w:w="3553"/>
        <w:gridCol w:w="1006"/>
      </w:tblGrid>
      <w:tr w14:paraId="3B8BB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737" w:type="pct"/>
            <w:tcBorders>
              <w:top w:val="single" w:color="auto" w:sz="4" w:space="0"/>
              <w:left w:val="nil"/>
              <w:bottom w:val="single" w:color="auto" w:sz="4" w:space="0"/>
              <w:right w:val="nil"/>
            </w:tcBorders>
            <w:vAlign w:val="center"/>
          </w:tcPr>
          <w:p w14:paraId="26111ADE">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bCs/>
                <w:color w:val="auto"/>
                <w:sz w:val="21"/>
                <w:szCs w:val="21"/>
                <w:vertAlign w:val="baseline"/>
                <w:lang w:eastAsia="zh-CN"/>
              </w:rPr>
            </w:pPr>
            <w:r>
              <w:rPr>
                <w:rFonts w:hint="default" w:ascii="Times New Roman" w:hAnsi="Times New Roman" w:eastAsia="var(--dsw-font-markdown-table-h" w:cs="Times New Roman"/>
                <w:b/>
                <w:bCs/>
                <w:i w:val="0"/>
                <w:iCs w:val="0"/>
                <w:caps w:val="0"/>
                <w:color w:val="0F1115"/>
                <w:spacing w:val="0"/>
                <w:kern w:val="0"/>
                <w:sz w:val="21"/>
                <w:szCs w:val="21"/>
                <w:lang w:val="en-US" w:eastAsia="zh-CN" w:bidi="ar"/>
              </w:rPr>
              <w:t>Model</w:t>
            </w:r>
          </w:p>
        </w:tc>
        <w:tc>
          <w:tcPr>
            <w:tcW w:w="1587" w:type="pct"/>
            <w:tcBorders>
              <w:top w:val="single" w:color="auto" w:sz="4" w:space="0"/>
              <w:left w:val="nil"/>
              <w:bottom w:val="single" w:color="auto" w:sz="4" w:space="0"/>
              <w:right w:val="nil"/>
            </w:tcBorders>
            <w:vAlign w:val="center"/>
          </w:tcPr>
          <w:p w14:paraId="2F617383">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bCs/>
                <w:color w:val="auto"/>
                <w:sz w:val="21"/>
                <w:szCs w:val="21"/>
                <w:vertAlign w:val="baseline"/>
                <w:lang w:eastAsia="zh-CN"/>
              </w:rPr>
            </w:pPr>
            <w:r>
              <w:rPr>
                <w:rFonts w:hint="default" w:ascii="Times New Roman" w:hAnsi="Times New Roman" w:eastAsia="var(--dsw-font-markdown-table-h" w:cs="Times New Roman"/>
                <w:b/>
                <w:bCs/>
                <w:i w:val="0"/>
                <w:iCs w:val="0"/>
                <w:caps w:val="0"/>
                <w:color w:val="0F1115"/>
                <w:spacing w:val="0"/>
                <w:kern w:val="0"/>
                <w:sz w:val="21"/>
                <w:szCs w:val="21"/>
                <w:lang w:val="en-US" w:eastAsia="zh-CN" w:bidi="ar"/>
              </w:rPr>
              <w:t>Brier score (95% CI)</w:t>
            </w:r>
          </w:p>
        </w:tc>
        <w:tc>
          <w:tcPr>
            <w:tcW w:w="2084" w:type="pct"/>
            <w:tcBorders>
              <w:top w:val="single" w:color="auto" w:sz="4" w:space="0"/>
              <w:left w:val="nil"/>
              <w:bottom w:val="single" w:color="auto" w:sz="4" w:space="0"/>
              <w:right w:val="nil"/>
            </w:tcBorders>
            <w:vAlign w:val="center"/>
          </w:tcPr>
          <w:p w14:paraId="7CE71A3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bCs/>
                <w:color w:val="auto"/>
                <w:sz w:val="21"/>
                <w:szCs w:val="21"/>
                <w:vertAlign w:val="baseline"/>
                <w:lang w:eastAsia="zh-CN"/>
              </w:rPr>
            </w:pPr>
            <w:r>
              <w:rPr>
                <w:rFonts w:hint="default" w:ascii="Times New Roman" w:hAnsi="Times New Roman" w:eastAsia="var(--dsw-font-markdown-table-h" w:cs="Times New Roman"/>
                <w:b/>
                <w:bCs/>
                <w:i w:val="0"/>
                <w:iCs w:val="0"/>
                <w:caps w:val="0"/>
                <w:color w:val="0F1115"/>
                <w:spacing w:val="0"/>
                <w:kern w:val="0"/>
                <w:sz w:val="21"/>
                <w:szCs w:val="21"/>
                <w:lang w:val="en-US" w:eastAsia="zh-CN" w:bidi="ar"/>
              </w:rPr>
              <w:t>Mean difference vs XGB (95% CI) †</w:t>
            </w:r>
          </w:p>
        </w:tc>
        <w:tc>
          <w:tcPr>
            <w:tcW w:w="590" w:type="pct"/>
            <w:tcBorders>
              <w:top w:val="single" w:color="auto" w:sz="4" w:space="0"/>
              <w:left w:val="nil"/>
              <w:bottom w:val="single" w:color="auto" w:sz="4" w:space="0"/>
              <w:right w:val="nil"/>
            </w:tcBorders>
            <w:vAlign w:val="center"/>
          </w:tcPr>
          <w:p w14:paraId="2DB15C3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bCs/>
                <w:color w:val="auto"/>
                <w:sz w:val="21"/>
                <w:szCs w:val="21"/>
                <w:vertAlign w:val="baseline"/>
                <w:lang w:eastAsia="zh-CN"/>
              </w:rPr>
            </w:pPr>
            <w:r>
              <w:rPr>
                <w:rFonts w:hint="default" w:ascii="Times New Roman" w:hAnsi="Times New Roman" w:eastAsia="var(--dsw-font-markdown-table-h" w:cs="Times New Roman"/>
                <w:b/>
                <w:bCs/>
                <w:i/>
                <w:iCs/>
                <w:caps w:val="0"/>
                <w:color w:val="0F1115"/>
                <w:spacing w:val="0"/>
                <w:kern w:val="0"/>
                <w:sz w:val="21"/>
                <w:szCs w:val="21"/>
                <w:lang w:val="en-US" w:eastAsia="zh-CN" w:bidi="ar"/>
              </w:rPr>
              <w:t>P</w:t>
            </w:r>
            <w:r>
              <w:rPr>
                <w:rFonts w:hint="default" w:ascii="Times New Roman" w:hAnsi="Times New Roman" w:eastAsia="var(--dsw-font-markdown-table-h" w:cs="Times New Roman"/>
                <w:b/>
                <w:bCs/>
                <w:i w:val="0"/>
                <w:iCs w:val="0"/>
                <w:caps w:val="0"/>
                <w:color w:val="0F1115"/>
                <w:spacing w:val="0"/>
                <w:kern w:val="0"/>
                <w:sz w:val="21"/>
                <w:szCs w:val="21"/>
                <w:lang w:val="en-US" w:eastAsia="zh-CN" w:bidi="ar"/>
              </w:rPr>
              <w:t xml:space="preserve"> value</w:t>
            </w:r>
          </w:p>
        </w:tc>
      </w:tr>
      <w:tr w14:paraId="42B2D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57" w:type="dxa"/>
            <w:tcBorders>
              <w:top w:val="single" w:color="auto" w:sz="4" w:space="0"/>
              <w:left w:val="nil"/>
              <w:bottom w:val="nil"/>
              <w:right w:val="nil"/>
            </w:tcBorders>
            <w:vAlign w:val="center"/>
          </w:tcPr>
          <w:p w14:paraId="6149BA03">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XGB</w:t>
            </w:r>
          </w:p>
        </w:tc>
        <w:tc>
          <w:tcPr>
            <w:tcW w:w="2706" w:type="dxa"/>
            <w:tcBorders>
              <w:top w:val="single" w:color="auto" w:sz="4" w:space="0"/>
              <w:left w:val="nil"/>
              <w:bottom w:val="nil"/>
              <w:right w:val="nil"/>
            </w:tcBorders>
            <w:vAlign w:val="center"/>
          </w:tcPr>
          <w:p w14:paraId="3C9CB345">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0.084 (0.068–0.099)</w:t>
            </w:r>
          </w:p>
        </w:tc>
        <w:tc>
          <w:tcPr>
            <w:tcW w:w="3553" w:type="dxa"/>
            <w:tcBorders>
              <w:top w:val="single" w:color="auto" w:sz="4" w:space="0"/>
              <w:left w:val="nil"/>
              <w:bottom w:val="nil"/>
              <w:right w:val="nil"/>
            </w:tcBorders>
            <w:vAlign w:val="center"/>
          </w:tcPr>
          <w:p w14:paraId="5FAE1D83">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Ref</w:t>
            </w:r>
          </w:p>
        </w:tc>
        <w:tc>
          <w:tcPr>
            <w:tcW w:w="1006" w:type="dxa"/>
            <w:tcBorders>
              <w:top w:val="single" w:color="auto" w:sz="4" w:space="0"/>
              <w:left w:val="nil"/>
              <w:bottom w:val="nil"/>
              <w:right w:val="nil"/>
            </w:tcBorders>
            <w:vAlign w:val="center"/>
          </w:tcPr>
          <w:p w14:paraId="52AC4D8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Ref</w:t>
            </w:r>
          </w:p>
        </w:tc>
      </w:tr>
      <w:tr w14:paraId="076BA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57" w:type="dxa"/>
            <w:tcBorders>
              <w:top w:val="nil"/>
              <w:left w:val="nil"/>
              <w:bottom w:val="nil"/>
              <w:right w:val="nil"/>
            </w:tcBorders>
            <w:vAlign w:val="center"/>
          </w:tcPr>
          <w:p w14:paraId="7E13FEB7">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RF</w:t>
            </w:r>
          </w:p>
        </w:tc>
        <w:tc>
          <w:tcPr>
            <w:tcW w:w="2706" w:type="dxa"/>
            <w:tcBorders>
              <w:top w:val="nil"/>
              <w:left w:val="nil"/>
              <w:bottom w:val="nil"/>
              <w:right w:val="nil"/>
            </w:tcBorders>
            <w:vAlign w:val="center"/>
          </w:tcPr>
          <w:p w14:paraId="15A28C2B">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0.087 (0.072–0.102)</w:t>
            </w:r>
          </w:p>
        </w:tc>
        <w:tc>
          <w:tcPr>
            <w:tcW w:w="3553" w:type="dxa"/>
            <w:tcBorders>
              <w:top w:val="nil"/>
              <w:left w:val="nil"/>
              <w:bottom w:val="nil"/>
              <w:right w:val="nil"/>
            </w:tcBorders>
            <w:vAlign w:val="center"/>
          </w:tcPr>
          <w:p w14:paraId="7AD0E778">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−0.003 (−0.007 to 0.001)</w:t>
            </w:r>
          </w:p>
        </w:tc>
        <w:tc>
          <w:tcPr>
            <w:tcW w:w="1006" w:type="dxa"/>
            <w:tcBorders>
              <w:top w:val="nil"/>
              <w:left w:val="nil"/>
              <w:bottom w:val="nil"/>
              <w:right w:val="nil"/>
            </w:tcBorders>
            <w:vAlign w:val="center"/>
          </w:tcPr>
          <w:p w14:paraId="3B01BEE8">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0.144</w:t>
            </w:r>
          </w:p>
        </w:tc>
      </w:tr>
      <w:tr w14:paraId="06BAA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57" w:type="dxa"/>
            <w:tcBorders>
              <w:top w:val="nil"/>
              <w:left w:val="nil"/>
              <w:bottom w:val="nil"/>
              <w:right w:val="nil"/>
            </w:tcBorders>
            <w:vAlign w:val="center"/>
          </w:tcPr>
          <w:p w14:paraId="086B4428">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LGB</w:t>
            </w:r>
          </w:p>
        </w:tc>
        <w:tc>
          <w:tcPr>
            <w:tcW w:w="2706" w:type="dxa"/>
            <w:tcBorders>
              <w:top w:val="nil"/>
              <w:left w:val="nil"/>
              <w:bottom w:val="nil"/>
              <w:right w:val="nil"/>
            </w:tcBorders>
            <w:vAlign w:val="center"/>
          </w:tcPr>
          <w:p w14:paraId="125B899F">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0.089 (0.070–0.107)</w:t>
            </w:r>
          </w:p>
        </w:tc>
        <w:tc>
          <w:tcPr>
            <w:tcW w:w="3553" w:type="dxa"/>
            <w:tcBorders>
              <w:top w:val="nil"/>
              <w:left w:val="nil"/>
              <w:bottom w:val="nil"/>
              <w:right w:val="nil"/>
            </w:tcBorders>
            <w:vAlign w:val="center"/>
          </w:tcPr>
          <w:p w14:paraId="23E36C81">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−0.005 (−0.013 to 0.002)</w:t>
            </w:r>
          </w:p>
        </w:tc>
        <w:tc>
          <w:tcPr>
            <w:tcW w:w="1006" w:type="dxa"/>
            <w:tcBorders>
              <w:top w:val="nil"/>
              <w:left w:val="nil"/>
              <w:bottom w:val="nil"/>
              <w:right w:val="nil"/>
            </w:tcBorders>
            <w:vAlign w:val="center"/>
          </w:tcPr>
          <w:p w14:paraId="59305BEB">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0.158</w:t>
            </w:r>
          </w:p>
        </w:tc>
      </w:tr>
      <w:tr w14:paraId="07803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57" w:type="dxa"/>
            <w:tcBorders>
              <w:top w:val="nil"/>
              <w:left w:val="nil"/>
              <w:bottom w:val="nil"/>
              <w:right w:val="nil"/>
            </w:tcBorders>
            <w:vAlign w:val="center"/>
          </w:tcPr>
          <w:p w14:paraId="74ED2ED6">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MLP</w:t>
            </w:r>
          </w:p>
        </w:tc>
        <w:tc>
          <w:tcPr>
            <w:tcW w:w="2706" w:type="dxa"/>
            <w:tcBorders>
              <w:top w:val="nil"/>
              <w:left w:val="nil"/>
              <w:bottom w:val="nil"/>
              <w:right w:val="nil"/>
            </w:tcBorders>
            <w:vAlign w:val="center"/>
          </w:tcPr>
          <w:p w14:paraId="476B70CC">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0.089 (0.072–0.106)</w:t>
            </w:r>
          </w:p>
        </w:tc>
        <w:tc>
          <w:tcPr>
            <w:tcW w:w="3553" w:type="dxa"/>
            <w:tcBorders>
              <w:top w:val="nil"/>
              <w:left w:val="nil"/>
              <w:bottom w:val="nil"/>
              <w:right w:val="nil"/>
            </w:tcBorders>
            <w:vAlign w:val="center"/>
          </w:tcPr>
          <w:p w14:paraId="6423DE2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−0.005 (−0.015 to 0.006)</w:t>
            </w:r>
          </w:p>
        </w:tc>
        <w:tc>
          <w:tcPr>
            <w:tcW w:w="1006" w:type="dxa"/>
            <w:tcBorders>
              <w:top w:val="nil"/>
              <w:left w:val="nil"/>
              <w:bottom w:val="nil"/>
              <w:right w:val="nil"/>
            </w:tcBorders>
            <w:vAlign w:val="center"/>
          </w:tcPr>
          <w:p w14:paraId="0BD991F8">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0.350</w:t>
            </w:r>
          </w:p>
        </w:tc>
      </w:tr>
      <w:tr w14:paraId="11393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57" w:type="dxa"/>
            <w:tcBorders>
              <w:top w:val="nil"/>
              <w:left w:val="nil"/>
              <w:bottom w:val="nil"/>
              <w:right w:val="nil"/>
            </w:tcBorders>
            <w:vAlign w:val="center"/>
          </w:tcPr>
          <w:p w14:paraId="01DE0C47">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AdaBoost</w:t>
            </w:r>
          </w:p>
        </w:tc>
        <w:tc>
          <w:tcPr>
            <w:tcW w:w="2706" w:type="dxa"/>
            <w:tcBorders>
              <w:top w:val="nil"/>
              <w:left w:val="nil"/>
              <w:bottom w:val="nil"/>
              <w:right w:val="nil"/>
            </w:tcBorders>
            <w:vAlign w:val="center"/>
          </w:tcPr>
          <w:p w14:paraId="606121DB">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0.090 (0.072–0.107)</w:t>
            </w:r>
          </w:p>
        </w:tc>
        <w:tc>
          <w:tcPr>
            <w:tcW w:w="3553" w:type="dxa"/>
            <w:tcBorders>
              <w:top w:val="nil"/>
              <w:left w:val="nil"/>
              <w:bottom w:val="nil"/>
              <w:right w:val="nil"/>
            </w:tcBorders>
            <w:vAlign w:val="center"/>
          </w:tcPr>
          <w:p w14:paraId="19AF1907">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−0.006 (−0.011 to −0.001)</w:t>
            </w:r>
          </w:p>
        </w:tc>
        <w:tc>
          <w:tcPr>
            <w:tcW w:w="1006" w:type="dxa"/>
            <w:tcBorders>
              <w:top w:val="nil"/>
              <w:left w:val="nil"/>
              <w:bottom w:val="nil"/>
              <w:right w:val="nil"/>
            </w:tcBorders>
            <w:vAlign w:val="center"/>
          </w:tcPr>
          <w:p w14:paraId="7F5490BE">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0.024</w:t>
            </w:r>
          </w:p>
        </w:tc>
      </w:tr>
      <w:tr w14:paraId="1E72B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257" w:type="dxa"/>
            <w:tcBorders>
              <w:top w:val="nil"/>
              <w:left w:val="nil"/>
              <w:bottom w:val="single" w:color="auto" w:sz="4" w:space="0"/>
              <w:right w:val="nil"/>
            </w:tcBorders>
            <w:vAlign w:val="center"/>
          </w:tcPr>
          <w:p w14:paraId="5FA89E1E">
            <w:pPr>
              <w:keepNext w:val="0"/>
              <w:keepLines w:val="0"/>
              <w:widowControl/>
              <w:suppressLineNumbers w:val="0"/>
              <w:snapToGrid w:val="0"/>
              <w:ind w:left="0" w:leftChars="0" w:right="0" w:rightChars="0" w:firstLine="0" w:firstLineChars="0"/>
              <w:jc w:val="left"/>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Bagging</w:t>
            </w:r>
          </w:p>
        </w:tc>
        <w:tc>
          <w:tcPr>
            <w:tcW w:w="2706" w:type="dxa"/>
            <w:tcBorders>
              <w:top w:val="nil"/>
              <w:left w:val="nil"/>
              <w:bottom w:val="single" w:color="auto" w:sz="4" w:space="0"/>
              <w:right w:val="nil"/>
            </w:tcBorders>
            <w:vAlign w:val="center"/>
          </w:tcPr>
          <w:p w14:paraId="647EDA7A">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0.088 (0.072–0.103)</w:t>
            </w:r>
          </w:p>
        </w:tc>
        <w:tc>
          <w:tcPr>
            <w:tcW w:w="3553" w:type="dxa"/>
            <w:tcBorders>
              <w:top w:val="nil"/>
              <w:left w:val="nil"/>
              <w:bottom w:val="single" w:color="auto" w:sz="4" w:space="0"/>
              <w:right w:val="nil"/>
            </w:tcBorders>
            <w:vAlign w:val="center"/>
          </w:tcPr>
          <w:p w14:paraId="2ED01713">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−0.004 (−0.010 to 0.003)</w:t>
            </w:r>
          </w:p>
        </w:tc>
        <w:tc>
          <w:tcPr>
            <w:tcW w:w="1006" w:type="dxa"/>
            <w:tcBorders>
              <w:top w:val="nil"/>
              <w:left w:val="nil"/>
              <w:bottom w:val="single" w:color="auto" w:sz="4" w:space="0"/>
              <w:right w:val="nil"/>
            </w:tcBorders>
            <w:vAlign w:val="center"/>
          </w:tcPr>
          <w:p w14:paraId="1A8F3265">
            <w:pPr>
              <w:keepNext w:val="0"/>
              <w:keepLines w:val="0"/>
              <w:widowControl/>
              <w:suppressLineNumbers w:val="0"/>
              <w:snapToGrid w:val="0"/>
              <w:ind w:left="0" w:leftChars="0" w:right="0" w:rightChars="0" w:firstLine="0" w:firstLineChars="0"/>
              <w:jc w:val="cente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pPr>
            <w:r>
              <w:rPr>
                <w:rFonts w:hint="default" w:ascii="Times New Roman" w:hAnsi="Times New Roman" w:eastAsia="var(--dsw-font-markdown-table-h" w:cs="Times New Roman"/>
                <w:b w:val="0"/>
                <w:bCs w:val="0"/>
                <w:i w:val="0"/>
                <w:iCs w:val="0"/>
                <w:caps w:val="0"/>
                <w:color w:val="0F1115"/>
                <w:spacing w:val="0"/>
                <w:kern w:val="0"/>
                <w:sz w:val="21"/>
                <w:szCs w:val="21"/>
                <w:lang w:val="en-US" w:eastAsia="zh-CN" w:bidi="ar"/>
              </w:rPr>
              <w:t>0.234</w:t>
            </w:r>
          </w:p>
        </w:tc>
      </w:tr>
    </w:tbl>
    <w:p w14:paraId="330B7C6A">
      <w:pPr>
        <w:rPr>
          <w:rFonts w:hint="default" w:ascii="Times New Roman" w:hAnsi="Times New Roman" w:cs="Times New Roman" w:eastAsiaTheme="minorEastAsia"/>
          <w:b/>
          <w:bCs/>
          <w:color w:val="auto"/>
          <w:lang w:eastAsia="zh-CN"/>
        </w:rPr>
      </w:pPr>
      <w:r>
        <w:rPr>
          <w:rFonts w:hint="default" w:ascii="Times New Roman" w:hAnsi="Times New Roman" w:cs="Times New Roman" w:eastAsiaTheme="minorEastAsia"/>
          <w:b/>
          <w:bCs/>
          <w:color w:val="auto"/>
          <w:lang w:eastAsia="zh-CN"/>
        </w:rPr>
        <w:t xml:space="preserve">Note: </w:t>
      </w:r>
      <w:r>
        <w:rPr>
          <w:rFonts w:hint="default" w:ascii="Times New Roman" w:hAnsi="Times New Roman" w:cs="Times New Roman" w:eastAsiaTheme="minorEastAsia"/>
          <w:b w:val="0"/>
          <w:bCs w:val="0"/>
          <w:color w:val="auto"/>
          <w:lang w:eastAsia="zh-CN"/>
        </w:rPr>
        <w:t xml:space="preserve">Brier scores were calculated on the independent test set. The 95% confidence intervals (CIs) were derived from 1,000 bootstrap resamples (random seed = 2024). † Mean difference = Brier score of XGBoost minus Brier score of the comparator; negative values indicate lower (better) Brier score for XGBoost. </w:t>
      </w:r>
      <w:r>
        <w:rPr>
          <w:rFonts w:hint="default" w:ascii="Times New Roman" w:hAnsi="Times New Roman" w:cs="Times New Roman" w:eastAsiaTheme="minorEastAsia"/>
          <w:b w:val="0"/>
          <w:bCs w:val="0"/>
          <w:i/>
          <w:iCs/>
          <w:color w:val="auto"/>
          <w:lang w:eastAsia="zh-CN"/>
        </w:rPr>
        <w:t>P</w:t>
      </w:r>
      <w:r>
        <w:rPr>
          <w:rFonts w:hint="default" w:ascii="Times New Roman" w:hAnsi="Times New Roman" w:cs="Times New Roman" w:eastAsiaTheme="minorEastAsia"/>
          <w:b w:val="0"/>
          <w:bCs w:val="0"/>
          <w:color w:val="auto"/>
          <w:lang w:eastAsia="zh-CN"/>
        </w:rPr>
        <w:t xml:space="preserve"> values were obtained from bootstrap paired comparisons. A two-sided </w:t>
      </w:r>
      <w:r>
        <w:rPr>
          <w:rFonts w:hint="default" w:ascii="Times New Roman" w:hAnsi="Times New Roman" w:cs="Times New Roman" w:eastAsiaTheme="minorEastAsia"/>
          <w:b w:val="0"/>
          <w:bCs w:val="0"/>
          <w:i/>
          <w:iCs/>
          <w:color w:val="auto"/>
          <w:lang w:eastAsia="zh-CN"/>
        </w:rPr>
        <w:t>P</w:t>
      </w:r>
      <w:r>
        <w:rPr>
          <w:rFonts w:hint="default" w:ascii="Times New Roman" w:hAnsi="Times New Roman" w:cs="Times New Roman" w:eastAsiaTheme="minorEastAsia"/>
          <w:b w:val="0"/>
          <w:bCs w:val="0"/>
          <w:color w:val="auto"/>
          <w:lang w:eastAsia="zh-CN"/>
        </w:rPr>
        <w:t xml:space="preserve"> value &lt; 0.05 was considered statistically significant. XGBoost only significantly outperformed AdaBoost; all other pairwise differences were non-significant.</w:t>
      </w:r>
    </w:p>
    <w:p w14:paraId="3F902F73">
      <w:pPr>
        <w:rPr>
          <w:rFonts w:hint="default" w:ascii="Times New Roman" w:hAnsi="Times New Roman" w:cs="Times New Roman" w:eastAsiaTheme="minorEastAsia"/>
          <w:b/>
          <w:bCs/>
          <w:color w:val="auto"/>
          <w:lang w:eastAsia="zh-CN"/>
        </w:rPr>
      </w:pPr>
    </w:p>
    <w:p w14:paraId="526B04B2">
      <w:pPr>
        <w:rPr>
          <w:rFonts w:hint="default" w:ascii="Times New Roman" w:hAnsi="Times New Roman" w:cs="Times New Roman" w:eastAsiaTheme="minorEastAsia"/>
          <w:b/>
          <w:bCs/>
          <w:color w:val="auto"/>
          <w:lang w:eastAsia="zh-CN"/>
        </w:rPr>
      </w:pPr>
    </w:p>
    <w:p w14:paraId="540C759E">
      <w:pPr>
        <w:rPr>
          <w:rFonts w:hint="default" w:ascii="Times New Roman" w:hAnsi="Times New Roman" w:cs="Times New Roman" w:eastAsiaTheme="minorEastAsia"/>
          <w:b/>
          <w:bCs/>
          <w:color w:val="auto"/>
          <w:lang w:val="en-US" w:eastAsia="zh-CN"/>
        </w:rPr>
      </w:pPr>
      <w:r>
        <w:rPr>
          <w:rFonts w:hint="default" w:ascii="Times New Roman" w:hAnsi="Times New Roman" w:cs="Times New Roman" w:eastAsiaTheme="minorEastAsia"/>
          <w:b/>
          <w:bCs/>
          <w:color w:val="auto"/>
          <w:lang w:eastAsia="zh-CN"/>
        </w:rPr>
        <w:t>Supplementary Table S</w:t>
      </w:r>
      <w:r>
        <w:rPr>
          <w:rFonts w:hint="eastAsia" w:ascii="Times New Roman" w:hAnsi="Times New Roman" w:cs="Times New Roman"/>
          <w:b/>
          <w:bCs/>
          <w:color w:val="auto"/>
          <w:lang w:val="en-US" w:eastAsia="zh-CN"/>
        </w:rPr>
        <w:t>11</w:t>
      </w:r>
      <w:r>
        <w:rPr>
          <w:rFonts w:hint="default" w:ascii="Times New Roman" w:hAnsi="Times New Roman" w:cs="Times New Roman" w:eastAsiaTheme="minorEastAsia"/>
          <w:b/>
          <w:bCs/>
          <w:color w:val="auto"/>
          <w:lang w:eastAsia="zh-CN"/>
        </w:rPr>
        <w:t>. Internal validation and optimism correction of the final XGBoost model.</w:t>
      </w:r>
    </w:p>
    <w:tbl>
      <w:tblPr>
        <w:tblStyle w:val="3"/>
        <w:tblW w:w="8282" w:type="dxa"/>
        <w:tblInd w:w="1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32"/>
        <w:gridCol w:w="5250"/>
      </w:tblGrid>
      <w:tr w14:paraId="1886E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2" w:type="dxa"/>
            <w:tcBorders>
              <w:top w:val="single" w:color="auto" w:sz="4" w:space="0"/>
              <w:left w:val="nil"/>
              <w:bottom w:val="single" w:color="auto" w:sz="4" w:space="0"/>
              <w:right w:val="nil"/>
            </w:tcBorders>
            <w:vAlign w:val="center"/>
          </w:tcPr>
          <w:p w14:paraId="16273987">
            <w:pPr>
              <w:keepNext w:val="0"/>
              <w:keepLines w:val="0"/>
              <w:widowControl/>
              <w:suppressLineNumbers w:val="0"/>
              <w:snapToGrid w:val="0"/>
              <w:ind w:left="0" w:leftChars="0" w:right="0" w:rightChars="0" w:firstLine="0" w:firstLineChars="0"/>
              <w:jc w:val="center"/>
              <w:textAlignment w:val="bottom"/>
              <w:rPr>
                <w:rFonts w:hint="eastAsia"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Validation method</w:t>
            </w:r>
          </w:p>
        </w:tc>
        <w:tc>
          <w:tcPr>
            <w:tcW w:w="5250" w:type="dxa"/>
            <w:tcBorders>
              <w:top w:val="single" w:color="auto" w:sz="4" w:space="0"/>
              <w:left w:val="nil"/>
              <w:bottom w:val="single" w:color="auto" w:sz="4" w:space="0"/>
              <w:right w:val="nil"/>
            </w:tcBorders>
            <w:vAlign w:val="center"/>
          </w:tcPr>
          <w:p w14:paraId="0879C1DB">
            <w:pPr>
              <w:keepNext w:val="0"/>
              <w:keepLines w:val="0"/>
              <w:widowControl/>
              <w:suppressLineNumbers w:val="0"/>
              <w:snapToGrid w:val="0"/>
              <w:ind w:left="0" w:leftChars="0" w:right="0" w:rightChars="0" w:firstLine="0" w:firstLineChars="0"/>
              <w:jc w:val="center"/>
              <w:textAlignment w:val="bottom"/>
              <w:rPr>
                <w:rFonts w:hint="eastAsia" w:ascii="Times New Roman" w:hAnsi="Times New Roman" w:eastAsia="宋体" w:cs="Times New Roman"/>
                <w:b/>
                <w:bCs/>
                <w:i w:val="0"/>
                <w:iCs w:val="0"/>
                <w:color w:val="000000"/>
                <w:kern w:val="0"/>
                <w:sz w:val="20"/>
                <w:szCs w:val="20"/>
                <w:u w:val="none"/>
                <w:lang w:val="en-US" w:eastAsia="zh-CN" w:bidi="ar"/>
              </w:rPr>
            </w:pPr>
            <w:r>
              <w:rPr>
                <w:rFonts w:hint="default" w:ascii="Times New Roman" w:hAnsi="Times New Roman" w:eastAsia="宋体" w:cs="Times New Roman"/>
                <w:b/>
                <w:bCs/>
                <w:i w:val="0"/>
                <w:iCs w:val="0"/>
                <w:color w:val="000000"/>
                <w:kern w:val="0"/>
                <w:sz w:val="20"/>
                <w:szCs w:val="20"/>
                <w:u w:val="none"/>
                <w:lang w:val="en-US" w:eastAsia="zh-CN" w:bidi="ar"/>
              </w:rPr>
              <w:t>AUC</w:t>
            </w:r>
            <w:r>
              <w:rPr>
                <w:rFonts w:hint="eastAsia" w:ascii="Times New Roman" w:hAnsi="Times New Roman" w:eastAsia="宋体" w:cs="Times New Roman"/>
                <w:b/>
                <w:bCs/>
                <w:i w:val="0"/>
                <w:iCs w:val="0"/>
                <w:color w:val="000000"/>
                <w:kern w:val="0"/>
                <w:sz w:val="20"/>
                <w:szCs w:val="20"/>
                <w:u w:val="none"/>
                <w:lang w:val="en-US" w:eastAsia="zh-CN" w:bidi="ar"/>
              </w:rPr>
              <w:t>（95%CI）</w:t>
            </w:r>
          </w:p>
        </w:tc>
      </w:tr>
      <w:tr w14:paraId="2E9F6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2" w:type="dxa"/>
            <w:tcBorders>
              <w:top w:val="single" w:color="auto" w:sz="4" w:space="0"/>
              <w:left w:val="nil"/>
              <w:bottom w:val="nil"/>
              <w:right w:val="nil"/>
            </w:tcBorders>
            <w:vAlign w:val="center"/>
          </w:tcPr>
          <w:p w14:paraId="3E8D9584">
            <w:pPr>
              <w:keepNext w:val="0"/>
              <w:keepLines w:val="0"/>
              <w:widowControl/>
              <w:suppressLineNumbers w:val="0"/>
              <w:snapToGrid w:val="0"/>
              <w:ind w:left="0" w:leftChars="0" w:right="0" w:rightChars="0" w:firstLine="0" w:firstLineChars="0"/>
              <w:jc w:val="left"/>
              <w:textAlignment w:val="bottom"/>
              <w:rPr>
                <w:rFonts w:hint="default" w:ascii="Times New Roman" w:hAnsi="Times New Roman" w:eastAsia="宋体" w:cs="Times New Roman"/>
                <w:b w:val="0"/>
                <w:bCs w:val="0"/>
                <w:i w:val="0"/>
                <w:iCs w:val="0"/>
                <w:color w:val="000000"/>
                <w:kern w:val="0"/>
                <w:sz w:val="20"/>
                <w:szCs w:val="20"/>
                <w:u w:val="none"/>
                <w:lang w:val="en-US" w:eastAsia="zh-CN" w:bidi="ar"/>
              </w:rPr>
            </w:pPr>
            <w:r>
              <w:rPr>
                <w:rFonts w:hint="default" w:ascii="Times New Roman" w:hAnsi="Times New Roman" w:eastAsia="宋体" w:cs="Times New Roman"/>
                <w:b w:val="0"/>
                <w:bCs w:val="0"/>
                <w:i w:val="0"/>
                <w:iCs w:val="0"/>
                <w:color w:val="000000"/>
                <w:kern w:val="0"/>
                <w:sz w:val="20"/>
                <w:szCs w:val="20"/>
                <w:u w:val="none"/>
                <w:lang w:val="en-US" w:eastAsia="zh-CN" w:bidi="ar"/>
              </w:rPr>
              <w:t>Apparent (training set)</w:t>
            </w:r>
          </w:p>
        </w:tc>
        <w:tc>
          <w:tcPr>
            <w:tcW w:w="5250" w:type="dxa"/>
            <w:tcBorders>
              <w:top w:val="single" w:color="auto" w:sz="4" w:space="0"/>
              <w:left w:val="nil"/>
              <w:bottom w:val="nil"/>
              <w:right w:val="nil"/>
            </w:tcBorders>
            <w:vAlign w:val="center"/>
          </w:tcPr>
          <w:p w14:paraId="36621842">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b w:val="0"/>
                <w:bCs w:val="0"/>
                <w:i w:val="0"/>
                <w:iCs w:val="0"/>
                <w:color w:val="000000"/>
                <w:kern w:val="0"/>
                <w:sz w:val="20"/>
                <w:szCs w:val="20"/>
                <w:u w:val="none"/>
                <w:lang w:val="en-US" w:eastAsia="zh-CN" w:bidi="ar"/>
              </w:rPr>
            </w:pPr>
            <w:r>
              <w:rPr>
                <w:rFonts w:hint="default" w:ascii="Times New Roman" w:hAnsi="Times New Roman" w:eastAsia="宋体" w:cs="Times New Roman"/>
                <w:b w:val="0"/>
                <w:bCs w:val="0"/>
                <w:i w:val="0"/>
                <w:iCs w:val="0"/>
                <w:color w:val="000000"/>
                <w:kern w:val="0"/>
                <w:sz w:val="20"/>
                <w:szCs w:val="20"/>
                <w:u w:val="none"/>
                <w:lang w:val="en-US" w:eastAsia="zh-CN" w:bidi="ar"/>
              </w:rPr>
              <w:t>0.909 (95% CI: 0.886–0.931)</w:t>
            </w:r>
          </w:p>
        </w:tc>
      </w:tr>
      <w:tr w14:paraId="4E0AC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2" w:type="dxa"/>
            <w:tcBorders>
              <w:top w:val="nil"/>
              <w:left w:val="nil"/>
              <w:bottom w:val="nil"/>
              <w:right w:val="nil"/>
            </w:tcBorders>
            <w:vAlign w:val="center"/>
          </w:tcPr>
          <w:p w14:paraId="750CFD1A">
            <w:pPr>
              <w:keepNext w:val="0"/>
              <w:keepLines w:val="0"/>
              <w:widowControl/>
              <w:suppressLineNumbers w:val="0"/>
              <w:snapToGrid w:val="0"/>
              <w:ind w:left="0" w:leftChars="0" w:right="0" w:rightChars="0" w:firstLine="0" w:firstLineChars="0"/>
              <w:jc w:val="left"/>
              <w:textAlignment w:val="bottom"/>
              <w:rPr>
                <w:rFonts w:hint="default" w:ascii="Times New Roman" w:hAnsi="Times New Roman" w:eastAsia="宋体" w:cs="Times New Roman"/>
                <w:b w:val="0"/>
                <w:bCs w:val="0"/>
                <w:i w:val="0"/>
                <w:iCs w:val="0"/>
                <w:color w:val="000000"/>
                <w:kern w:val="0"/>
                <w:sz w:val="20"/>
                <w:szCs w:val="20"/>
                <w:u w:val="none"/>
                <w:lang w:val="en-US" w:eastAsia="zh-CN" w:bidi="ar"/>
              </w:rPr>
            </w:pPr>
            <w:r>
              <w:rPr>
                <w:rFonts w:hint="default" w:ascii="Times New Roman" w:hAnsi="Times New Roman" w:eastAsia="宋体" w:cs="Times New Roman"/>
                <w:b w:val="0"/>
                <w:bCs w:val="0"/>
                <w:i w:val="0"/>
                <w:iCs w:val="0"/>
                <w:color w:val="000000"/>
                <w:kern w:val="0"/>
                <w:sz w:val="20"/>
                <w:szCs w:val="20"/>
                <w:u w:val="none"/>
                <w:lang w:val="en-US" w:eastAsia="zh-CN" w:bidi="ar"/>
              </w:rPr>
              <w:t>10</w:t>
            </w:r>
            <w:r>
              <w:rPr>
                <w:rFonts w:hint="default" w:ascii="Times New Roman" w:hAnsi="Times New Roman" w:eastAsia="宋体" w:cs="Times New Roman"/>
                <w:b w:val="0"/>
                <w:bCs w:val="0"/>
                <w:i w:val="0"/>
                <w:iCs w:val="0"/>
                <w:color w:val="000000"/>
                <w:kern w:val="0"/>
                <w:sz w:val="20"/>
                <w:szCs w:val="20"/>
                <w:u w:val="none"/>
                <w:lang w:val="en-US" w:eastAsia="zh-CN" w:bidi="ar"/>
              </w:rPr>
              <w:noBreakHyphen/>
            </w:r>
            <w:r>
              <w:rPr>
                <w:rFonts w:hint="default" w:ascii="Times New Roman" w:hAnsi="Times New Roman" w:eastAsia="宋体" w:cs="Times New Roman"/>
                <w:b w:val="0"/>
                <w:bCs w:val="0"/>
                <w:i w:val="0"/>
                <w:iCs w:val="0"/>
                <w:color w:val="000000"/>
                <w:kern w:val="0"/>
                <w:sz w:val="20"/>
                <w:szCs w:val="20"/>
                <w:u w:val="none"/>
                <w:lang w:val="en-US" w:eastAsia="zh-CN" w:bidi="ar"/>
              </w:rPr>
              <w:t>fold cross</w:t>
            </w:r>
            <w:r>
              <w:rPr>
                <w:rFonts w:hint="default" w:ascii="Times New Roman" w:hAnsi="Times New Roman" w:eastAsia="宋体" w:cs="Times New Roman"/>
                <w:b w:val="0"/>
                <w:bCs w:val="0"/>
                <w:i w:val="0"/>
                <w:iCs w:val="0"/>
                <w:color w:val="000000"/>
                <w:kern w:val="0"/>
                <w:sz w:val="20"/>
                <w:szCs w:val="20"/>
                <w:u w:val="none"/>
                <w:lang w:val="en-US" w:eastAsia="zh-CN" w:bidi="ar"/>
              </w:rPr>
              <w:noBreakHyphen/>
            </w:r>
            <w:r>
              <w:rPr>
                <w:rFonts w:hint="default" w:ascii="Times New Roman" w:hAnsi="Times New Roman" w:eastAsia="宋体" w:cs="Times New Roman"/>
                <w:b w:val="0"/>
                <w:bCs w:val="0"/>
                <w:i w:val="0"/>
                <w:iCs w:val="0"/>
                <w:color w:val="000000"/>
                <w:kern w:val="0"/>
                <w:sz w:val="20"/>
                <w:szCs w:val="20"/>
                <w:u w:val="none"/>
                <w:lang w:val="en-US" w:eastAsia="zh-CN" w:bidi="ar"/>
              </w:rPr>
              <w:t>validation</w:t>
            </w:r>
          </w:p>
        </w:tc>
        <w:tc>
          <w:tcPr>
            <w:tcW w:w="5250" w:type="dxa"/>
            <w:tcBorders>
              <w:top w:val="nil"/>
              <w:left w:val="nil"/>
              <w:bottom w:val="nil"/>
              <w:right w:val="nil"/>
            </w:tcBorders>
            <w:vAlign w:val="center"/>
          </w:tcPr>
          <w:p w14:paraId="1F95A020">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b w:val="0"/>
                <w:bCs w:val="0"/>
                <w:i w:val="0"/>
                <w:iCs w:val="0"/>
                <w:color w:val="000000"/>
                <w:kern w:val="0"/>
                <w:sz w:val="20"/>
                <w:szCs w:val="20"/>
                <w:u w:val="none"/>
                <w:lang w:val="en-US" w:eastAsia="zh-CN" w:bidi="ar"/>
              </w:rPr>
            </w:pPr>
            <w:r>
              <w:rPr>
                <w:rFonts w:hint="default" w:ascii="Times New Roman" w:hAnsi="Times New Roman" w:eastAsia="宋体" w:cs="Times New Roman"/>
                <w:b w:val="0"/>
                <w:bCs w:val="0"/>
                <w:i w:val="0"/>
                <w:iCs w:val="0"/>
                <w:color w:val="000000"/>
                <w:kern w:val="0"/>
                <w:sz w:val="20"/>
                <w:szCs w:val="20"/>
                <w:u w:val="none"/>
                <w:lang w:val="en-US" w:eastAsia="zh-CN" w:bidi="ar"/>
              </w:rPr>
              <w:t>0.855 (95% CI: 0.828–0.882)</w:t>
            </w:r>
          </w:p>
        </w:tc>
      </w:tr>
      <w:tr w14:paraId="05DE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2" w:type="dxa"/>
            <w:tcBorders>
              <w:top w:val="nil"/>
              <w:left w:val="nil"/>
              <w:bottom w:val="nil"/>
              <w:right w:val="nil"/>
            </w:tcBorders>
            <w:vAlign w:val="center"/>
          </w:tcPr>
          <w:p w14:paraId="79B87DBB">
            <w:pPr>
              <w:keepNext w:val="0"/>
              <w:keepLines w:val="0"/>
              <w:widowControl/>
              <w:suppressLineNumbers w:val="0"/>
              <w:snapToGrid w:val="0"/>
              <w:ind w:left="0" w:leftChars="0" w:right="0" w:rightChars="0" w:firstLine="0" w:firstLineChars="0"/>
              <w:jc w:val="left"/>
              <w:textAlignment w:val="bottom"/>
              <w:rPr>
                <w:rFonts w:hint="default" w:ascii="Times New Roman" w:hAnsi="Times New Roman" w:eastAsia="宋体" w:cs="Times New Roman"/>
                <w:b w:val="0"/>
                <w:bCs w:val="0"/>
                <w:i w:val="0"/>
                <w:iCs w:val="0"/>
                <w:color w:val="000000"/>
                <w:kern w:val="0"/>
                <w:sz w:val="20"/>
                <w:szCs w:val="20"/>
                <w:u w:val="none"/>
                <w:lang w:val="en-US" w:eastAsia="zh-CN" w:bidi="ar"/>
              </w:rPr>
            </w:pPr>
            <w:r>
              <w:rPr>
                <w:rFonts w:hint="default" w:ascii="Times New Roman" w:hAnsi="Times New Roman" w:eastAsia="宋体" w:cs="Times New Roman"/>
                <w:b w:val="0"/>
                <w:bCs w:val="0"/>
                <w:i w:val="0"/>
                <w:iCs w:val="0"/>
                <w:color w:val="000000"/>
                <w:kern w:val="0"/>
                <w:sz w:val="20"/>
                <w:szCs w:val="20"/>
                <w:u w:val="none"/>
                <w:lang w:val="en-US" w:eastAsia="zh-CN" w:bidi="ar"/>
              </w:rPr>
              <w:t>Bootstrap optimism</w:t>
            </w:r>
            <w:r>
              <w:rPr>
                <w:rFonts w:hint="default" w:ascii="Times New Roman" w:hAnsi="Times New Roman" w:eastAsia="宋体" w:cs="Times New Roman"/>
                <w:b w:val="0"/>
                <w:bCs w:val="0"/>
                <w:i w:val="0"/>
                <w:iCs w:val="0"/>
                <w:color w:val="000000"/>
                <w:kern w:val="0"/>
                <w:sz w:val="20"/>
                <w:szCs w:val="20"/>
                <w:u w:val="none"/>
                <w:lang w:val="en-US" w:eastAsia="zh-CN" w:bidi="ar"/>
              </w:rPr>
              <w:noBreakHyphen/>
            </w:r>
            <w:r>
              <w:rPr>
                <w:rFonts w:hint="default" w:ascii="Times New Roman" w:hAnsi="Times New Roman" w:eastAsia="宋体" w:cs="Times New Roman"/>
                <w:b w:val="0"/>
                <w:bCs w:val="0"/>
                <w:i w:val="0"/>
                <w:iCs w:val="0"/>
                <w:color w:val="000000"/>
                <w:kern w:val="0"/>
                <w:sz w:val="20"/>
                <w:szCs w:val="20"/>
                <w:u w:val="none"/>
                <w:lang w:val="en-US" w:eastAsia="zh-CN" w:bidi="ar"/>
              </w:rPr>
              <w:t>corrected</w:t>
            </w:r>
          </w:p>
        </w:tc>
        <w:tc>
          <w:tcPr>
            <w:tcW w:w="5250" w:type="dxa"/>
            <w:tcBorders>
              <w:top w:val="nil"/>
              <w:left w:val="nil"/>
              <w:bottom w:val="nil"/>
              <w:right w:val="nil"/>
            </w:tcBorders>
            <w:vAlign w:val="center"/>
          </w:tcPr>
          <w:p w14:paraId="59A18231">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b w:val="0"/>
                <w:bCs w:val="0"/>
                <w:i w:val="0"/>
                <w:iCs w:val="0"/>
                <w:color w:val="000000"/>
                <w:kern w:val="0"/>
                <w:sz w:val="20"/>
                <w:szCs w:val="20"/>
                <w:u w:val="none"/>
                <w:lang w:val="en-US" w:eastAsia="zh-CN" w:bidi="ar"/>
              </w:rPr>
            </w:pPr>
            <w:r>
              <w:rPr>
                <w:rFonts w:hint="default" w:ascii="Times New Roman" w:hAnsi="Times New Roman" w:eastAsia="宋体" w:cs="Times New Roman"/>
                <w:b w:val="0"/>
                <w:bCs w:val="0"/>
                <w:i w:val="0"/>
                <w:iCs w:val="0"/>
                <w:color w:val="000000"/>
                <w:kern w:val="0"/>
                <w:sz w:val="20"/>
                <w:szCs w:val="20"/>
                <w:u w:val="none"/>
                <w:lang w:val="en-US" w:eastAsia="zh-CN" w:bidi="ar"/>
              </w:rPr>
              <w:t>0.870 (95% CI: 0.848–0.891)</w:t>
            </w:r>
          </w:p>
        </w:tc>
      </w:tr>
      <w:tr w14:paraId="7AA20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2" w:type="dxa"/>
            <w:tcBorders>
              <w:top w:val="nil"/>
              <w:left w:val="nil"/>
              <w:bottom w:val="single" w:color="auto" w:sz="4" w:space="0"/>
              <w:right w:val="nil"/>
            </w:tcBorders>
            <w:vAlign w:val="center"/>
          </w:tcPr>
          <w:p w14:paraId="5C2EF435">
            <w:pPr>
              <w:keepNext w:val="0"/>
              <w:keepLines w:val="0"/>
              <w:widowControl/>
              <w:suppressLineNumbers w:val="0"/>
              <w:snapToGrid w:val="0"/>
              <w:ind w:left="0" w:leftChars="0" w:right="0" w:rightChars="0" w:firstLine="0" w:firstLineChars="0"/>
              <w:jc w:val="left"/>
              <w:textAlignment w:val="bottom"/>
              <w:rPr>
                <w:rFonts w:hint="default" w:ascii="Times New Roman" w:hAnsi="Times New Roman" w:eastAsia="宋体" w:cs="Times New Roman"/>
                <w:b w:val="0"/>
                <w:bCs w:val="0"/>
                <w:i w:val="0"/>
                <w:iCs w:val="0"/>
                <w:color w:val="000000"/>
                <w:kern w:val="0"/>
                <w:sz w:val="20"/>
                <w:szCs w:val="20"/>
                <w:u w:val="none"/>
                <w:lang w:val="en-US" w:eastAsia="zh-CN" w:bidi="ar"/>
              </w:rPr>
            </w:pPr>
            <w:r>
              <w:rPr>
                <w:rFonts w:hint="default" w:ascii="Times New Roman" w:hAnsi="Times New Roman" w:eastAsia="宋体" w:cs="Times New Roman"/>
                <w:b w:val="0"/>
                <w:bCs w:val="0"/>
                <w:i w:val="0"/>
                <w:iCs w:val="0"/>
                <w:color w:val="000000"/>
                <w:kern w:val="0"/>
                <w:sz w:val="20"/>
                <w:szCs w:val="20"/>
                <w:u w:val="none"/>
                <w:lang w:val="en-US" w:eastAsia="zh-CN" w:bidi="ar"/>
              </w:rPr>
              <w:t>Test set</w:t>
            </w:r>
          </w:p>
        </w:tc>
        <w:tc>
          <w:tcPr>
            <w:tcW w:w="5250" w:type="dxa"/>
            <w:tcBorders>
              <w:top w:val="nil"/>
              <w:left w:val="nil"/>
              <w:bottom w:val="single" w:color="auto" w:sz="4" w:space="0"/>
              <w:right w:val="nil"/>
            </w:tcBorders>
            <w:vAlign w:val="center"/>
          </w:tcPr>
          <w:p w14:paraId="1A33FEB7">
            <w:pPr>
              <w:keepNext w:val="0"/>
              <w:keepLines w:val="0"/>
              <w:widowControl/>
              <w:suppressLineNumbers w:val="0"/>
              <w:snapToGrid w:val="0"/>
              <w:ind w:left="0" w:leftChars="0" w:right="0" w:rightChars="0" w:firstLine="0" w:firstLineChars="0"/>
              <w:jc w:val="center"/>
              <w:textAlignment w:val="bottom"/>
              <w:rPr>
                <w:rFonts w:hint="default" w:ascii="Times New Roman" w:hAnsi="Times New Roman" w:eastAsia="宋体" w:cs="Times New Roman"/>
                <w:b w:val="0"/>
                <w:bCs w:val="0"/>
                <w:i w:val="0"/>
                <w:iCs w:val="0"/>
                <w:color w:val="000000"/>
                <w:kern w:val="0"/>
                <w:sz w:val="20"/>
                <w:szCs w:val="20"/>
                <w:u w:val="none"/>
                <w:lang w:val="en-US" w:eastAsia="zh-CN" w:bidi="ar"/>
              </w:rPr>
            </w:pPr>
            <w:r>
              <w:rPr>
                <w:rFonts w:hint="default" w:ascii="Times New Roman" w:hAnsi="Times New Roman" w:eastAsia="宋体" w:cs="Times New Roman"/>
                <w:b w:val="0"/>
                <w:bCs w:val="0"/>
                <w:i w:val="0"/>
                <w:iCs w:val="0"/>
                <w:color w:val="000000"/>
                <w:kern w:val="0"/>
                <w:sz w:val="20"/>
                <w:szCs w:val="20"/>
                <w:u w:val="none"/>
                <w:lang w:val="en-US" w:eastAsia="zh-CN" w:bidi="ar"/>
              </w:rPr>
              <w:t>0.838 (95% CI: 0.794–0.882)</w:t>
            </w:r>
          </w:p>
        </w:tc>
      </w:tr>
    </w:tbl>
    <w:p w14:paraId="4DBFB774">
      <w:pPr>
        <w:rPr>
          <w:rFonts w:hint="default" w:ascii="Times New Roman" w:hAnsi="Times New Roman" w:cs="Times New Roman"/>
          <w:b/>
          <w:bCs/>
        </w:rPr>
      </w:pPr>
      <w:r>
        <w:rPr>
          <w:rFonts w:hint="default" w:ascii="Times New Roman" w:hAnsi="Times New Roman" w:cs="Times New Roman" w:eastAsiaTheme="minorEastAsia"/>
          <w:b/>
          <w:bCs/>
          <w:lang w:eastAsia="zh-CN"/>
        </w:rPr>
        <w:t>Note:</w:t>
      </w:r>
      <w:r>
        <w:rPr>
          <w:rFonts w:hint="default" w:ascii="Times New Roman" w:hAnsi="Times New Roman" w:cs="Times New Roman" w:eastAsiaTheme="minorEastAsia"/>
          <w:lang w:eastAsia="zh-CN"/>
        </w:rPr>
        <w:t xml:space="preserve"> AUC, area under the curve; CI, confidence interval. Internal validation was performed using 10‑fold cross‑validation and bootstrap optimism correction (1,000 resamples, random seed = 123) on the training set. The Apparent AUC was calculated on the full training set. Test set AUC was evaluated on the independent test set with 95% CIs estimated using the DeLong method.</w:t>
      </w:r>
    </w:p>
    <w:p w14:paraId="5EDE5423">
      <w:pPr>
        <w:rPr>
          <w:rFonts w:hint="default" w:ascii="Times New Roman" w:hAnsi="Times New Roman" w:cs="Times New Roman" w:eastAsiaTheme="minorEastAsia"/>
          <w:b w:val="0"/>
          <w:bCs w:val="0"/>
          <w:color w:val="auto"/>
          <w:lang w:eastAsia="zh-CN"/>
        </w:rPr>
      </w:pPr>
    </w:p>
    <w:p w14:paraId="2BF95F94">
      <w:pPr>
        <w:rPr>
          <w:rFonts w:hint="default" w:ascii="Times New Roman" w:hAnsi="Times New Roman" w:cs="Times New Roman"/>
          <w:b/>
          <w:bCs/>
        </w:rPr>
      </w:pPr>
      <w:r>
        <w:rPr>
          <w:rFonts w:hint="default" w:ascii="Times New Roman" w:hAnsi="Times New Roman" w:cs="Times New Roman"/>
          <w:b/>
          <w:bCs/>
        </w:rPr>
        <w:t>Supplementary Table S</w:t>
      </w:r>
      <w:r>
        <w:rPr>
          <w:rFonts w:hint="eastAsia" w:ascii="Times New Roman" w:hAnsi="Times New Roman" w:cs="Times New Roman"/>
          <w:b/>
          <w:bCs/>
          <w:lang w:val="en-US" w:eastAsia="zh-CN"/>
        </w:rPr>
        <w:t>12</w:t>
      </w:r>
      <w:r>
        <w:rPr>
          <w:rFonts w:hint="default" w:ascii="Times New Roman" w:hAnsi="Times New Roman" w:cs="Times New Roman"/>
          <w:b/>
          <w:bCs/>
        </w:rPr>
        <w:t>. Risk stratification of TyG-CVAI for 5-year advanced CKM syndrome in the test set.</w:t>
      </w:r>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2"/>
        <w:gridCol w:w="1663"/>
        <w:gridCol w:w="531"/>
        <w:gridCol w:w="788"/>
        <w:gridCol w:w="1997"/>
        <w:gridCol w:w="1714"/>
        <w:gridCol w:w="817"/>
      </w:tblGrid>
      <w:tr w14:paraId="30E13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93" w:type="pct"/>
            <w:tcBorders>
              <w:top w:val="single" w:color="auto" w:sz="4" w:space="0"/>
              <w:left w:val="nil"/>
              <w:bottom w:val="single" w:color="auto" w:sz="4" w:space="0"/>
              <w:right w:val="nil"/>
            </w:tcBorders>
            <w:vAlign w:val="center"/>
          </w:tcPr>
          <w:p w14:paraId="732492BC">
            <w:pPr>
              <w:snapToGrid w:val="0"/>
              <w:ind w:left="0" w:leftChars="0" w:right="0" w:rightChars="0" w:firstLine="0" w:firstLineChars="0"/>
              <w:jc w:val="center"/>
              <w:rPr>
                <w:rFonts w:hint="default" w:ascii="Times New Roman" w:hAnsi="Times New Roman" w:cs="Times New Roman"/>
                <w:b/>
                <w:bCs/>
                <w:sz w:val="18"/>
                <w:szCs w:val="21"/>
                <w:vertAlign w:val="baseline"/>
              </w:rPr>
            </w:pPr>
            <w:r>
              <w:rPr>
                <w:rFonts w:hint="default" w:ascii="Times New Roman" w:hAnsi="Times New Roman" w:cs="Times New Roman"/>
                <w:b/>
                <w:sz w:val="18"/>
                <w:szCs w:val="21"/>
              </w:rPr>
              <w:t>Risk stratum</w:t>
            </w:r>
          </w:p>
        </w:tc>
        <w:tc>
          <w:tcPr>
            <w:tcW w:w="975" w:type="pct"/>
            <w:tcBorders>
              <w:top w:val="single" w:color="auto" w:sz="4" w:space="0"/>
              <w:left w:val="nil"/>
              <w:bottom w:val="single" w:color="auto" w:sz="4" w:space="0"/>
              <w:right w:val="nil"/>
            </w:tcBorders>
            <w:vAlign w:val="center"/>
          </w:tcPr>
          <w:p w14:paraId="5E4B5E82">
            <w:pPr>
              <w:snapToGrid w:val="0"/>
              <w:ind w:left="0" w:leftChars="0" w:right="0" w:rightChars="0" w:firstLine="0" w:firstLineChars="0"/>
              <w:jc w:val="center"/>
              <w:rPr>
                <w:rFonts w:hint="default" w:ascii="Times New Roman" w:hAnsi="Times New Roman" w:cs="Times New Roman"/>
                <w:b/>
                <w:bCs/>
                <w:sz w:val="18"/>
                <w:szCs w:val="21"/>
                <w:vertAlign w:val="baseline"/>
              </w:rPr>
            </w:pPr>
            <w:r>
              <w:rPr>
                <w:rFonts w:hint="default" w:ascii="Times New Roman" w:hAnsi="Times New Roman" w:cs="Times New Roman"/>
                <w:b/>
                <w:sz w:val="18"/>
                <w:szCs w:val="21"/>
              </w:rPr>
              <w:t>Predicted probability range</w:t>
            </w:r>
          </w:p>
        </w:tc>
        <w:tc>
          <w:tcPr>
            <w:tcW w:w="311" w:type="pct"/>
            <w:tcBorders>
              <w:top w:val="single" w:color="auto" w:sz="4" w:space="0"/>
              <w:left w:val="nil"/>
              <w:bottom w:val="single" w:color="auto" w:sz="4" w:space="0"/>
              <w:right w:val="nil"/>
            </w:tcBorders>
            <w:vAlign w:val="center"/>
          </w:tcPr>
          <w:p w14:paraId="0B0674B1">
            <w:pPr>
              <w:snapToGrid w:val="0"/>
              <w:ind w:left="0" w:leftChars="0" w:right="0" w:rightChars="0" w:firstLine="0" w:firstLineChars="0"/>
              <w:jc w:val="center"/>
              <w:rPr>
                <w:rFonts w:hint="default" w:ascii="Times New Roman" w:hAnsi="Times New Roman" w:cs="Times New Roman"/>
                <w:b/>
                <w:bCs/>
                <w:sz w:val="18"/>
                <w:szCs w:val="21"/>
                <w:vertAlign w:val="baseline"/>
              </w:rPr>
            </w:pPr>
            <w:r>
              <w:rPr>
                <w:rFonts w:hint="default" w:ascii="Times New Roman" w:hAnsi="Times New Roman" w:cs="Times New Roman"/>
                <w:b/>
                <w:sz w:val="18"/>
                <w:szCs w:val="21"/>
              </w:rPr>
              <w:t>N</w:t>
            </w:r>
          </w:p>
        </w:tc>
        <w:tc>
          <w:tcPr>
            <w:tcW w:w="462" w:type="pct"/>
            <w:tcBorders>
              <w:top w:val="single" w:color="auto" w:sz="4" w:space="0"/>
              <w:left w:val="nil"/>
              <w:bottom w:val="single" w:color="auto" w:sz="4" w:space="0"/>
              <w:right w:val="nil"/>
            </w:tcBorders>
            <w:vAlign w:val="center"/>
          </w:tcPr>
          <w:p w14:paraId="4C604ACC">
            <w:pPr>
              <w:snapToGrid w:val="0"/>
              <w:ind w:left="0" w:leftChars="0" w:right="0" w:rightChars="0" w:firstLine="0" w:firstLineChars="0"/>
              <w:jc w:val="center"/>
              <w:rPr>
                <w:rFonts w:hint="default" w:ascii="Times New Roman" w:hAnsi="Times New Roman" w:cs="Times New Roman"/>
                <w:b/>
                <w:bCs/>
                <w:sz w:val="18"/>
                <w:szCs w:val="21"/>
                <w:vertAlign w:val="baseline"/>
              </w:rPr>
            </w:pPr>
            <w:r>
              <w:rPr>
                <w:rFonts w:hint="default" w:ascii="Times New Roman" w:hAnsi="Times New Roman" w:cs="Times New Roman"/>
                <w:b/>
                <w:sz w:val="18"/>
                <w:szCs w:val="21"/>
              </w:rPr>
              <w:t>Events</w:t>
            </w:r>
          </w:p>
        </w:tc>
        <w:tc>
          <w:tcPr>
            <w:tcW w:w="1171" w:type="pct"/>
            <w:tcBorders>
              <w:top w:val="single" w:color="auto" w:sz="4" w:space="0"/>
              <w:left w:val="nil"/>
              <w:bottom w:val="single" w:color="auto" w:sz="4" w:space="0"/>
              <w:right w:val="nil"/>
            </w:tcBorders>
            <w:vAlign w:val="center"/>
          </w:tcPr>
          <w:p w14:paraId="523342DD">
            <w:pPr>
              <w:snapToGrid w:val="0"/>
              <w:ind w:left="0" w:leftChars="0" w:right="0" w:rightChars="0" w:firstLine="0" w:firstLineChars="0"/>
              <w:jc w:val="center"/>
              <w:rPr>
                <w:rFonts w:hint="default" w:ascii="Times New Roman" w:hAnsi="Times New Roman" w:cs="Times New Roman"/>
                <w:b/>
                <w:bCs/>
                <w:sz w:val="18"/>
                <w:szCs w:val="21"/>
                <w:vertAlign w:val="baseline"/>
              </w:rPr>
            </w:pPr>
            <w:r>
              <w:rPr>
                <w:rFonts w:hint="default" w:ascii="Times New Roman" w:hAnsi="Times New Roman" w:cs="Times New Roman"/>
                <w:b/>
                <w:sz w:val="18"/>
                <w:szCs w:val="21"/>
              </w:rPr>
              <w:t>Cumulative incidence at 5 years (%)</w:t>
            </w:r>
          </w:p>
        </w:tc>
        <w:tc>
          <w:tcPr>
            <w:tcW w:w="1005" w:type="pct"/>
            <w:tcBorders>
              <w:top w:val="single" w:color="auto" w:sz="4" w:space="0"/>
              <w:left w:val="nil"/>
              <w:bottom w:val="single" w:color="auto" w:sz="4" w:space="0"/>
              <w:right w:val="nil"/>
            </w:tcBorders>
            <w:vAlign w:val="center"/>
          </w:tcPr>
          <w:p w14:paraId="0CC4E5A1">
            <w:pPr>
              <w:snapToGrid w:val="0"/>
              <w:ind w:left="0" w:leftChars="0" w:right="0" w:rightChars="0" w:firstLine="0" w:firstLineChars="0"/>
              <w:jc w:val="center"/>
              <w:rPr>
                <w:rFonts w:hint="default" w:ascii="Times New Roman" w:hAnsi="Times New Roman" w:cs="Times New Roman"/>
                <w:b/>
                <w:bCs/>
                <w:sz w:val="18"/>
                <w:szCs w:val="21"/>
                <w:vertAlign w:val="baseline"/>
              </w:rPr>
            </w:pPr>
            <w:r>
              <w:rPr>
                <w:rFonts w:hint="default" w:ascii="Times New Roman" w:hAnsi="Times New Roman" w:cs="Times New Roman"/>
                <w:b/>
                <w:sz w:val="18"/>
                <w:szCs w:val="21"/>
              </w:rPr>
              <w:t>HR (95% CI)</w:t>
            </w:r>
          </w:p>
        </w:tc>
        <w:tc>
          <w:tcPr>
            <w:tcW w:w="479" w:type="pct"/>
            <w:tcBorders>
              <w:top w:val="single" w:color="auto" w:sz="4" w:space="0"/>
              <w:left w:val="nil"/>
              <w:bottom w:val="single" w:color="auto" w:sz="4" w:space="0"/>
              <w:right w:val="nil"/>
            </w:tcBorders>
            <w:vAlign w:val="center"/>
          </w:tcPr>
          <w:p w14:paraId="482E54FE">
            <w:pPr>
              <w:snapToGrid w:val="0"/>
              <w:ind w:left="0" w:leftChars="0" w:right="0" w:rightChars="0" w:firstLine="0" w:firstLineChars="0"/>
              <w:jc w:val="center"/>
              <w:rPr>
                <w:rFonts w:hint="default" w:ascii="Times New Roman" w:hAnsi="Times New Roman" w:cs="Times New Roman"/>
                <w:b/>
                <w:bCs/>
                <w:sz w:val="18"/>
                <w:szCs w:val="21"/>
                <w:vertAlign w:val="baseline"/>
              </w:rPr>
            </w:pPr>
            <w:r>
              <w:rPr>
                <w:rFonts w:hint="default" w:ascii="Times New Roman" w:hAnsi="Times New Roman" w:cs="Times New Roman"/>
                <w:b/>
                <w:sz w:val="18"/>
                <w:szCs w:val="21"/>
              </w:rPr>
              <w:t>P value</w:t>
            </w:r>
          </w:p>
        </w:tc>
      </w:tr>
      <w:tr w14:paraId="51227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93" w:type="pct"/>
            <w:tcBorders>
              <w:top w:val="single" w:color="auto" w:sz="4" w:space="0"/>
              <w:left w:val="nil"/>
              <w:bottom w:val="nil"/>
              <w:right w:val="nil"/>
            </w:tcBorders>
            <w:vAlign w:val="center"/>
          </w:tcPr>
          <w:p w14:paraId="3F77CDAD">
            <w:pPr>
              <w:snapToGrid w:val="0"/>
              <w:ind w:left="0" w:leftChars="0" w:right="0" w:rightChars="0" w:firstLine="0" w:firstLineChars="0"/>
              <w:jc w:val="center"/>
              <w:rPr>
                <w:rFonts w:hint="default" w:ascii="Times New Roman" w:hAnsi="Times New Roman" w:cs="Times New Roman"/>
                <w:b/>
                <w:bCs/>
                <w:sz w:val="18"/>
                <w:szCs w:val="21"/>
                <w:vertAlign w:val="baseline"/>
              </w:rPr>
            </w:pPr>
            <w:r>
              <w:rPr>
                <w:rFonts w:hint="default" w:ascii="Times New Roman" w:hAnsi="Times New Roman" w:cs="Times New Roman"/>
                <w:sz w:val="18"/>
                <w:szCs w:val="21"/>
              </w:rPr>
              <w:t>Low risk</w:t>
            </w:r>
          </w:p>
        </w:tc>
        <w:tc>
          <w:tcPr>
            <w:tcW w:w="975" w:type="pct"/>
            <w:tcBorders>
              <w:top w:val="single" w:color="auto" w:sz="4" w:space="0"/>
              <w:left w:val="nil"/>
              <w:bottom w:val="nil"/>
              <w:right w:val="nil"/>
            </w:tcBorders>
            <w:vAlign w:val="center"/>
          </w:tcPr>
          <w:p w14:paraId="26841896">
            <w:pPr>
              <w:snapToGrid w:val="0"/>
              <w:ind w:left="0" w:leftChars="0" w:right="0" w:rightChars="0" w:firstLine="0" w:firstLineChars="0"/>
              <w:jc w:val="center"/>
              <w:rPr>
                <w:rFonts w:hint="default" w:ascii="Times New Roman" w:hAnsi="Times New Roman" w:cs="Times New Roman"/>
                <w:b/>
                <w:bCs/>
                <w:sz w:val="18"/>
                <w:szCs w:val="21"/>
                <w:vertAlign w:val="baseline"/>
              </w:rPr>
            </w:pPr>
            <w:r>
              <w:rPr>
                <w:rFonts w:hint="default" w:ascii="Times New Roman" w:hAnsi="Times New Roman" w:cs="Times New Roman"/>
                <w:sz w:val="18"/>
                <w:szCs w:val="21"/>
              </w:rPr>
              <w:t>&lt; 0.14</w:t>
            </w:r>
          </w:p>
        </w:tc>
        <w:tc>
          <w:tcPr>
            <w:tcW w:w="311" w:type="pct"/>
            <w:tcBorders>
              <w:top w:val="single" w:color="auto" w:sz="4" w:space="0"/>
              <w:left w:val="nil"/>
              <w:bottom w:val="nil"/>
              <w:right w:val="nil"/>
            </w:tcBorders>
            <w:vAlign w:val="center"/>
          </w:tcPr>
          <w:p w14:paraId="3B8392CA">
            <w:pPr>
              <w:snapToGrid w:val="0"/>
              <w:ind w:left="0" w:leftChars="0" w:right="0" w:rightChars="0" w:firstLine="0" w:firstLineChars="0"/>
              <w:jc w:val="center"/>
              <w:rPr>
                <w:rFonts w:hint="default" w:ascii="Times New Roman" w:hAnsi="Times New Roman" w:cs="Times New Roman"/>
                <w:b/>
                <w:bCs/>
                <w:sz w:val="18"/>
                <w:szCs w:val="21"/>
                <w:vertAlign w:val="baseline"/>
              </w:rPr>
            </w:pPr>
            <w:r>
              <w:rPr>
                <w:rFonts w:hint="default" w:ascii="Times New Roman" w:hAnsi="Times New Roman" w:cs="Times New Roman"/>
                <w:sz w:val="18"/>
                <w:szCs w:val="21"/>
              </w:rPr>
              <w:t>453</w:t>
            </w:r>
          </w:p>
        </w:tc>
        <w:tc>
          <w:tcPr>
            <w:tcW w:w="462" w:type="pct"/>
            <w:tcBorders>
              <w:top w:val="single" w:color="auto" w:sz="4" w:space="0"/>
              <w:left w:val="nil"/>
              <w:bottom w:val="nil"/>
              <w:right w:val="nil"/>
            </w:tcBorders>
            <w:vAlign w:val="center"/>
          </w:tcPr>
          <w:p w14:paraId="793A7DCE">
            <w:pPr>
              <w:snapToGrid w:val="0"/>
              <w:ind w:left="0" w:leftChars="0" w:right="0" w:rightChars="0" w:firstLine="0" w:firstLineChars="0"/>
              <w:jc w:val="center"/>
              <w:rPr>
                <w:rFonts w:hint="default" w:ascii="Times New Roman" w:hAnsi="Times New Roman" w:cs="Times New Roman"/>
                <w:b/>
                <w:bCs/>
                <w:sz w:val="18"/>
                <w:szCs w:val="21"/>
                <w:vertAlign w:val="baseline"/>
              </w:rPr>
            </w:pPr>
            <w:r>
              <w:rPr>
                <w:rFonts w:hint="default" w:ascii="Times New Roman" w:hAnsi="Times New Roman" w:cs="Times New Roman"/>
                <w:sz w:val="18"/>
                <w:szCs w:val="21"/>
              </w:rPr>
              <w:t>22</w:t>
            </w:r>
          </w:p>
        </w:tc>
        <w:tc>
          <w:tcPr>
            <w:tcW w:w="1171" w:type="pct"/>
            <w:tcBorders>
              <w:top w:val="single" w:color="auto" w:sz="4" w:space="0"/>
              <w:left w:val="nil"/>
              <w:bottom w:val="nil"/>
              <w:right w:val="nil"/>
            </w:tcBorders>
            <w:vAlign w:val="center"/>
          </w:tcPr>
          <w:p w14:paraId="44AE204D">
            <w:pPr>
              <w:snapToGrid w:val="0"/>
              <w:ind w:left="0" w:leftChars="0" w:right="0" w:rightChars="0" w:firstLine="0" w:firstLineChars="0"/>
              <w:jc w:val="center"/>
              <w:rPr>
                <w:rFonts w:hint="default" w:ascii="Times New Roman" w:hAnsi="Times New Roman" w:cs="Times New Roman"/>
                <w:b/>
                <w:bCs/>
                <w:sz w:val="18"/>
                <w:szCs w:val="21"/>
                <w:vertAlign w:val="baseline"/>
              </w:rPr>
            </w:pPr>
            <w:r>
              <w:rPr>
                <w:rFonts w:hint="default" w:ascii="Times New Roman" w:hAnsi="Times New Roman" w:cs="Times New Roman"/>
                <w:sz w:val="18"/>
                <w:szCs w:val="21"/>
              </w:rPr>
              <w:t>5.9</w:t>
            </w:r>
          </w:p>
        </w:tc>
        <w:tc>
          <w:tcPr>
            <w:tcW w:w="1005" w:type="pct"/>
            <w:tcBorders>
              <w:top w:val="single" w:color="auto" w:sz="4" w:space="0"/>
              <w:left w:val="nil"/>
              <w:bottom w:val="nil"/>
              <w:right w:val="nil"/>
            </w:tcBorders>
            <w:vAlign w:val="center"/>
          </w:tcPr>
          <w:p w14:paraId="5C6A788D">
            <w:pPr>
              <w:snapToGrid w:val="0"/>
              <w:ind w:left="0" w:leftChars="0" w:right="0" w:rightChars="0" w:firstLine="0" w:firstLineChars="0"/>
              <w:jc w:val="center"/>
              <w:rPr>
                <w:rFonts w:hint="default" w:ascii="Times New Roman" w:hAnsi="Times New Roman" w:cs="Times New Roman"/>
                <w:b/>
                <w:bCs/>
                <w:sz w:val="18"/>
                <w:szCs w:val="21"/>
                <w:vertAlign w:val="baseline"/>
              </w:rPr>
            </w:pPr>
            <w:r>
              <w:rPr>
                <w:rFonts w:hint="default" w:ascii="Times New Roman" w:hAnsi="Times New Roman" w:cs="Times New Roman"/>
                <w:sz w:val="18"/>
                <w:szCs w:val="21"/>
              </w:rPr>
              <w:t>Ref</w:t>
            </w:r>
          </w:p>
        </w:tc>
        <w:tc>
          <w:tcPr>
            <w:tcW w:w="479" w:type="pct"/>
            <w:tcBorders>
              <w:top w:val="single" w:color="auto" w:sz="4" w:space="0"/>
              <w:left w:val="nil"/>
              <w:bottom w:val="nil"/>
              <w:right w:val="nil"/>
            </w:tcBorders>
            <w:vAlign w:val="center"/>
          </w:tcPr>
          <w:p w14:paraId="12F7286F">
            <w:pPr>
              <w:snapToGrid w:val="0"/>
              <w:ind w:left="0" w:leftChars="0" w:right="0" w:rightChars="0" w:firstLine="0" w:firstLineChars="0"/>
              <w:jc w:val="center"/>
              <w:rPr>
                <w:rFonts w:hint="default" w:ascii="Times New Roman" w:hAnsi="Times New Roman" w:cs="Times New Roman"/>
                <w:b/>
                <w:bCs/>
                <w:sz w:val="18"/>
                <w:szCs w:val="21"/>
                <w:vertAlign w:val="baseline"/>
              </w:rPr>
            </w:pPr>
            <w:r>
              <w:rPr>
                <w:rFonts w:hint="default" w:ascii="Times New Roman" w:hAnsi="Times New Roman" w:cs="Times New Roman"/>
                <w:sz w:val="18"/>
                <w:szCs w:val="21"/>
              </w:rPr>
              <w:t>Ref</w:t>
            </w:r>
          </w:p>
        </w:tc>
      </w:tr>
      <w:tr w14:paraId="19743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93" w:type="pct"/>
            <w:tcBorders>
              <w:top w:val="nil"/>
              <w:left w:val="nil"/>
              <w:bottom w:val="single" w:color="auto" w:sz="4" w:space="0"/>
              <w:right w:val="nil"/>
            </w:tcBorders>
            <w:vAlign w:val="center"/>
          </w:tcPr>
          <w:p w14:paraId="4ACE62F5">
            <w:pPr>
              <w:snapToGrid w:val="0"/>
              <w:ind w:left="0" w:leftChars="0" w:right="0" w:rightChars="0" w:firstLine="0" w:firstLineChars="0"/>
              <w:jc w:val="center"/>
              <w:rPr>
                <w:rFonts w:hint="default" w:ascii="Times New Roman" w:hAnsi="Times New Roman" w:cs="Times New Roman"/>
                <w:b/>
                <w:bCs/>
                <w:sz w:val="18"/>
                <w:szCs w:val="21"/>
                <w:vertAlign w:val="baseline"/>
              </w:rPr>
            </w:pPr>
            <w:r>
              <w:rPr>
                <w:rFonts w:hint="default" w:ascii="Times New Roman" w:hAnsi="Times New Roman" w:cs="Times New Roman"/>
                <w:sz w:val="18"/>
                <w:szCs w:val="21"/>
              </w:rPr>
              <w:t>High risk</w:t>
            </w:r>
          </w:p>
        </w:tc>
        <w:tc>
          <w:tcPr>
            <w:tcW w:w="975" w:type="pct"/>
            <w:tcBorders>
              <w:top w:val="nil"/>
              <w:left w:val="nil"/>
              <w:bottom w:val="single" w:color="auto" w:sz="4" w:space="0"/>
              <w:right w:val="nil"/>
            </w:tcBorders>
            <w:vAlign w:val="center"/>
          </w:tcPr>
          <w:p w14:paraId="0DB5F0CD">
            <w:pPr>
              <w:snapToGrid w:val="0"/>
              <w:ind w:left="0" w:leftChars="0" w:right="0" w:rightChars="0" w:firstLine="0" w:firstLineChars="0"/>
              <w:jc w:val="center"/>
              <w:rPr>
                <w:rFonts w:hint="default" w:ascii="Times New Roman" w:hAnsi="Times New Roman" w:cs="Times New Roman"/>
                <w:b/>
                <w:bCs/>
                <w:sz w:val="18"/>
                <w:szCs w:val="21"/>
                <w:vertAlign w:val="baseline"/>
              </w:rPr>
            </w:pPr>
            <w:r>
              <w:rPr>
                <w:rFonts w:hint="default" w:ascii="Times New Roman" w:hAnsi="Times New Roman" w:cs="Times New Roman"/>
                <w:sz w:val="18"/>
                <w:szCs w:val="21"/>
              </w:rPr>
              <w:t>≥ 0.14</w:t>
            </w:r>
          </w:p>
        </w:tc>
        <w:tc>
          <w:tcPr>
            <w:tcW w:w="311" w:type="pct"/>
            <w:tcBorders>
              <w:top w:val="nil"/>
              <w:left w:val="nil"/>
              <w:bottom w:val="single" w:color="auto" w:sz="4" w:space="0"/>
              <w:right w:val="nil"/>
            </w:tcBorders>
            <w:vAlign w:val="center"/>
          </w:tcPr>
          <w:p w14:paraId="0DDF45C9">
            <w:pPr>
              <w:snapToGrid w:val="0"/>
              <w:ind w:left="0" w:leftChars="0" w:right="0" w:rightChars="0" w:firstLine="0" w:firstLineChars="0"/>
              <w:jc w:val="center"/>
              <w:rPr>
                <w:rFonts w:hint="default" w:ascii="Times New Roman" w:hAnsi="Times New Roman" w:cs="Times New Roman"/>
                <w:b/>
                <w:bCs/>
                <w:sz w:val="18"/>
                <w:szCs w:val="21"/>
                <w:vertAlign w:val="baseline"/>
              </w:rPr>
            </w:pPr>
            <w:r>
              <w:rPr>
                <w:rFonts w:hint="default" w:ascii="Times New Roman" w:hAnsi="Times New Roman" w:cs="Times New Roman"/>
                <w:sz w:val="18"/>
                <w:szCs w:val="21"/>
              </w:rPr>
              <w:t>168</w:t>
            </w:r>
          </w:p>
        </w:tc>
        <w:tc>
          <w:tcPr>
            <w:tcW w:w="462" w:type="pct"/>
            <w:tcBorders>
              <w:top w:val="nil"/>
              <w:left w:val="nil"/>
              <w:bottom w:val="single" w:color="auto" w:sz="4" w:space="0"/>
              <w:right w:val="nil"/>
            </w:tcBorders>
            <w:vAlign w:val="center"/>
          </w:tcPr>
          <w:p w14:paraId="5DCA2291">
            <w:pPr>
              <w:snapToGrid w:val="0"/>
              <w:ind w:left="0" w:leftChars="0" w:right="0" w:rightChars="0" w:firstLine="0" w:firstLineChars="0"/>
              <w:jc w:val="center"/>
              <w:rPr>
                <w:rFonts w:hint="default" w:ascii="Times New Roman" w:hAnsi="Times New Roman" w:cs="Times New Roman"/>
                <w:b/>
                <w:bCs/>
                <w:sz w:val="18"/>
                <w:szCs w:val="21"/>
                <w:vertAlign w:val="baseline"/>
              </w:rPr>
            </w:pPr>
            <w:r>
              <w:rPr>
                <w:rFonts w:hint="default" w:ascii="Times New Roman" w:hAnsi="Times New Roman" w:cs="Times New Roman"/>
                <w:sz w:val="18"/>
                <w:szCs w:val="21"/>
              </w:rPr>
              <w:t>57</w:t>
            </w:r>
          </w:p>
        </w:tc>
        <w:tc>
          <w:tcPr>
            <w:tcW w:w="1171" w:type="pct"/>
            <w:tcBorders>
              <w:top w:val="nil"/>
              <w:left w:val="nil"/>
              <w:bottom w:val="single" w:color="auto" w:sz="4" w:space="0"/>
              <w:right w:val="nil"/>
            </w:tcBorders>
            <w:vAlign w:val="center"/>
          </w:tcPr>
          <w:p w14:paraId="6A8FA460">
            <w:pPr>
              <w:snapToGrid w:val="0"/>
              <w:ind w:left="0" w:leftChars="0" w:right="0" w:rightChars="0" w:firstLine="0" w:firstLineChars="0"/>
              <w:jc w:val="center"/>
              <w:rPr>
                <w:rFonts w:hint="default" w:ascii="Times New Roman" w:hAnsi="Times New Roman" w:cs="Times New Roman"/>
                <w:b/>
                <w:bCs/>
                <w:sz w:val="18"/>
                <w:szCs w:val="21"/>
                <w:vertAlign w:val="baseline"/>
              </w:rPr>
            </w:pPr>
            <w:r>
              <w:rPr>
                <w:rFonts w:hint="default" w:ascii="Times New Roman" w:hAnsi="Times New Roman" w:cs="Times New Roman"/>
                <w:sz w:val="18"/>
                <w:szCs w:val="21"/>
              </w:rPr>
              <w:t>38.1</w:t>
            </w:r>
          </w:p>
        </w:tc>
        <w:tc>
          <w:tcPr>
            <w:tcW w:w="1005" w:type="pct"/>
            <w:tcBorders>
              <w:top w:val="nil"/>
              <w:left w:val="nil"/>
              <w:bottom w:val="single" w:color="auto" w:sz="4" w:space="0"/>
              <w:right w:val="nil"/>
            </w:tcBorders>
            <w:vAlign w:val="center"/>
          </w:tcPr>
          <w:p w14:paraId="3B42A3D8">
            <w:pPr>
              <w:snapToGrid w:val="0"/>
              <w:ind w:left="0" w:leftChars="0" w:right="0" w:rightChars="0" w:firstLine="0" w:firstLineChars="0"/>
              <w:jc w:val="center"/>
              <w:rPr>
                <w:rFonts w:hint="default" w:ascii="Times New Roman" w:hAnsi="Times New Roman" w:cs="Times New Roman"/>
                <w:b/>
                <w:bCs/>
                <w:sz w:val="18"/>
                <w:szCs w:val="21"/>
                <w:vertAlign w:val="baseline"/>
              </w:rPr>
            </w:pPr>
            <w:r>
              <w:rPr>
                <w:rFonts w:hint="default" w:ascii="Times New Roman" w:hAnsi="Times New Roman" w:cs="Times New Roman"/>
                <w:sz w:val="18"/>
                <w:szCs w:val="21"/>
              </w:rPr>
              <w:t>8.356 (5.105–13.676)</w:t>
            </w:r>
          </w:p>
        </w:tc>
        <w:tc>
          <w:tcPr>
            <w:tcW w:w="479" w:type="pct"/>
            <w:tcBorders>
              <w:top w:val="nil"/>
              <w:left w:val="nil"/>
              <w:bottom w:val="single" w:color="auto" w:sz="4" w:space="0"/>
              <w:right w:val="nil"/>
            </w:tcBorders>
            <w:vAlign w:val="center"/>
          </w:tcPr>
          <w:p w14:paraId="232A9051">
            <w:pPr>
              <w:snapToGrid w:val="0"/>
              <w:ind w:left="0" w:leftChars="0" w:right="0" w:rightChars="0" w:firstLine="0" w:firstLineChars="0"/>
              <w:jc w:val="center"/>
              <w:rPr>
                <w:rFonts w:hint="default" w:ascii="Times New Roman" w:hAnsi="Times New Roman" w:cs="Times New Roman"/>
                <w:b/>
                <w:bCs/>
                <w:sz w:val="18"/>
                <w:szCs w:val="21"/>
                <w:vertAlign w:val="baseline"/>
              </w:rPr>
            </w:pPr>
            <w:r>
              <w:rPr>
                <w:rFonts w:hint="default" w:ascii="Times New Roman" w:hAnsi="Times New Roman" w:cs="Times New Roman"/>
                <w:sz w:val="18"/>
                <w:szCs w:val="21"/>
              </w:rPr>
              <w:t>&lt;0.001</w:t>
            </w:r>
          </w:p>
        </w:tc>
      </w:tr>
    </w:tbl>
    <w:p w14:paraId="357BD997">
      <w:pPr>
        <w:rPr>
          <w:rFonts w:hint="eastAsia" w:ascii="Times New Roman" w:hAnsi="Times New Roman" w:cs="Times New Roman" w:eastAsiaTheme="minorEastAsia"/>
          <w:lang w:eastAsia="zh-CN"/>
        </w:rPr>
      </w:pPr>
    </w:p>
    <w:p w14:paraId="2CAB965B">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63515" cy="3947795"/>
            <wp:effectExtent l="0" t="0" r="3810" b="5080"/>
            <wp:docPr id="20" name="图片 20" descr="Supplementary Figure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Supplementary Figure S5"/>
                    <pic:cNvPicPr>
                      <a:picLocks noChangeAspect="1"/>
                    </pic:cNvPicPr>
                  </pic:nvPicPr>
                  <pic:blipFill>
                    <a:blip r:embed="rId9"/>
                    <a:stretch>
                      <a:fillRect/>
                    </a:stretch>
                  </pic:blipFill>
                  <pic:spPr>
                    <a:xfrm>
                      <a:off x="0" y="0"/>
                      <a:ext cx="5263515" cy="3947795"/>
                    </a:xfrm>
                    <a:prstGeom prst="rect">
                      <a:avLst/>
                    </a:prstGeom>
                  </pic:spPr>
                </pic:pic>
              </a:graphicData>
            </a:graphic>
          </wp:inline>
        </w:drawing>
      </w:r>
    </w:p>
    <w:p w14:paraId="712830DF">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cs="Times New Roman" w:eastAsiaTheme="minorEastAsia"/>
          <w:lang w:eastAsia="zh-CN"/>
        </w:rPr>
      </w:pPr>
      <w:r>
        <w:rPr>
          <w:rFonts w:hint="eastAsia" w:ascii="Times New Roman" w:hAnsi="Times New Roman" w:cs="Times New Roman" w:eastAsiaTheme="minorEastAsia"/>
          <w:b/>
          <w:bCs/>
          <w:lang w:eastAsia="zh-CN"/>
        </w:rPr>
        <w:t>Supplementary Figure S</w:t>
      </w:r>
      <w:r>
        <w:rPr>
          <w:rFonts w:hint="eastAsia" w:ascii="Times New Roman" w:hAnsi="Times New Roman" w:cs="Times New Roman"/>
          <w:b/>
          <w:bCs/>
          <w:lang w:val="en-US" w:eastAsia="zh-CN"/>
        </w:rPr>
        <w:t>6</w:t>
      </w:r>
      <w:r>
        <w:rPr>
          <w:rFonts w:hint="eastAsia" w:ascii="Times New Roman" w:hAnsi="Times New Roman" w:cs="Times New Roman" w:eastAsiaTheme="minorEastAsia"/>
          <w:b/>
          <w:bCs/>
          <w:lang w:eastAsia="zh-CN"/>
        </w:rPr>
        <w:t>.</w:t>
      </w:r>
      <w:r>
        <w:rPr>
          <w:rFonts w:hint="eastAsia" w:ascii="Times New Roman" w:hAnsi="Times New Roman" w:cs="Times New Roman" w:eastAsiaTheme="minorEastAsia"/>
          <w:lang w:eastAsia="zh-CN"/>
        </w:rPr>
        <w:t xml:space="preserve"> </w:t>
      </w:r>
      <w:r>
        <w:rPr>
          <w:rFonts w:hint="eastAsia" w:ascii="Times New Roman" w:hAnsi="Times New Roman" w:cs="Times New Roman" w:eastAsiaTheme="minorEastAsia"/>
          <w:b/>
          <w:bCs/>
          <w:lang w:eastAsia="zh-CN"/>
        </w:rPr>
        <w:t>SHAP dependence plots for the six selected features.</w:t>
      </w:r>
      <w:r>
        <w:rPr>
          <w:rFonts w:hint="eastAsia" w:ascii="Times New Roman" w:hAnsi="Times New Roman" w:cs="Times New Roman" w:eastAsiaTheme="minorEastAsia"/>
          <w:lang w:eastAsia="zh-CN"/>
        </w:rPr>
        <w:t xml:space="preserve"> Each plot displays the SHAP value (y</w:t>
      </w:r>
      <w:r>
        <w:rPr>
          <w:rFonts w:hint="eastAsia" w:ascii="Times New Roman" w:hAnsi="Times New Roman" w:cs="Times New Roman"/>
          <w:lang w:val="en-US" w:eastAsia="zh-CN"/>
        </w:rPr>
        <w:t>-</w:t>
      </w:r>
      <w:r>
        <w:rPr>
          <w:rFonts w:hint="eastAsia" w:ascii="Times New Roman" w:hAnsi="Times New Roman" w:cs="Times New Roman" w:eastAsiaTheme="minorEastAsia"/>
          <w:lang w:eastAsia="zh-CN"/>
        </w:rPr>
        <w:t>axis) against the feature value (x</w:t>
      </w:r>
      <w:r>
        <w:rPr>
          <w:rFonts w:hint="eastAsia" w:ascii="Times New Roman" w:hAnsi="Times New Roman" w:cs="Times New Roman"/>
          <w:lang w:val="en-US" w:eastAsia="zh-CN"/>
        </w:rPr>
        <w:t>-</w:t>
      </w:r>
      <w:r>
        <w:rPr>
          <w:rFonts w:hint="eastAsia" w:ascii="Times New Roman" w:hAnsi="Times New Roman" w:cs="Times New Roman" w:eastAsiaTheme="minorEastAsia"/>
          <w:lang w:eastAsia="zh-CN"/>
        </w:rPr>
        <w:t>axis) for individual observations. Points represent observations; a LOESS smoothing curve (orange line) is overlaid to visualize the overall trend. The features are ordered by mean absolute SHAP values.</w:t>
      </w:r>
    </w:p>
    <w:p w14:paraId="2372692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eastAsiaTheme="minorEastAsia"/>
          <w:b/>
          <w:bCs/>
          <w:lang w:eastAsia="zh-CN"/>
        </w:rPr>
      </w:pPr>
      <w:r>
        <w:rPr>
          <w:rFonts w:hint="default" w:ascii="Times New Roman" w:hAnsi="Times New Roman" w:cs="Times New Roman" w:eastAsiaTheme="minorEastAsia"/>
          <w:b/>
          <w:bCs/>
          <w:lang w:eastAsia="zh-CN"/>
        </w:rPr>
        <w:drawing>
          <wp:inline distT="0" distB="0" distL="114300" distR="114300">
            <wp:extent cx="5266690" cy="3511550"/>
            <wp:effectExtent l="0" t="0" r="635" b="3175"/>
            <wp:docPr id="9" name="图片 9" descr="Supplementary_Figure_SHAP_inter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upplementary_Figure_SHAP_interactions"/>
                    <pic:cNvPicPr>
                      <a:picLocks noChangeAspect="1"/>
                    </pic:cNvPicPr>
                  </pic:nvPicPr>
                  <pic:blipFill>
                    <a:blip r:embed="rId10"/>
                    <a:stretch>
                      <a:fillRect/>
                    </a:stretch>
                  </pic:blipFill>
                  <pic:spPr>
                    <a:xfrm>
                      <a:off x="0" y="0"/>
                      <a:ext cx="5266690" cy="3511550"/>
                    </a:xfrm>
                    <a:prstGeom prst="rect">
                      <a:avLst/>
                    </a:prstGeom>
                  </pic:spPr>
                </pic:pic>
              </a:graphicData>
            </a:graphic>
          </wp:inline>
        </w:drawing>
      </w:r>
    </w:p>
    <w:p w14:paraId="38165915">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eastAsiaTheme="minorEastAsia"/>
          <w:b w:val="0"/>
          <w:bCs w:val="0"/>
          <w:lang w:eastAsia="zh-CN"/>
        </w:rPr>
      </w:pPr>
      <w:r>
        <w:rPr>
          <w:rFonts w:hint="default" w:ascii="Times New Roman" w:hAnsi="Times New Roman" w:cs="Times New Roman" w:eastAsiaTheme="minorEastAsia"/>
          <w:b/>
          <w:bCs/>
          <w:lang w:eastAsia="zh-CN"/>
        </w:rPr>
        <w:t>Supplementary Figure S7. SHAP interaction dependence plots for TyG‑CVAI with key covariates.</w:t>
      </w:r>
      <w:r>
        <w:rPr>
          <w:rFonts w:hint="default" w:ascii="Times New Roman" w:hAnsi="Times New Roman" w:cs="Times New Roman" w:eastAsiaTheme="minorEastAsia"/>
          <w:b w:val="0"/>
          <w:bCs w:val="0"/>
          <w:lang w:eastAsia="zh-CN"/>
        </w:rPr>
        <w:t xml:space="preserve"> Five panels show TyG‑CVAI interactions with age, hypertension, diabetes, LDL‑C, and eGFR. Each panel displays the SHAP values of TyG‑CVAI (y-axis) against TyG‑CVAI values (x-axis), with point color indicating the value of the interacting covariate. The yellow curve represents a loess-smoothed trend. Pearson correlation coefficients between the SHAP values of TyG‑CVAI and each covariate are provided in Supplementary Table S</w:t>
      </w:r>
      <w:r>
        <w:rPr>
          <w:rFonts w:hint="eastAsia" w:ascii="Times New Roman" w:hAnsi="Times New Roman" w:cs="Times New Roman"/>
          <w:b w:val="0"/>
          <w:bCs w:val="0"/>
          <w:lang w:val="en-US" w:eastAsia="zh-CN"/>
        </w:rPr>
        <w:t>13</w:t>
      </w:r>
      <w:r>
        <w:rPr>
          <w:rFonts w:hint="default" w:ascii="Times New Roman" w:hAnsi="Times New Roman" w:cs="Times New Roman" w:eastAsiaTheme="minorEastAsia"/>
          <w:b w:val="0"/>
          <w:bCs w:val="0"/>
          <w:lang w:eastAsia="zh-CN"/>
        </w:rPr>
        <w:t>.</w:t>
      </w:r>
    </w:p>
    <w:p w14:paraId="5B95DD26">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cs="Times New Roman" w:eastAsiaTheme="minorEastAsia"/>
          <w:b/>
          <w:bCs/>
          <w:lang w:eastAsia="zh-CN"/>
        </w:rPr>
      </w:pPr>
    </w:p>
    <w:p w14:paraId="301AB39A">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cs="Times New Roman" w:eastAsiaTheme="minorEastAsia"/>
          <w:b/>
          <w:bCs/>
          <w:lang w:eastAsia="zh-CN"/>
        </w:rPr>
      </w:pPr>
      <w:r>
        <w:rPr>
          <w:rFonts w:hint="default" w:ascii="Times New Roman" w:hAnsi="Times New Roman" w:cs="Times New Roman" w:eastAsiaTheme="minorEastAsia"/>
          <w:b/>
          <w:bCs/>
          <w:lang w:eastAsia="zh-CN"/>
        </w:rPr>
        <w:t>Supplementary Table S</w:t>
      </w:r>
      <w:r>
        <w:rPr>
          <w:rFonts w:hint="eastAsia" w:ascii="Times New Roman" w:hAnsi="Times New Roman" w:cs="Times New Roman"/>
          <w:b/>
          <w:bCs/>
          <w:lang w:val="en-US" w:eastAsia="zh-CN"/>
        </w:rPr>
        <w:t>13</w:t>
      </w:r>
      <w:r>
        <w:rPr>
          <w:rFonts w:hint="default" w:ascii="Times New Roman" w:hAnsi="Times New Roman" w:cs="Times New Roman" w:eastAsiaTheme="minorEastAsia"/>
          <w:b/>
          <w:bCs/>
          <w:lang w:eastAsia="zh-CN"/>
        </w:rPr>
        <w:t>. SHAP interaction correlations between TyG-CVAI and key covariates.</w:t>
      </w:r>
    </w:p>
    <w:tbl>
      <w:tblPr>
        <w:tblStyle w:val="3"/>
        <w:tblW w:w="40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82"/>
        <w:gridCol w:w="2803"/>
        <w:gridCol w:w="2233"/>
      </w:tblGrid>
      <w:tr w14:paraId="19C02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360" w:type="pct"/>
            <w:tcBorders>
              <w:top w:val="single" w:color="auto" w:sz="4" w:space="0"/>
              <w:left w:val="nil"/>
              <w:bottom w:val="single" w:color="auto" w:sz="4" w:space="0"/>
              <w:right w:val="nil"/>
            </w:tcBorders>
            <w:vAlign w:val="center"/>
          </w:tcPr>
          <w:p w14:paraId="73AF2F12">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ascii="Times New Roman" w:hAnsi="Times New Roman" w:cs="Times New Roman" w:eastAsiaTheme="minorEastAsia"/>
                <w:b/>
                <w:bCs/>
                <w:lang w:eastAsia="zh-CN"/>
              </w:rPr>
            </w:pPr>
            <w:r>
              <w:rPr>
                <w:rFonts w:hint="default" w:ascii="Times New Roman" w:hAnsi="Times New Roman" w:cs="Times New Roman" w:eastAsiaTheme="minorEastAsia"/>
                <w:b/>
                <w:bCs/>
                <w:lang w:val="en-US" w:eastAsia="zh-CN"/>
              </w:rPr>
              <w:t>Variable</w:t>
            </w:r>
          </w:p>
        </w:tc>
        <w:tc>
          <w:tcPr>
            <w:tcW w:w="2025" w:type="pct"/>
            <w:tcBorders>
              <w:top w:val="single" w:color="auto" w:sz="4" w:space="0"/>
              <w:left w:val="nil"/>
              <w:bottom w:val="single" w:color="auto" w:sz="4" w:space="0"/>
              <w:right w:val="nil"/>
            </w:tcBorders>
            <w:vAlign w:val="center"/>
          </w:tcPr>
          <w:p w14:paraId="31A39CC9">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ascii="Times New Roman" w:hAnsi="Times New Roman" w:cs="Times New Roman" w:eastAsiaTheme="minorEastAsia"/>
                <w:b/>
                <w:bCs/>
                <w:lang w:eastAsia="zh-CN"/>
              </w:rPr>
            </w:pPr>
            <w:r>
              <w:rPr>
                <w:rFonts w:hint="default" w:ascii="Times New Roman" w:hAnsi="Times New Roman" w:cs="Times New Roman" w:eastAsiaTheme="minorEastAsia"/>
                <w:b/>
                <w:bCs/>
                <w:lang w:val="en-US" w:eastAsia="zh-CN"/>
              </w:rPr>
              <w:t>Pearson r</w:t>
            </w:r>
          </w:p>
        </w:tc>
        <w:tc>
          <w:tcPr>
            <w:tcW w:w="1613" w:type="pct"/>
            <w:tcBorders>
              <w:top w:val="single" w:color="auto" w:sz="4" w:space="0"/>
              <w:left w:val="nil"/>
              <w:bottom w:val="single" w:color="auto" w:sz="4" w:space="0"/>
              <w:right w:val="nil"/>
            </w:tcBorders>
            <w:vAlign w:val="center"/>
          </w:tcPr>
          <w:p w14:paraId="7B6998EE">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ascii="Times New Roman" w:hAnsi="Times New Roman" w:cs="Times New Roman" w:eastAsiaTheme="minorEastAsia"/>
                <w:b/>
                <w:bCs/>
                <w:lang w:eastAsia="zh-CN"/>
              </w:rPr>
            </w:pPr>
            <w:r>
              <w:rPr>
                <w:rFonts w:hint="default" w:ascii="Times New Roman" w:hAnsi="Times New Roman" w:cs="Times New Roman" w:eastAsiaTheme="minorEastAsia"/>
                <w:b/>
                <w:bCs/>
                <w:i/>
                <w:iCs/>
                <w:lang w:val="en-US" w:eastAsia="zh-CN"/>
              </w:rPr>
              <w:t>P</w:t>
            </w:r>
            <w:r>
              <w:rPr>
                <w:rFonts w:hint="default" w:ascii="Times New Roman" w:hAnsi="Times New Roman" w:cs="Times New Roman" w:eastAsiaTheme="minorEastAsia"/>
                <w:b/>
                <w:bCs/>
                <w:lang w:val="en-US" w:eastAsia="zh-CN"/>
              </w:rPr>
              <w:t xml:space="preserve"> value</w:t>
            </w:r>
          </w:p>
        </w:tc>
      </w:tr>
      <w:tr w14:paraId="7FCA7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0" w:type="pct"/>
            <w:tcBorders>
              <w:top w:val="single" w:color="auto" w:sz="4" w:space="0"/>
              <w:left w:val="nil"/>
              <w:bottom w:val="nil"/>
              <w:right w:val="nil"/>
            </w:tcBorders>
            <w:vAlign w:val="center"/>
          </w:tcPr>
          <w:p w14:paraId="51195BE3">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default" w:ascii="Times New Roman" w:hAnsi="Times New Roman" w:cs="Times New Roman" w:eastAsiaTheme="minorEastAsia"/>
                <w:b w:val="0"/>
                <w:bCs w:val="0"/>
                <w:lang w:eastAsia="zh-CN"/>
              </w:rPr>
            </w:pPr>
            <w:r>
              <w:rPr>
                <w:rFonts w:hint="default" w:ascii="Times New Roman" w:hAnsi="Times New Roman" w:cs="Times New Roman" w:eastAsiaTheme="minorEastAsia"/>
                <w:b w:val="0"/>
                <w:bCs w:val="0"/>
                <w:lang w:val="en-US" w:eastAsia="zh-CN"/>
              </w:rPr>
              <w:t>Age</w:t>
            </w:r>
          </w:p>
        </w:tc>
        <w:tc>
          <w:tcPr>
            <w:tcW w:w="2025" w:type="pct"/>
            <w:tcBorders>
              <w:top w:val="single" w:color="auto" w:sz="4" w:space="0"/>
              <w:left w:val="nil"/>
              <w:bottom w:val="nil"/>
              <w:right w:val="nil"/>
            </w:tcBorders>
            <w:vAlign w:val="center"/>
          </w:tcPr>
          <w:p w14:paraId="011397E8">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ascii="Times New Roman" w:hAnsi="Times New Roman" w:cs="Times New Roman" w:eastAsiaTheme="minorEastAsia"/>
                <w:b w:val="0"/>
                <w:bCs w:val="0"/>
                <w:lang w:eastAsia="zh-CN"/>
              </w:rPr>
            </w:pPr>
            <w:r>
              <w:rPr>
                <w:rFonts w:hint="default" w:ascii="Times New Roman" w:hAnsi="Times New Roman" w:cs="Times New Roman" w:eastAsiaTheme="minorEastAsia"/>
                <w:b w:val="0"/>
                <w:bCs w:val="0"/>
                <w:lang w:val="en-US" w:eastAsia="zh-CN"/>
              </w:rPr>
              <w:t>0.188</w:t>
            </w:r>
          </w:p>
        </w:tc>
        <w:tc>
          <w:tcPr>
            <w:tcW w:w="1613" w:type="pct"/>
            <w:tcBorders>
              <w:top w:val="single" w:color="auto" w:sz="4" w:space="0"/>
              <w:left w:val="nil"/>
              <w:bottom w:val="nil"/>
              <w:right w:val="nil"/>
            </w:tcBorders>
            <w:vAlign w:val="center"/>
          </w:tcPr>
          <w:p w14:paraId="5444D29D">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ascii="Times New Roman" w:hAnsi="Times New Roman" w:cs="Times New Roman" w:eastAsiaTheme="minorEastAsia"/>
                <w:b w:val="0"/>
                <w:bCs w:val="0"/>
                <w:lang w:eastAsia="zh-CN"/>
              </w:rPr>
            </w:pPr>
            <w:r>
              <w:rPr>
                <w:rFonts w:hint="default" w:ascii="Times New Roman" w:hAnsi="Times New Roman" w:cs="Times New Roman" w:eastAsiaTheme="minorEastAsia"/>
                <w:b w:val="0"/>
                <w:bCs w:val="0"/>
                <w:lang w:val="en-US" w:eastAsia="zh-CN"/>
              </w:rPr>
              <w:t>0.008</w:t>
            </w:r>
          </w:p>
        </w:tc>
      </w:tr>
      <w:tr w14:paraId="5EBC4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0" w:type="pct"/>
            <w:tcBorders>
              <w:top w:val="nil"/>
              <w:left w:val="nil"/>
              <w:bottom w:val="nil"/>
              <w:right w:val="nil"/>
            </w:tcBorders>
            <w:vAlign w:val="center"/>
          </w:tcPr>
          <w:p w14:paraId="34D40FCE">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default" w:ascii="Times New Roman" w:hAnsi="Times New Roman" w:cs="Times New Roman" w:eastAsiaTheme="minorEastAsia"/>
                <w:b w:val="0"/>
                <w:bCs w:val="0"/>
                <w:lang w:eastAsia="zh-CN"/>
              </w:rPr>
            </w:pPr>
            <w:r>
              <w:rPr>
                <w:rFonts w:hint="default" w:ascii="Times New Roman" w:hAnsi="Times New Roman" w:cs="Times New Roman" w:eastAsiaTheme="minorEastAsia"/>
                <w:b w:val="0"/>
                <w:bCs w:val="0"/>
                <w:lang w:val="en-US" w:eastAsia="zh-CN"/>
              </w:rPr>
              <w:t>Hypertension</w:t>
            </w:r>
          </w:p>
        </w:tc>
        <w:tc>
          <w:tcPr>
            <w:tcW w:w="2025" w:type="pct"/>
            <w:tcBorders>
              <w:top w:val="nil"/>
              <w:left w:val="nil"/>
              <w:bottom w:val="nil"/>
              <w:right w:val="nil"/>
            </w:tcBorders>
            <w:vAlign w:val="center"/>
          </w:tcPr>
          <w:p w14:paraId="296E2BDB">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ascii="Times New Roman" w:hAnsi="Times New Roman" w:cs="Times New Roman" w:eastAsiaTheme="minorEastAsia"/>
                <w:b w:val="0"/>
                <w:bCs w:val="0"/>
                <w:lang w:eastAsia="zh-CN"/>
              </w:rPr>
            </w:pPr>
            <w:r>
              <w:rPr>
                <w:rFonts w:hint="default" w:ascii="Times New Roman" w:hAnsi="Times New Roman" w:cs="Times New Roman" w:eastAsiaTheme="minorEastAsia"/>
                <w:b w:val="0"/>
                <w:bCs w:val="0"/>
                <w:lang w:val="en-US" w:eastAsia="zh-CN"/>
              </w:rPr>
              <w:t>0.017</w:t>
            </w:r>
          </w:p>
        </w:tc>
        <w:tc>
          <w:tcPr>
            <w:tcW w:w="1613" w:type="pct"/>
            <w:tcBorders>
              <w:top w:val="nil"/>
              <w:left w:val="nil"/>
              <w:bottom w:val="nil"/>
              <w:right w:val="nil"/>
            </w:tcBorders>
            <w:vAlign w:val="center"/>
          </w:tcPr>
          <w:p w14:paraId="1D20F725">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ascii="Times New Roman" w:hAnsi="Times New Roman" w:cs="Times New Roman" w:eastAsiaTheme="minorEastAsia"/>
                <w:b w:val="0"/>
                <w:bCs w:val="0"/>
                <w:lang w:eastAsia="zh-CN"/>
              </w:rPr>
            </w:pPr>
            <w:r>
              <w:rPr>
                <w:rFonts w:hint="default" w:ascii="Times New Roman" w:hAnsi="Times New Roman" w:cs="Times New Roman" w:eastAsiaTheme="minorEastAsia"/>
                <w:b w:val="0"/>
                <w:bCs w:val="0"/>
                <w:lang w:val="en-US" w:eastAsia="zh-CN"/>
              </w:rPr>
              <w:t>0.813</w:t>
            </w:r>
          </w:p>
        </w:tc>
      </w:tr>
      <w:tr w14:paraId="2384C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0" w:type="pct"/>
            <w:tcBorders>
              <w:top w:val="nil"/>
              <w:left w:val="nil"/>
              <w:bottom w:val="nil"/>
              <w:right w:val="nil"/>
            </w:tcBorders>
            <w:vAlign w:val="center"/>
          </w:tcPr>
          <w:p w14:paraId="1966C869">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default" w:ascii="Times New Roman" w:hAnsi="Times New Roman" w:cs="Times New Roman" w:eastAsiaTheme="minorEastAsia"/>
                <w:b w:val="0"/>
                <w:bCs w:val="0"/>
                <w:lang w:eastAsia="zh-CN"/>
              </w:rPr>
            </w:pPr>
            <w:r>
              <w:rPr>
                <w:rFonts w:hint="default" w:ascii="Times New Roman" w:hAnsi="Times New Roman" w:cs="Times New Roman" w:eastAsiaTheme="minorEastAsia"/>
                <w:b w:val="0"/>
                <w:bCs w:val="0"/>
                <w:lang w:val="en-US" w:eastAsia="zh-CN"/>
              </w:rPr>
              <w:t>Diabetes</w:t>
            </w:r>
          </w:p>
        </w:tc>
        <w:tc>
          <w:tcPr>
            <w:tcW w:w="2025" w:type="pct"/>
            <w:tcBorders>
              <w:top w:val="nil"/>
              <w:left w:val="nil"/>
              <w:bottom w:val="nil"/>
              <w:right w:val="nil"/>
            </w:tcBorders>
            <w:vAlign w:val="center"/>
          </w:tcPr>
          <w:p w14:paraId="42AD6F23">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ascii="Times New Roman" w:hAnsi="Times New Roman" w:cs="Times New Roman" w:eastAsiaTheme="minorEastAsia"/>
                <w:b w:val="0"/>
                <w:bCs w:val="0"/>
                <w:lang w:eastAsia="zh-CN"/>
              </w:rPr>
            </w:pPr>
            <w:r>
              <w:rPr>
                <w:rFonts w:hint="default" w:ascii="Times New Roman" w:hAnsi="Times New Roman" w:cs="Times New Roman" w:eastAsiaTheme="minorEastAsia"/>
                <w:b w:val="0"/>
                <w:bCs w:val="0"/>
                <w:lang w:val="en-US" w:eastAsia="zh-CN"/>
              </w:rPr>
              <w:t>−0.158</w:t>
            </w:r>
          </w:p>
        </w:tc>
        <w:tc>
          <w:tcPr>
            <w:tcW w:w="1613" w:type="pct"/>
            <w:tcBorders>
              <w:top w:val="nil"/>
              <w:left w:val="nil"/>
              <w:bottom w:val="nil"/>
              <w:right w:val="nil"/>
            </w:tcBorders>
            <w:vAlign w:val="center"/>
          </w:tcPr>
          <w:p w14:paraId="03238AB2">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ascii="Times New Roman" w:hAnsi="Times New Roman" w:cs="Times New Roman" w:eastAsiaTheme="minorEastAsia"/>
                <w:b w:val="0"/>
                <w:bCs w:val="0"/>
                <w:lang w:eastAsia="zh-CN"/>
              </w:rPr>
            </w:pPr>
            <w:r>
              <w:rPr>
                <w:rFonts w:hint="default" w:ascii="Times New Roman" w:hAnsi="Times New Roman" w:cs="Times New Roman" w:eastAsiaTheme="minorEastAsia"/>
                <w:b w:val="0"/>
                <w:bCs w:val="0"/>
                <w:lang w:val="en-US" w:eastAsia="zh-CN"/>
              </w:rPr>
              <w:t>0.026</w:t>
            </w:r>
          </w:p>
        </w:tc>
      </w:tr>
      <w:tr w14:paraId="7723C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0" w:type="pct"/>
            <w:tcBorders>
              <w:top w:val="nil"/>
              <w:left w:val="nil"/>
              <w:bottom w:val="nil"/>
              <w:right w:val="nil"/>
            </w:tcBorders>
            <w:vAlign w:val="center"/>
          </w:tcPr>
          <w:p w14:paraId="75713963">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default" w:ascii="Times New Roman" w:hAnsi="Times New Roman" w:cs="Times New Roman" w:eastAsiaTheme="minorEastAsia"/>
                <w:b w:val="0"/>
                <w:bCs w:val="0"/>
                <w:lang w:eastAsia="zh-CN"/>
              </w:rPr>
            </w:pPr>
            <w:r>
              <w:rPr>
                <w:rFonts w:hint="default" w:ascii="Times New Roman" w:hAnsi="Times New Roman" w:cs="Times New Roman" w:eastAsiaTheme="minorEastAsia"/>
                <w:b w:val="0"/>
                <w:bCs w:val="0"/>
                <w:lang w:val="en-US" w:eastAsia="zh-CN"/>
              </w:rPr>
              <w:t>LDL-C</w:t>
            </w:r>
          </w:p>
        </w:tc>
        <w:tc>
          <w:tcPr>
            <w:tcW w:w="2025" w:type="pct"/>
            <w:tcBorders>
              <w:top w:val="nil"/>
              <w:left w:val="nil"/>
              <w:bottom w:val="nil"/>
              <w:right w:val="nil"/>
            </w:tcBorders>
            <w:vAlign w:val="center"/>
          </w:tcPr>
          <w:p w14:paraId="1978BFD9">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ascii="Times New Roman" w:hAnsi="Times New Roman" w:cs="Times New Roman" w:eastAsiaTheme="minorEastAsia"/>
                <w:b w:val="0"/>
                <w:bCs w:val="0"/>
                <w:lang w:eastAsia="zh-CN"/>
              </w:rPr>
            </w:pPr>
            <w:r>
              <w:rPr>
                <w:rFonts w:hint="default" w:ascii="Times New Roman" w:hAnsi="Times New Roman" w:cs="Times New Roman" w:eastAsiaTheme="minorEastAsia"/>
                <w:b w:val="0"/>
                <w:bCs w:val="0"/>
                <w:lang w:val="en-US" w:eastAsia="zh-CN"/>
              </w:rPr>
              <w:t>0.012</w:t>
            </w:r>
          </w:p>
        </w:tc>
        <w:tc>
          <w:tcPr>
            <w:tcW w:w="1613" w:type="pct"/>
            <w:tcBorders>
              <w:top w:val="nil"/>
              <w:left w:val="nil"/>
              <w:bottom w:val="nil"/>
              <w:right w:val="nil"/>
            </w:tcBorders>
            <w:vAlign w:val="center"/>
          </w:tcPr>
          <w:p w14:paraId="3B3F22AC">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ascii="Times New Roman" w:hAnsi="Times New Roman" w:cs="Times New Roman" w:eastAsiaTheme="minorEastAsia"/>
                <w:b w:val="0"/>
                <w:bCs w:val="0"/>
                <w:lang w:eastAsia="zh-CN"/>
              </w:rPr>
            </w:pPr>
            <w:r>
              <w:rPr>
                <w:rFonts w:hint="default" w:ascii="Times New Roman" w:hAnsi="Times New Roman" w:cs="Times New Roman" w:eastAsiaTheme="minorEastAsia"/>
                <w:b w:val="0"/>
                <w:bCs w:val="0"/>
                <w:lang w:val="en-US" w:eastAsia="zh-CN"/>
              </w:rPr>
              <w:t>0.868</w:t>
            </w:r>
          </w:p>
        </w:tc>
      </w:tr>
      <w:tr w14:paraId="0F1F9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360" w:type="pct"/>
            <w:tcBorders>
              <w:top w:val="nil"/>
              <w:left w:val="nil"/>
              <w:bottom w:val="single" w:color="auto" w:sz="4" w:space="0"/>
              <w:right w:val="nil"/>
            </w:tcBorders>
            <w:vAlign w:val="center"/>
          </w:tcPr>
          <w:p w14:paraId="41A6B8DE">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default" w:ascii="Times New Roman" w:hAnsi="Times New Roman" w:cs="Times New Roman" w:eastAsiaTheme="minorEastAsia"/>
                <w:b w:val="0"/>
                <w:bCs w:val="0"/>
                <w:lang w:eastAsia="zh-CN"/>
              </w:rPr>
            </w:pPr>
            <w:r>
              <w:rPr>
                <w:rFonts w:hint="default" w:ascii="Times New Roman" w:hAnsi="Times New Roman" w:cs="Times New Roman" w:eastAsiaTheme="minorEastAsia"/>
                <w:b w:val="0"/>
                <w:bCs w:val="0"/>
                <w:lang w:val="en-US" w:eastAsia="zh-CN"/>
              </w:rPr>
              <w:t>eGFR</w:t>
            </w:r>
          </w:p>
        </w:tc>
        <w:tc>
          <w:tcPr>
            <w:tcW w:w="2025" w:type="pct"/>
            <w:tcBorders>
              <w:top w:val="nil"/>
              <w:left w:val="nil"/>
              <w:bottom w:val="single" w:color="auto" w:sz="4" w:space="0"/>
              <w:right w:val="nil"/>
            </w:tcBorders>
            <w:vAlign w:val="center"/>
          </w:tcPr>
          <w:p w14:paraId="7FECC0FE">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ascii="Times New Roman" w:hAnsi="Times New Roman" w:cs="Times New Roman" w:eastAsiaTheme="minorEastAsia"/>
                <w:b w:val="0"/>
                <w:bCs w:val="0"/>
                <w:lang w:eastAsia="zh-CN"/>
              </w:rPr>
            </w:pPr>
            <w:r>
              <w:rPr>
                <w:rFonts w:hint="default" w:ascii="Times New Roman" w:hAnsi="Times New Roman" w:cs="Times New Roman" w:eastAsiaTheme="minorEastAsia"/>
                <w:b w:val="0"/>
                <w:bCs w:val="0"/>
                <w:lang w:val="en-US" w:eastAsia="zh-CN"/>
              </w:rPr>
              <w:t>−0.153</w:t>
            </w:r>
          </w:p>
        </w:tc>
        <w:tc>
          <w:tcPr>
            <w:tcW w:w="1613" w:type="pct"/>
            <w:tcBorders>
              <w:top w:val="nil"/>
              <w:left w:val="nil"/>
              <w:bottom w:val="single" w:color="auto" w:sz="4" w:space="0"/>
              <w:right w:val="nil"/>
            </w:tcBorders>
            <w:vAlign w:val="center"/>
          </w:tcPr>
          <w:p w14:paraId="1D701AB2">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ascii="Times New Roman" w:hAnsi="Times New Roman" w:cs="Times New Roman" w:eastAsiaTheme="minorEastAsia"/>
                <w:b w:val="0"/>
                <w:bCs w:val="0"/>
                <w:lang w:eastAsia="zh-CN"/>
              </w:rPr>
            </w:pPr>
            <w:r>
              <w:rPr>
                <w:rFonts w:hint="default" w:ascii="Times New Roman" w:hAnsi="Times New Roman" w:cs="Times New Roman" w:eastAsiaTheme="minorEastAsia"/>
                <w:b w:val="0"/>
                <w:bCs w:val="0"/>
                <w:lang w:val="en-US" w:eastAsia="zh-CN"/>
              </w:rPr>
              <w:t>0.030</w:t>
            </w:r>
          </w:p>
        </w:tc>
      </w:tr>
    </w:tbl>
    <w:p w14:paraId="6FB58540">
      <w:pPr>
        <w:rPr>
          <w:rFonts w:hint="default" w:ascii="Times New Roman" w:hAnsi="Times New Roman" w:cs="Times New Roman"/>
          <w:b/>
        </w:rPr>
      </w:pPr>
      <w:r>
        <w:rPr>
          <w:rFonts w:hint="default" w:ascii="Times New Roman" w:hAnsi="Times New Roman" w:cs="Times New Roman"/>
          <w:b/>
          <w:bCs/>
        </w:rPr>
        <w:t>Note:</w:t>
      </w:r>
      <w:r>
        <w:rPr>
          <w:rFonts w:hint="default" w:ascii="Times New Roman" w:hAnsi="Times New Roman" w:cs="Times New Roman"/>
        </w:rPr>
        <w:t xml:space="preserve"> Pearson correlation coefficients were calculated between the SHAP values of TyG‑CVAI and the values of each covariate in the final model. A two-sided </w:t>
      </w:r>
      <w:r>
        <w:rPr>
          <w:rFonts w:hint="default" w:ascii="Times New Roman" w:hAnsi="Times New Roman" w:cs="Times New Roman"/>
          <w:i/>
          <w:iCs/>
        </w:rPr>
        <w:t>P</w:t>
      </w:r>
      <w:r>
        <w:rPr>
          <w:rFonts w:hint="default" w:ascii="Times New Roman" w:hAnsi="Times New Roman" w:cs="Times New Roman"/>
        </w:rPr>
        <w:t xml:space="preserve"> value &lt; 0.05 was considered statistically significant. TyG‑CVAI SHAP values were positively correlated with age and negatively correlated with diabetes and eGFR, suggesting potential effect modification by these factors.</w:t>
      </w:r>
    </w:p>
    <w:p w14:paraId="4DF9A385">
      <w:pPr>
        <w:rPr>
          <w:rFonts w:hint="default" w:ascii="Times New Roman" w:hAnsi="Times New Roman" w:cs="Times New Roman" w:eastAsiaTheme="minorEastAsia"/>
          <w:b/>
          <w:bCs/>
          <w:lang w:val="en-US" w:eastAsia="zh-CN"/>
        </w:rPr>
      </w:pPr>
    </w:p>
    <w:p w14:paraId="210F82D7">
      <w:pPr>
        <w:rPr>
          <w:rFonts w:hint="default" w:ascii="Times New Roman" w:hAnsi="Times New Roman" w:cs="Times New Roman" w:eastAsiaTheme="minorEastAsia"/>
          <w:b/>
          <w:bCs/>
          <w:lang w:val="en-US" w:eastAsia="zh-CN"/>
        </w:rPr>
      </w:pPr>
      <w:r>
        <w:rPr>
          <w:rFonts w:hint="default" w:ascii="Times New Roman" w:hAnsi="Times New Roman" w:cs="Times New Roman" w:eastAsiaTheme="minorEastAsia"/>
          <w:b/>
          <w:bCs/>
          <w:lang w:val="en-US" w:eastAsia="zh-CN"/>
        </w:rPr>
        <w:t>Supplementary Table S</w:t>
      </w:r>
      <w:r>
        <w:rPr>
          <w:rFonts w:hint="eastAsia" w:ascii="Times New Roman" w:hAnsi="Times New Roman" w:cs="Times New Roman"/>
          <w:b/>
          <w:bCs/>
          <w:lang w:val="en-US" w:eastAsia="zh-CN"/>
        </w:rPr>
        <w:t>14</w:t>
      </w:r>
      <w:r>
        <w:rPr>
          <w:rFonts w:hint="default" w:ascii="Times New Roman" w:hAnsi="Times New Roman" w:cs="Times New Roman" w:eastAsiaTheme="minorEastAsia"/>
          <w:b/>
          <w:bCs/>
          <w:lang w:val="en-US" w:eastAsia="zh-CN"/>
        </w:rPr>
        <w:t>. Subgroup analyses of the association between TyG-CVAI and 5-year advanced CKM syndrome.</w:t>
      </w:r>
    </w:p>
    <w:tbl>
      <w:tblPr>
        <w:tblStyle w:val="3"/>
        <w:tblW w:w="5715" w:type="pct"/>
        <w:jc w:val="center"/>
        <w:tblBorders>
          <w:top w:val="none" w:color="auto" w:sz="0"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66"/>
        <w:gridCol w:w="813"/>
        <w:gridCol w:w="585"/>
        <w:gridCol w:w="1330"/>
        <w:gridCol w:w="948"/>
        <w:gridCol w:w="749"/>
        <w:gridCol w:w="877"/>
        <w:gridCol w:w="1688"/>
        <w:gridCol w:w="1685"/>
      </w:tblGrid>
      <w:tr w14:paraId="1B69C4F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547" w:type="pct"/>
            <w:tcBorders>
              <w:top w:val="single" w:color="auto" w:sz="4" w:space="0"/>
              <w:bottom w:val="single" w:color="auto" w:sz="4" w:space="0"/>
            </w:tcBorders>
            <w:vAlign w:val="center"/>
          </w:tcPr>
          <w:p w14:paraId="3E62507A">
            <w:pPr>
              <w:snapToGrid w:val="0"/>
              <w:ind w:left="0" w:leftChars="0" w:right="0" w:rightChars="0" w:firstLine="0" w:firstLineChars="0"/>
              <w:jc w:val="center"/>
              <w:rPr>
                <w:rFonts w:hint="default" w:ascii="Times New Roman" w:hAnsi="Times New Roman" w:cs="Times New Roman" w:eastAsiaTheme="minorEastAsia"/>
                <w:b/>
                <w:bCs w:val="0"/>
                <w:sz w:val="16"/>
                <w:szCs w:val="20"/>
                <w:lang w:val="en-US" w:eastAsia="zh-CN"/>
              </w:rPr>
            </w:pPr>
            <w:r>
              <w:rPr>
                <w:rFonts w:hint="default" w:ascii="Times New Roman" w:hAnsi="Times New Roman" w:cs="Times New Roman" w:eastAsiaTheme="minorEastAsia"/>
                <w:b/>
                <w:bCs w:val="0"/>
                <w:sz w:val="16"/>
                <w:szCs w:val="20"/>
                <w:lang w:val="en-US" w:eastAsia="zh-CN"/>
              </w:rPr>
              <w:t>Subgroup</w:t>
            </w:r>
          </w:p>
        </w:tc>
        <w:tc>
          <w:tcPr>
            <w:tcW w:w="417" w:type="pct"/>
            <w:tcBorders>
              <w:top w:val="single" w:color="auto" w:sz="4" w:space="0"/>
              <w:bottom w:val="single" w:color="auto" w:sz="4" w:space="0"/>
            </w:tcBorders>
            <w:vAlign w:val="center"/>
          </w:tcPr>
          <w:p w14:paraId="4B4EAC19">
            <w:pPr>
              <w:snapToGrid w:val="0"/>
              <w:ind w:left="0" w:leftChars="0" w:right="0" w:rightChars="0" w:firstLine="0" w:firstLineChars="0"/>
              <w:jc w:val="center"/>
              <w:rPr>
                <w:rFonts w:hint="default" w:ascii="Times New Roman" w:hAnsi="Times New Roman" w:cs="Times New Roman" w:eastAsiaTheme="minorEastAsia"/>
                <w:b/>
                <w:bCs w:val="0"/>
                <w:sz w:val="16"/>
                <w:szCs w:val="20"/>
                <w:lang w:val="en-US" w:eastAsia="zh-CN"/>
              </w:rPr>
            </w:pPr>
            <w:r>
              <w:rPr>
                <w:rFonts w:hint="eastAsia" w:ascii="Times New Roman" w:hAnsi="Times New Roman" w:cs="Times New Roman"/>
                <w:b/>
                <w:bCs w:val="0"/>
                <w:sz w:val="16"/>
                <w:szCs w:val="20"/>
                <w:lang w:val="en-US" w:eastAsia="zh-CN"/>
              </w:rPr>
              <w:t>Control</w:t>
            </w:r>
          </w:p>
        </w:tc>
        <w:tc>
          <w:tcPr>
            <w:tcW w:w="300" w:type="pct"/>
            <w:tcBorders>
              <w:top w:val="single" w:color="auto" w:sz="4" w:space="0"/>
              <w:bottom w:val="single" w:color="auto" w:sz="4" w:space="0"/>
            </w:tcBorders>
            <w:vAlign w:val="center"/>
          </w:tcPr>
          <w:p w14:paraId="19BA5F46">
            <w:pPr>
              <w:snapToGrid w:val="0"/>
              <w:ind w:left="0" w:leftChars="0" w:right="0" w:rightChars="0" w:firstLine="0" w:firstLineChars="0"/>
              <w:jc w:val="center"/>
              <w:rPr>
                <w:rFonts w:hint="default" w:ascii="Times New Roman" w:hAnsi="Times New Roman" w:cs="Times New Roman" w:eastAsiaTheme="minorEastAsia"/>
                <w:b/>
                <w:bCs w:val="0"/>
                <w:sz w:val="16"/>
                <w:szCs w:val="20"/>
                <w:lang w:val="en-US" w:eastAsia="zh-CN"/>
              </w:rPr>
            </w:pPr>
            <w:r>
              <w:rPr>
                <w:rFonts w:hint="eastAsia" w:ascii="Times New Roman" w:hAnsi="Times New Roman" w:cs="Times New Roman"/>
                <w:b/>
                <w:bCs w:val="0"/>
                <w:sz w:val="16"/>
                <w:szCs w:val="20"/>
                <w:lang w:val="en-US" w:eastAsia="zh-CN"/>
              </w:rPr>
              <w:t>Case</w:t>
            </w:r>
          </w:p>
        </w:tc>
        <w:tc>
          <w:tcPr>
            <w:tcW w:w="682" w:type="pct"/>
            <w:tcBorders>
              <w:top w:val="single" w:color="auto" w:sz="4" w:space="0"/>
              <w:bottom w:val="single" w:color="auto" w:sz="4" w:space="0"/>
            </w:tcBorders>
            <w:vAlign w:val="center"/>
          </w:tcPr>
          <w:p w14:paraId="3944D1EB">
            <w:pPr>
              <w:snapToGrid w:val="0"/>
              <w:ind w:left="0" w:leftChars="0" w:right="0" w:rightChars="0" w:firstLine="0" w:firstLineChars="0"/>
              <w:jc w:val="center"/>
              <w:rPr>
                <w:rFonts w:hint="default" w:ascii="Times New Roman" w:hAnsi="Times New Roman" w:cs="Times New Roman" w:eastAsiaTheme="minorEastAsia"/>
                <w:b/>
                <w:bCs w:val="0"/>
                <w:sz w:val="16"/>
                <w:szCs w:val="20"/>
                <w:lang w:val="en-US" w:eastAsia="zh-CN"/>
              </w:rPr>
            </w:pPr>
            <w:r>
              <w:rPr>
                <w:rFonts w:hint="default" w:ascii="Times New Roman" w:hAnsi="Times New Roman" w:cs="Times New Roman" w:eastAsiaTheme="minorEastAsia"/>
                <w:b/>
                <w:bCs w:val="0"/>
                <w:sz w:val="16"/>
                <w:szCs w:val="20"/>
                <w:lang w:val="en-US" w:eastAsia="zh-CN"/>
              </w:rPr>
              <w:t>HR (95% CI)</w:t>
            </w:r>
          </w:p>
        </w:tc>
        <w:tc>
          <w:tcPr>
            <w:tcW w:w="486" w:type="pct"/>
            <w:tcBorders>
              <w:top w:val="single" w:color="auto" w:sz="4" w:space="0"/>
              <w:bottom w:val="single" w:color="auto" w:sz="4" w:space="0"/>
            </w:tcBorders>
            <w:vAlign w:val="center"/>
          </w:tcPr>
          <w:p w14:paraId="08BF6BD0">
            <w:pPr>
              <w:snapToGrid w:val="0"/>
              <w:ind w:left="0" w:leftChars="0" w:right="0" w:rightChars="0" w:firstLine="0" w:firstLineChars="0"/>
              <w:jc w:val="center"/>
              <w:rPr>
                <w:rFonts w:hint="default" w:ascii="Times New Roman" w:hAnsi="Times New Roman" w:cs="Times New Roman" w:eastAsiaTheme="minorEastAsia"/>
                <w:b/>
                <w:bCs w:val="0"/>
                <w:sz w:val="16"/>
                <w:szCs w:val="20"/>
                <w:lang w:val="en-US" w:eastAsia="zh-CN"/>
              </w:rPr>
            </w:pPr>
            <w:r>
              <w:rPr>
                <w:rFonts w:hint="default" w:ascii="Times New Roman" w:hAnsi="Times New Roman" w:cs="Times New Roman" w:eastAsiaTheme="minorEastAsia"/>
                <w:b/>
                <w:bCs w:val="0"/>
                <w:sz w:val="16"/>
                <w:szCs w:val="20"/>
                <w:lang w:val="en-US" w:eastAsia="zh-CN"/>
              </w:rPr>
              <w:t>CI width</w:t>
            </w:r>
          </w:p>
        </w:tc>
        <w:tc>
          <w:tcPr>
            <w:tcW w:w="384" w:type="pct"/>
            <w:tcBorders>
              <w:top w:val="single" w:color="auto" w:sz="4" w:space="0"/>
              <w:bottom w:val="single" w:color="auto" w:sz="4" w:space="0"/>
            </w:tcBorders>
            <w:vAlign w:val="center"/>
          </w:tcPr>
          <w:p w14:paraId="7D0978A0">
            <w:pPr>
              <w:snapToGrid w:val="0"/>
              <w:ind w:left="0" w:leftChars="0" w:right="0" w:rightChars="0" w:firstLine="0" w:firstLineChars="0"/>
              <w:jc w:val="center"/>
              <w:rPr>
                <w:rFonts w:hint="default" w:ascii="Times New Roman" w:hAnsi="Times New Roman" w:cs="Times New Roman" w:eastAsiaTheme="minorEastAsia"/>
                <w:b/>
                <w:bCs w:val="0"/>
                <w:sz w:val="16"/>
                <w:szCs w:val="20"/>
                <w:lang w:val="en-US" w:eastAsia="zh-CN"/>
              </w:rPr>
            </w:pPr>
            <w:r>
              <w:rPr>
                <w:rFonts w:hint="default" w:ascii="Times New Roman" w:hAnsi="Times New Roman" w:cs="Times New Roman" w:eastAsiaTheme="minorEastAsia"/>
                <w:b/>
                <w:bCs w:val="0"/>
                <w:sz w:val="16"/>
                <w:szCs w:val="20"/>
                <w:lang w:val="en-US" w:eastAsia="zh-CN"/>
              </w:rPr>
              <w:t>P value</w:t>
            </w:r>
          </w:p>
        </w:tc>
        <w:tc>
          <w:tcPr>
            <w:tcW w:w="450" w:type="pct"/>
            <w:tcBorders>
              <w:top w:val="single" w:color="auto" w:sz="4" w:space="0"/>
              <w:bottom w:val="single" w:color="auto" w:sz="4" w:space="0"/>
            </w:tcBorders>
            <w:vAlign w:val="center"/>
          </w:tcPr>
          <w:p w14:paraId="404C0130">
            <w:pPr>
              <w:snapToGrid w:val="0"/>
              <w:ind w:left="0" w:leftChars="0" w:right="0" w:rightChars="0" w:firstLine="0" w:firstLineChars="0"/>
              <w:jc w:val="center"/>
              <w:rPr>
                <w:rFonts w:hint="default" w:ascii="Times New Roman" w:hAnsi="Times New Roman" w:cs="Times New Roman" w:eastAsiaTheme="minorEastAsia"/>
                <w:b/>
                <w:bCs w:val="0"/>
                <w:sz w:val="16"/>
                <w:szCs w:val="20"/>
                <w:lang w:val="en-US" w:eastAsia="zh-CN"/>
              </w:rPr>
            </w:pPr>
            <w:r>
              <w:rPr>
                <w:rFonts w:hint="default" w:ascii="Times New Roman" w:hAnsi="Times New Roman" w:cs="Times New Roman" w:eastAsiaTheme="minorEastAsia"/>
                <w:b/>
                <w:bCs w:val="0"/>
                <w:sz w:val="16"/>
                <w:szCs w:val="20"/>
                <w:lang w:val="en-US" w:eastAsia="zh-CN"/>
              </w:rPr>
              <w:t>Power</w:t>
            </w:r>
          </w:p>
        </w:tc>
        <w:tc>
          <w:tcPr>
            <w:tcW w:w="866" w:type="pct"/>
            <w:tcBorders>
              <w:top w:val="single" w:color="auto" w:sz="4" w:space="0"/>
              <w:bottom w:val="single" w:color="auto" w:sz="4" w:space="0"/>
            </w:tcBorders>
            <w:vAlign w:val="center"/>
          </w:tcPr>
          <w:p w14:paraId="08ED2FE3">
            <w:pPr>
              <w:snapToGrid w:val="0"/>
              <w:ind w:left="0" w:leftChars="0" w:right="0" w:rightChars="0" w:firstLine="0" w:firstLineChars="0"/>
              <w:jc w:val="center"/>
              <w:rPr>
                <w:rFonts w:hint="default" w:ascii="Times New Roman" w:hAnsi="Times New Roman" w:cs="Times New Roman" w:eastAsiaTheme="minorEastAsia"/>
                <w:b/>
                <w:bCs w:val="0"/>
                <w:sz w:val="16"/>
                <w:szCs w:val="20"/>
                <w:lang w:val="en-US" w:eastAsia="zh-CN"/>
              </w:rPr>
            </w:pPr>
            <w:r>
              <w:rPr>
                <w:rFonts w:hint="default" w:ascii="Times New Roman" w:hAnsi="Times New Roman" w:cs="Times New Roman" w:eastAsiaTheme="minorEastAsia"/>
                <w:b/>
                <w:bCs w:val="0"/>
                <w:i/>
                <w:iCs/>
                <w:sz w:val="16"/>
                <w:szCs w:val="20"/>
                <w:lang w:val="en-US" w:eastAsia="zh-CN"/>
              </w:rPr>
              <w:t>P</w:t>
            </w:r>
            <w:r>
              <w:rPr>
                <w:rFonts w:hint="default" w:ascii="Times New Roman" w:hAnsi="Times New Roman" w:cs="Times New Roman" w:eastAsiaTheme="minorEastAsia"/>
                <w:b/>
                <w:bCs w:val="0"/>
                <w:sz w:val="16"/>
                <w:szCs w:val="20"/>
                <w:lang w:val="en-US" w:eastAsia="zh-CN"/>
              </w:rPr>
              <w:t xml:space="preserve"> for interaction (LR)</w:t>
            </w:r>
          </w:p>
        </w:tc>
        <w:tc>
          <w:tcPr>
            <w:tcW w:w="864" w:type="pct"/>
            <w:tcBorders>
              <w:top w:val="single" w:color="auto" w:sz="4" w:space="0"/>
              <w:bottom w:val="single" w:color="auto" w:sz="4" w:space="0"/>
            </w:tcBorders>
            <w:vAlign w:val="center"/>
          </w:tcPr>
          <w:p w14:paraId="617AF979">
            <w:pPr>
              <w:snapToGrid w:val="0"/>
              <w:ind w:left="0" w:leftChars="0" w:right="0" w:rightChars="0" w:firstLine="0" w:firstLineChars="0"/>
              <w:jc w:val="center"/>
              <w:rPr>
                <w:rFonts w:hint="default" w:ascii="Times New Roman" w:hAnsi="Times New Roman" w:cs="Times New Roman" w:eastAsiaTheme="minorEastAsia"/>
                <w:b/>
                <w:bCs w:val="0"/>
                <w:sz w:val="16"/>
                <w:szCs w:val="20"/>
                <w:lang w:val="en-US" w:eastAsia="zh-CN"/>
              </w:rPr>
            </w:pPr>
            <w:r>
              <w:rPr>
                <w:rFonts w:hint="default" w:ascii="Times New Roman" w:hAnsi="Times New Roman" w:cs="Times New Roman" w:eastAsiaTheme="minorEastAsia"/>
                <w:b/>
                <w:bCs w:val="0"/>
                <w:i/>
                <w:iCs/>
                <w:sz w:val="16"/>
                <w:szCs w:val="20"/>
                <w:lang w:val="en-US" w:eastAsia="zh-CN"/>
              </w:rPr>
              <w:t>P</w:t>
            </w:r>
            <w:r>
              <w:rPr>
                <w:rFonts w:hint="default" w:ascii="Times New Roman" w:hAnsi="Times New Roman" w:cs="Times New Roman" w:eastAsiaTheme="minorEastAsia"/>
                <w:b/>
                <w:bCs w:val="0"/>
                <w:sz w:val="16"/>
                <w:szCs w:val="20"/>
                <w:lang w:val="en-US" w:eastAsia="zh-CN"/>
              </w:rPr>
              <w:t xml:space="preserve"> for interaction (Bootstrap)</w:t>
            </w:r>
          </w:p>
        </w:tc>
      </w:tr>
      <w:tr w14:paraId="725D6A01">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 w:type="pct"/>
            <w:tcBorders>
              <w:top w:val="single" w:color="auto" w:sz="4" w:space="0"/>
            </w:tcBorders>
            <w:vAlign w:val="center"/>
          </w:tcPr>
          <w:p w14:paraId="0ED50807">
            <w:pPr>
              <w:snapToGrid w:val="0"/>
              <w:ind w:left="0" w:leftChars="0" w:right="0" w:rightChars="0" w:firstLine="0" w:firstLineChars="0"/>
              <w:jc w:val="left"/>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Age group</w:t>
            </w:r>
          </w:p>
        </w:tc>
        <w:tc>
          <w:tcPr>
            <w:tcW w:w="417" w:type="pct"/>
            <w:tcBorders>
              <w:top w:val="single" w:color="auto" w:sz="4" w:space="0"/>
            </w:tcBorders>
            <w:vAlign w:val="center"/>
          </w:tcPr>
          <w:p w14:paraId="1F22AA2C">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300" w:type="pct"/>
            <w:tcBorders>
              <w:top w:val="single" w:color="auto" w:sz="4" w:space="0"/>
            </w:tcBorders>
            <w:vAlign w:val="center"/>
          </w:tcPr>
          <w:p w14:paraId="50A1EAD6">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682" w:type="pct"/>
            <w:tcBorders>
              <w:top w:val="single" w:color="auto" w:sz="4" w:space="0"/>
            </w:tcBorders>
            <w:vAlign w:val="center"/>
          </w:tcPr>
          <w:p w14:paraId="63DCA2FE">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486" w:type="pct"/>
            <w:tcBorders>
              <w:top w:val="single" w:color="auto" w:sz="4" w:space="0"/>
            </w:tcBorders>
            <w:vAlign w:val="center"/>
          </w:tcPr>
          <w:p w14:paraId="4CB02033">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384" w:type="pct"/>
            <w:tcBorders>
              <w:top w:val="single" w:color="auto" w:sz="4" w:space="0"/>
            </w:tcBorders>
            <w:vAlign w:val="center"/>
          </w:tcPr>
          <w:p w14:paraId="7CE7FCDA">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450" w:type="pct"/>
            <w:tcBorders>
              <w:top w:val="single" w:color="auto" w:sz="4" w:space="0"/>
            </w:tcBorders>
            <w:vAlign w:val="center"/>
          </w:tcPr>
          <w:p w14:paraId="57B51CEC">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866" w:type="pct"/>
            <w:tcBorders>
              <w:top w:val="single" w:color="auto" w:sz="4" w:space="0"/>
            </w:tcBorders>
            <w:vAlign w:val="center"/>
          </w:tcPr>
          <w:p w14:paraId="7D13CEA9">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0.100</w:t>
            </w:r>
          </w:p>
        </w:tc>
        <w:tc>
          <w:tcPr>
            <w:tcW w:w="864" w:type="pct"/>
            <w:tcBorders>
              <w:top w:val="single" w:color="auto" w:sz="4" w:space="0"/>
            </w:tcBorders>
            <w:vAlign w:val="center"/>
          </w:tcPr>
          <w:p w14:paraId="2C39155D">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0.097</w:t>
            </w:r>
          </w:p>
        </w:tc>
      </w:tr>
      <w:tr w14:paraId="28640BAC">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 w:type="pct"/>
            <w:vAlign w:val="center"/>
          </w:tcPr>
          <w:p w14:paraId="77B48073">
            <w:pPr>
              <w:snapToGrid w:val="0"/>
              <w:ind w:left="0" w:leftChars="0" w:right="0" w:rightChars="0" w:firstLine="160" w:firstLineChars="100"/>
              <w:jc w:val="left"/>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&lt;70</w:t>
            </w:r>
          </w:p>
        </w:tc>
        <w:tc>
          <w:tcPr>
            <w:tcW w:w="417" w:type="pct"/>
            <w:vAlign w:val="center"/>
          </w:tcPr>
          <w:p w14:paraId="0E9B449C">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1379</w:t>
            </w:r>
          </w:p>
        </w:tc>
        <w:tc>
          <w:tcPr>
            <w:tcW w:w="300" w:type="pct"/>
            <w:vAlign w:val="center"/>
          </w:tcPr>
          <w:p w14:paraId="1FB58938">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85</w:t>
            </w:r>
          </w:p>
        </w:tc>
        <w:tc>
          <w:tcPr>
            <w:tcW w:w="682" w:type="pct"/>
            <w:vAlign w:val="center"/>
          </w:tcPr>
          <w:p w14:paraId="46D0CAEE">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1.474 (1.196–1.817)</w:t>
            </w:r>
          </w:p>
        </w:tc>
        <w:tc>
          <w:tcPr>
            <w:tcW w:w="486" w:type="pct"/>
            <w:vAlign w:val="center"/>
          </w:tcPr>
          <w:p w14:paraId="4D6A1205">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0.621</w:t>
            </w:r>
          </w:p>
        </w:tc>
        <w:tc>
          <w:tcPr>
            <w:tcW w:w="384" w:type="pct"/>
            <w:vAlign w:val="center"/>
          </w:tcPr>
          <w:p w14:paraId="1FB9DE26">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&lt;0.001</w:t>
            </w:r>
          </w:p>
        </w:tc>
        <w:tc>
          <w:tcPr>
            <w:tcW w:w="450" w:type="pct"/>
            <w:vAlign w:val="center"/>
          </w:tcPr>
          <w:p w14:paraId="45E28D7A">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0.953</w:t>
            </w:r>
          </w:p>
        </w:tc>
        <w:tc>
          <w:tcPr>
            <w:tcW w:w="866" w:type="pct"/>
            <w:vAlign w:val="center"/>
          </w:tcPr>
          <w:p w14:paraId="4032F7AD">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864" w:type="pct"/>
            <w:vAlign w:val="center"/>
          </w:tcPr>
          <w:p w14:paraId="5AE9A3E2">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r>
      <w:tr w14:paraId="04EBCE30">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 w:type="pct"/>
            <w:vAlign w:val="center"/>
          </w:tcPr>
          <w:p w14:paraId="3D785496">
            <w:pPr>
              <w:snapToGrid w:val="0"/>
              <w:ind w:left="0" w:leftChars="0" w:right="0" w:rightChars="0" w:firstLine="160" w:firstLineChars="100"/>
              <w:jc w:val="left"/>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≥70</w:t>
            </w:r>
          </w:p>
        </w:tc>
        <w:tc>
          <w:tcPr>
            <w:tcW w:w="417" w:type="pct"/>
            <w:vAlign w:val="center"/>
          </w:tcPr>
          <w:p w14:paraId="79F3224E">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693</w:t>
            </w:r>
          </w:p>
        </w:tc>
        <w:tc>
          <w:tcPr>
            <w:tcW w:w="300" w:type="pct"/>
            <w:vAlign w:val="center"/>
          </w:tcPr>
          <w:p w14:paraId="0213889E">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162</w:t>
            </w:r>
          </w:p>
        </w:tc>
        <w:tc>
          <w:tcPr>
            <w:tcW w:w="682" w:type="pct"/>
            <w:vAlign w:val="center"/>
          </w:tcPr>
          <w:p w14:paraId="062F3410">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1.234 (1.067–1.426)</w:t>
            </w:r>
          </w:p>
        </w:tc>
        <w:tc>
          <w:tcPr>
            <w:tcW w:w="486" w:type="pct"/>
            <w:vAlign w:val="center"/>
          </w:tcPr>
          <w:p w14:paraId="0CBE3A64">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0.359</w:t>
            </w:r>
          </w:p>
        </w:tc>
        <w:tc>
          <w:tcPr>
            <w:tcW w:w="384" w:type="pct"/>
            <w:vAlign w:val="center"/>
          </w:tcPr>
          <w:p w14:paraId="57248151">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0.004</w:t>
            </w:r>
          </w:p>
        </w:tc>
        <w:tc>
          <w:tcPr>
            <w:tcW w:w="450" w:type="pct"/>
            <w:vAlign w:val="center"/>
          </w:tcPr>
          <w:p w14:paraId="2A802095">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0.812</w:t>
            </w:r>
          </w:p>
        </w:tc>
        <w:tc>
          <w:tcPr>
            <w:tcW w:w="866" w:type="pct"/>
            <w:vAlign w:val="center"/>
          </w:tcPr>
          <w:p w14:paraId="3D4B91CA">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864" w:type="pct"/>
            <w:vAlign w:val="center"/>
          </w:tcPr>
          <w:p w14:paraId="2C9CFF38">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r>
      <w:tr w14:paraId="3DE359C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 w:type="pct"/>
            <w:vAlign w:val="center"/>
          </w:tcPr>
          <w:p w14:paraId="1DADFFF6">
            <w:pPr>
              <w:snapToGrid w:val="0"/>
              <w:ind w:left="0" w:leftChars="0" w:right="0" w:rightChars="0" w:firstLine="0" w:firstLineChars="0"/>
              <w:jc w:val="left"/>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Gender</w:t>
            </w:r>
          </w:p>
        </w:tc>
        <w:tc>
          <w:tcPr>
            <w:tcW w:w="417" w:type="pct"/>
            <w:vAlign w:val="center"/>
          </w:tcPr>
          <w:p w14:paraId="7755F6CA">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300" w:type="pct"/>
            <w:vAlign w:val="center"/>
          </w:tcPr>
          <w:p w14:paraId="340C69EF">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682" w:type="pct"/>
            <w:vAlign w:val="center"/>
          </w:tcPr>
          <w:p w14:paraId="4C0374D7">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486" w:type="pct"/>
            <w:vAlign w:val="center"/>
          </w:tcPr>
          <w:p w14:paraId="34706AD3">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384" w:type="pct"/>
            <w:vAlign w:val="center"/>
          </w:tcPr>
          <w:p w14:paraId="79B1F72A">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450" w:type="pct"/>
            <w:vAlign w:val="center"/>
          </w:tcPr>
          <w:p w14:paraId="56432ADB">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866" w:type="pct"/>
            <w:vAlign w:val="center"/>
          </w:tcPr>
          <w:p w14:paraId="2B330AD0">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0.223</w:t>
            </w:r>
          </w:p>
        </w:tc>
        <w:tc>
          <w:tcPr>
            <w:tcW w:w="864" w:type="pct"/>
            <w:vAlign w:val="center"/>
          </w:tcPr>
          <w:p w14:paraId="2B089C41">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0.214</w:t>
            </w:r>
          </w:p>
        </w:tc>
      </w:tr>
      <w:tr w14:paraId="75D9C7D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 w:type="pct"/>
            <w:vAlign w:val="center"/>
          </w:tcPr>
          <w:p w14:paraId="00983912">
            <w:pPr>
              <w:snapToGrid w:val="0"/>
              <w:ind w:left="0" w:leftChars="0" w:right="0" w:rightChars="0" w:firstLine="160" w:firstLineChars="100"/>
              <w:jc w:val="left"/>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Male</w:t>
            </w:r>
          </w:p>
        </w:tc>
        <w:tc>
          <w:tcPr>
            <w:tcW w:w="417" w:type="pct"/>
            <w:vAlign w:val="center"/>
          </w:tcPr>
          <w:p w14:paraId="066386D4">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731</w:t>
            </w:r>
          </w:p>
        </w:tc>
        <w:tc>
          <w:tcPr>
            <w:tcW w:w="300" w:type="pct"/>
            <w:vAlign w:val="center"/>
          </w:tcPr>
          <w:p w14:paraId="15FBBFFA">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137</w:t>
            </w:r>
          </w:p>
        </w:tc>
        <w:tc>
          <w:tcPr>
            <w:tcW w:w="682" w:type="pct"/>
            <w:vAlign w:val="center"/>
          </w:tcPr>
          <w:p w14:paraId="45FD5B0A">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1.233 (1.065–1.427)</w:t>
            </w:r>
          </w:p>
        </w:tc>
        <w:tc>
          <w:tcPr>
            <w:tcW w:w="486" w:type="pct"/>
            <w:vAlign w:val="center"/>
          </w:tcPr>
          <w:p w14:paraId="0658F520">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0.362</w:t>
            </w:r>
          </w:p>
        </w:tc>
        <w:tc>
          <w:tcPr>
            <w:tcW w:w="384" w:type="pct"/>
            <w:vAlign w:val="center"/>
          </w:tcPr>
          <w:p w14:paraId="0CB907F9">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0.005</w:t>
            </w:r>
          </w:p>
        </w:tc>
        <w:tc>
          <w:tcPr>
            <w:tcW w:w="450" w:type="pct"/>
            <w:vAlign w:val="center"/>
          </w:tcPr>
          <w:p w14:paraId="3D93004C">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0.800</w:t>
            </w:r>
          </w:p>
        </w:tc>
        <w:tc>
          <w:tcPr>
            <w:tcW w:w="866" w:type="pct"/>
            <w:vAlign w:val="center"/>
          </w:tcPr>
          <w:p w14:paraId="7D7E3895">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864" w:type="pct"/>
            <w:vAlign w:val="center"/>
          </w:tcPr>
          <w:p w14:paraId="5A72620E">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r>
      <w:tr w14:paraId="0E10110E">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 w:type="pct"/>
            <w:vAlign w:val="center"/>
          </w:tcPr>
          <w:p w14:paraId="122E7796">
            <w:pPr>
              <w:snapToGrid w:val="0"/>
              <w:ind w:left="0" w:leftChars="0" w:right="0" w:rightChars="0" w:firstLine="160" w:firstLineChars="100"/>
              <w:jc w:val="left"/>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Female</w:t>
            </w:r>
          </w:p>
        </w:tc>
        <w:tc>
          <w:tcPr>
            <w:tcW w:w="417" w:type="pct"/>
            <w:vAlign w:val="center"/>
          </w:tcPr>
          <w:p w14:paraId="699F7D11">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1341</w:t>
            </w:r>
          </w:p>
        </w:tc>
        <w:tc>
          <w:tcPr>
            <w:tcW w:w="300" w:type="pct"/>
            <w:vAlign w:val="center"/>
          </w:tcPr>
          <w:p w14:paraId="426383BA">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110</w:t>
            </w:r>
          </w:p>
        </w:tc>
        <w:tc>
          <w:tcPr>
            <w:tcW w:w="682" w:type="pct"/>
            <w:vAlign w:val="center"/>
          </w:tcPr>
          <w:p w14:paraId="2F960FFB">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1.422 (1.146–1.763)</w:t>
            </w:r>
          </w:p>
        </w:tc>
        <w:tc>
          <w:tcPr>
            <w:tcW w:w="486" w:type="pct"/>
            <w:vAlign w:val="center"/>
          </w:tcPr>
          <w:p w14:paraId="4506E422">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0.617</w:t>
            </w:r>
          </w:p>
        </w:tc>
        <w:tc>
          <w:tcPr>
            <w:tcW w:w="384" w:type="pct"/>
            <w:vAlign w:val="center"/>
          </w:tcPr>
          <w:p w14:paraId="0E64A6DE">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0.001</w:t>
            </w:r>
          </w:p>
        </w:tc>
        <w:tc>
          <w:tcPr>
            <w:tcW w:w="450" w:type="pct"/>
            <w:vAlign w:val="center"/>
          </w:tcPr>
          <w:p w14:paraId="03A102D5">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0.892</w:t>
            </w:r>
          </w:p>
        </w:tc>
        <w:tc>
          <w:tcPr>
            <w:tcW w:w="866" w:type="pct"/>
            <w:vAlign w:val="center"/>
          </w:tcPr>
          <w:p w14:paraId="0DA65825">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864" w:type="pct"/>
            <w:vAlign w:val="center"/>
          </w:tcPr>
          <w:p w14:paraId="2B864670">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r>
      <w:tr w14:paraId="7A2FC1E2">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 w:type="pct"/>
            <w:vAlign w:val="center"/>
          </w:tcPr>
          <w:p w14:paraId="48B7006B">
            <w:pPr>
              <w:snapToGrid w:val="0"/>
              <w:ind w:left="0" w:leftChars="0" w:right="0" w:rightChars="0" w:firstLine="0" w:firstLineChars="0"/>
              <w:jc w:val="left"/>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Smok</w:t>
            </w:r>
            <w:r>
              <w:rPr>
                <w:rFonts w:hint="eastAsia" w:ascii="Times New Roman" w:hAnsi="Times New Roman" w:cs="Times New Roman"/>
                <w:b w:val="0"/>
                <w:bCs w:val="0"/>
                <w:sz w:val="16"/>
                <w:szCs w:val="20"/>
                <w:lang w:val="en-US" w:eastAsia="zh-CN"/>
              </w:rPr>
              <w:t>e</w:t>
            </w:r>
          </w:p>
        </w:tc>
        <w:tc>
          <w:tcPr>
            <w:tcW w:w="417" w:type="pct"/>
            <w:vAlign w:val="center"/>
          </w:tcPr>
          <w:p w14:paraId="47950EFC">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300" w:type="pct"/>
            <w:vAlign w:val="center"/>
          </w:tcPr>
          <w:p w14:paraId="073DDFA0">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682" w:type="pct"/>
            <w:vAlign w:val="center"/>
          </w:tcPr>
          <w:p w14:paraId="73013B62">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486" w:type="pct"/>
            <w:vAlign w:val="center"/>
          </w:tcPr>
          <w:p w14:paraId="11851AEA">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384" w:type="pct"/>
            <w:vAlign w:val="center"/>
          </w:tcPr>
          <w:p w14:paraId="1BB8A9B9">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450" w:type="pct"/>
            <w:vAlign w:val="center"/>
          </w:tcPr>
          <w:p w14:paraId="02A8685C">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866" w:type="pct"/>
            <w:shd w:val="clear" w:color="auto" w:fill="auto"/>
            <w:vAlign w:val="center"/>
          </w:tcPr>
          <w:p w14:paraId="5B1EB9A9">
            <w:pPr>
              <w:snapToGrid w:val="0"/>
              <w:ind w:left="0" w:leftChars="0" w:right="0" w:rightChars="0" w:firstLine="0" w:firstLineChars="0"/>
              <w:jc w:val="center"/>
              <w:rPr>
                <w:rFonts w:hint="default" w:ascii="Times New Roman" w:hAnsi="Times New Roman" w:cs="Times New Roman" w:eastAsiaTheme="minorEastAsia"/>
                <w:b w:val="0"/>
                <w:bCs w:val="0"/>
                <w:kern w:val="2"/>
                <w:sz w:val="16"/>
                <w:szCs w:val="20"/>
                <w:lang w:val="en-US" w:eastAsia="zh-CN" w:bidi="ar-SA"/>
              </w:rPr>
            </w:pPr>
            <w:r>
              <w:rPr>
                <w:rFonts w:hint="default" w:ascii="Times New Roman" w:hAnsi="Times New Roman" w:cs="Times New Roman" w:eastAsiaTheme="minorEastAsia"/>
                <w:b w:val="0"/>
                <w:bCs w:val="0"/>
                <w:sz w:val="16"/>
                <w:szCs w:val="20"/>
                <w:lang w:val="en-US" w:eastAsia="zh-CN"/>
              </w:rPr>
              <w:t>0.472</w:t>
            </w:r>
          </w:p>
        </w:tc>
        <w:tc>
          <w:tcPr>
            <w:tcW w:w="864" w:type="pct"/>
            <w:shd w:val="clear" w:color="auto" w:fill="auto"/>
            <w:vAlign w:val="center"/>
          </w:tcPr>
          <w:p w14:paraId="460D56D2">
            <w:pPr>
              <w:snapToGrid w:val="0"/>
              <w:ind w:left="0" w:leftChars="0" w:right="0" w:rightChars="0" w:firstLine="0" w:firstLineChars="0"/>
              <w:jc w:val="center"/>
              <w:rPr>
                <w:rFonts w:hint="default" w:ascii="Times New Roman" w:hAnsi="Times New Roman" w:cs="Times New Roman" w:eastAsiaTheme="minorEastAsia"/>
                <w:b w:val="0"/>
                <w:bCs w:val="0"/>
                <w:kern w:val="2"/>
                <w:sz w:val="16"/>
                <w:szCs w:val="20"/>
                <w:lang w:val="en-US" w:eastAsia="zh-CN" w:bidi="ar-SA"/>
              </w:rPr>
            </w:pPr>
            <w:r>
              <w:rPr>
                <w:rFonts w:hint="default" w:ascii="Times New Roman" w:hAnsi="Times New Roman" w:cs="Times New Roman" w:eastAsiaTheme="minorEastAsia"/>
                <w:b w:val="0"/>
                <w:bCs w:val="0"/>
                <w:sz w:val="16"/>
                <w:szCs w:val="20"/>
                <w:lang w:val="en-US" w:eastAsia="zh-CN"/>
              </w:rPr>
              <w:t>0.366</w:t>
            </w:r>
          </w:p>
        </w:tc>
      </w:tr>
      <w:tr w14:paraId="76A9BF1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 w:type="pct"/>
            <w:vAlign w:val="center"/>
          </w:tcPr>
          <w:p w14:paraId="5EE6EDA6">
            <w:pPr>
              <w:snapToGrid w:val="0"/>
              <w:ind w:left="0" w:leftChars="0" w:right="0" w:rightChars="0" w:firstLine="160" w:firstLineChars="100"/>
              <w:jc w:val="left"/>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Yes</w:t>
            </w:r>
          </w:p>
        </w:tc>
        <w:tc>
          <w:tcPr>
            <w:tcW w:w="417" w:type="pct"/>
            <w:vAlign w:val="center"/>
          </w:tcPr>
          <w:p w14:paraId="7D770308">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140</w:t>
            </w:r>
          </w:p>
        </w:tc>
        <w:tc>
          <w:tcPr>
            <w:tcW w:w="300" w:type="pct"/>
            <w:vAlign w:val="center"/>
          </w:tcPr>
          <w:p w14:paraId="3BBF63FD">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21</w:t>
            </w:r>
          </w:p>
        </w:tc>
        <w:tc>
          <w:tcPr>
            <w:tcW w:w="682" w:type="pct"/>
            <w:vAlign w:val="center"/>
          </w:tcPr>
          <w:p w14:paraId="7E44ACBA">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1.114 (0.771–1.610)</w:t>
            </w:r>
          </w:p>
        </w:tc>
        <w:tc>
          <w:tcPr>
            <w:tcW w:w="486" w:type="pct"/>
            <w:vAlign w:val="center"/>
          </w:tcPr>
          <w:p w14:paraId="2D019FDD">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0.839</w:t>
            </w:r>
          </w:p>
        </w:tc>
        <w:tc>
          <w:tcPr>
            <w:tcW w:w="384" w:type="pct"/>
            <w:vAlign w:val="center"/>
          </w:tcPr>
          <w:p w14:paraId="3FD98296">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0.565</w:t>
            </w:r>
          </w:p>
        </w:tc>
        <w:tc>
          <w:tcPr>
            <w:tcW w:w="450" w:type="pct"/>
            <w:vAlign w:val="center"/>
          </w:tcPr>
          <w:p w14:paraId="46353FEF">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0.083</w:t>
            </w:r>
          </w:p>
        </w:tc>
        <w:tc>
          <w:tcPr>
            <w:tcW w:w="866" w:type="pct"/>
            <w:vAlign w:val="center"/>
          </w:tcPr>
          <w:p w14:paraId="5B3AF100">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864" w:type="pct"/>
            <w:vAlign w:val="center"/>
          </w:tcPr>
          <w:p w14:paraId="65444740">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r>
      <w:tr w14:paraId="18C2BFC3">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 w:type="pct"/>
            <w:vAlign w:val="center"/>
          </w:tcPr>
          <w:p w14:paraId="200C0A8C">
            <w:pPr>
              <w:snapToGrid w:val="0"/>
              <w:ind w:left="0" w:leftChars="0" w:right="0" w:rightChars="0" w:firstLine="160" w:firstLineChars="100"/>
              <w:jc w:val="left"/>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No</w:t>
            </w:r>
          </w:p>
        </w:tc>
        <w:tc>
          <w:tcPr>
            <w:tcW w:w="417" w:type="pct"/>
            <w:vAlign w:val="center"/>
          </w:tcPr>
          <w:p w14:paraId="0DAE414B">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1932</w:t>
            </w:r>
          </w:p>
        </w:tc>
        <w:tc>
          <w:tcPr>
            <w:tcW w:w="300" w:type="pct"/>
            <w:vAlign w:val="center"/>
          </w:tcPr>
          <w:p w14:paraId="7A7B8F10">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226</w:t>
            </w:r>
          </w:p>
        </w:tc>
        <w:tc>
          <w:tcPr>
            <w:tcW w:w="682" w:type="pct"/>
            <w:vAlign w:val="center"/>
          </w:tcPr>
          <w:p w14:paraId="506A8AE7">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1.307 (1.150–1.486)</w:t>
            </w:r>
          </w:p>
        </w:tc>
        <w:tc>
          <w:tcPr>
            <w:tcW w:w="486" w:type="pct"/>
            <w:vAlign w:val="center"/>
          </w:tcPr>
          <w:p w14:paraId="41540BBC">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0.337</w:t>
            </w:r>
          </w:p>
        </w:tc>
        <w:tc>
          <w:tcPr>
            <w:tcW w:w="384" w:type="pct"/>
            <w:vAlign w:val="center"/>
          </w:tcPr>
          <w:p w14:paraId="64D1796F">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&lt;0.001</w:t>
            </w:r>
          </w:p>
        </w:tc>
        <w:tc>
          <w:tcPr>
            <w:tcW w:w="450" w:type="pct"/>
            <w:vAlign w:val="center"/>
          </w:tcPr>
          <w:p w14:paraId="49DFC237">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0.983</w:t>
            </w:r>
          </w:p>
        </w:tc>
        <w:tc>
          <w:tcPr>
            <w:tcW w:w="866" w:type="pct"/>
            <w:vAlign w:val="center"/>
          </w:tcPr>
          <w:p w14:paraId="438743DB">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864" w:type="pct"/>
            <w:vAlign w:val="center"/>
          </w:tcPr>
          <w:p w14:paraId="77C6F7E2">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r>
      <w:tr w14:paraId="6AB4123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 w:type="pct"/>
            <w:vAlign w:val="center"/>
          </w:tcPr>
          <w:p w14:paraId="67AB1585">
            <w:pPr>
              <w:snapToGrid w:val="0"/>
              <w:ind w:left="0" w:leftChars="0" w:right="0" w:rightChars="0" w:firstLine="0" w:firstLineChars="0"/>
              <w:jc w:val="left"/>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Drink</w:t>
            </w:r>
          </w:p>
        </w:tc>
        <w:tc>
          <w:tcPr>
            <w:tcW w:w="417" w:type="pct"/>
            <w:vAlign w:val="center"/>
          </w:tcPr>
          <w:p w14:paraId="4E56FA22">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300" w:type="pct"/>
            <w:vAlign w:val="center"/>
          </w:tcPr>
          <w:p w14:paraId="47B84FA8">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682" w:type="pct"/>
            <w:vAlign w:val="center"/>
          </w:tcPr>
          <w:p w14:paraId="3A8C8293">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486" w:type="pct"/>
            <w:vAlign w:val="center"/>
          </w:tcPr>
          <w:p w14:paraId="165FDFFC">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384" w:type="pct"/>
            <w:vAlign w:val="center"/>
          </w:tcPr>
          <w:p w14:paraId="5C01D242">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450" w:type="pct"/>
            <w:vAlign w:val="center"/>
          </w:tcPr>
          <w:p w14:paraId="3F05F3FF">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866" w:type="pct"/>
            <w:shd w:val="clear" w:color="auto" w:fill="auto"/>
            <w:vAlign w:val="center"/>
          </w:tcPr>
          <w:p w14:paraId="4BA6F8F7">
            <w:pPr>
              <w:snapToGrid w:val="0"/>
              <w:ind w:left="0" w:leftChars="0" w:right="0" w:rightChars="0" w:firstLine="0" w:firstLineChars="0"/>
              <w:jc w:val="center"/>
              <w:rPr>
                <w:rFonts w:hint="default" w:ascii="Times New Roman" w:hAnsi="Times New Roman" w:cs="Times New Roman" w:eastAsiaTheme="minorEastAsia"/>
                <w:b w:val="0"/>
                <w:bCs w:val="0"/>
                <w:kern w:val="2"/>
                <w:sz w:val="16"/>
                <w:szCs w:val="20"/>
                <w:lang w:val="en-US" w:eastAsia="zh-CN" w:bidi="ar-SA"/>
              </w:rPr>
            </w:pPr>
            <w:r>
              <w:rPr>
                <w:rFonts w:hint="default" w:ascii="Times New Roman" w:hAnsi="Times New Roman" w:cs="Times New Roman" w:eastAsiaTheme="minorEastAsia"/>
                <w:b w:val="0"/>
                <w:bCs w:val="0"/>
                <w:sz w:val="16"/>
                <w:szCs w:val="20"/>
                <w:lang w:val="en-US" w:eastAsia="zh-CN"/>
              </w:rPr>
              <w:t>0.478</w:t>
            </w:r>
          </w:p>
        </w:tc>
        <w:tc>
          <w:tcPr>
            <w:tcW w:w="864" w:type="pct"/>
            <w:shd w:val="clear" w:color="auto" w:fill="auto"/>
            <w:vAlign w:val="center"/>
          </w:tcPr>
          <w:p w14:paraId="5E15AEC0">
            <w:pPr>
              <w:snapToGrid w:val="0"/>
              <w:ind w:left="0" w:leftChars="0" w:right="0" w:rightChars="0" w:firstLine="0" w:firstLineChars="0"/>
              <w:jc w:val="center"/>
              <w:rPr>
                <w:rFonts w:hint="default" w:ascii="Times New Roman" w:hAnsi="Times New Roman" w:cs="Times New Roman" w:eastAsiaTheme="minorEastAsia"/>
                <w:b w:val="0"/>
                <w:bCs w:val="0"/>
                <w:kern w:val="2"/>
                <w:sz w:val="16"/>
                <w:szCs w:val="20"/>
                <w:lang w:val="en-US" w:eastAsia="zh-CN" w:bidi="ar-SA"/>
              </w:rPr>
            </w:pPr>
            <w:r>
              <w:rPr>
                <w:rFonts w:hint="default" w:ascii="Times New Roman" w:hAnsi="Times New Roman" w:cs="Times New Roman" w:eastAsiaTheme="minorEastAsia"/>
                <w:b w:val="0"/>
                <w:bCs w:val="0"/>
                <w:sz w:val="16"/>
                <w:szCs w:val="20"/>
                <w:lang w:val="en-US" w:eastAsia="zh-CN"/>
              </w:rPr>
              <w:t>0.326</w:t>
            </w:r>
          </w:p>
        </w:tc>
      </w:tr>
      <w:tr w14:paraId="6CC4A2FB">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 w:type="pct"/>
            <w:vAlign w:val="center"/>
          </w:tcPr>
          <w:p w14:paraId="055046ED">
            <w:pPr>
              <w:snapToGrid w:val="0"/>
              <w:ind w:left="0" w:leftChars="0" w:right="0" w:rightChars="0" w:firstLine="160" w:firstLineChars="100"/>
              <w:jc w:val="left"/>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Yes</w:t>
            </w:r>
          </w:p>
        </w:tc>
        <w:tc>
          <w:tcPr>
            <w:tcW w:w="417" w:type="pct"/>
            <w:vAlign w:val="center"/>
          </w:tcPr>
          <w:p w14:paraId="064D2580">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126</w:t>
            </w:r>
          </w:p>
        </w:tc>
        <w:tc>
          <w:tcPr>
            <w:tcW w:w="300" w:type="pct"/>
            <w:vAlign w:val="center"/>
          </w:tcPr>
          <w:p w14:paraId="43D094FE">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14</w:t>
            </w:r>
          </w:p>
        </w:tc>
        <w:tc>
          <w:tcPr>
            <w:tcW w:w="682" w:type="pct"/>
            <w:vAlign w:val="center"/>
          </w:tcPr>
          <w:p w14:paraId="3FD49C64">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1.080 (0.662–1.761)</w:t>
            </w:r>
          </w:p>
        </w:tc>
        <w:tc>
          <w:tcPr>
            <w:tcW w:w="486" w:type="pct"/>
            <w:vAlign w:val="center"/>
          </w:tcPr>
          <w:p w14:paraId="08A6E389">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1.099</w:t>
            </w:r>
          </w:p>
        </w:tc>
        <w:tc>
          <w:tcPr>
            <w:tcW w:w="384" w:type="pct"/>
            <w:vAlign w:val="center"/>
          </w:tcPr>
          <w:p w14:paraId="04E36B44">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0.758</w:t>
            </w:r>
          </w:p>
        </w:tc>
        <w:tc>
          <w:tcPr>
            <w:tcW w:w="450" w:type="pct"/>
            <w:vAlign w:val="center"/>
          </w:tcPr>
          <w:p w14:paraId="52AB3385">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0.049</w:t>
            </w:r>
          </w:p>
        </w:tc>
        <w:tc>
          <w:tcPr>
            <w:tcW w:w="866" w:type="pct"/>
            <w:vAlign w:val="center"/>
          </w:tcPr>
          <w:p w14:paraId="367C0643">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864" w:type="pct"/>
            <w:vAlign w:val="center"/>
          </w:tcPr>
          <w:p w14:paraId="42982A58">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r>
      <w:tr w14:paraId="26ACE27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 w:type="pct"/>
            <w:vAlign w:val="center"/>
          </w:tcPr>
          <w:p w14:paraId="57A37C73">
            <w:pPr>
              <w:snapToGrid w:val="0"/>
              <w:ind w:left="0" w:leftChars="0" w:right="0" w:rightChars="0" w:firstLine="160" w:firstLineChars="100"/>
              <w:jc w:val="left"/>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No</w:t>
            </w:r>
          </w:p>
        </w:tc>
        <w:tc>
          <w:tcPr>
            <w:tcW w:w="417" w:type="pct"/>
            <w:vAlign w:val="center"/>
          </w:tcPr>
          <w:p w14:paraId="0185928C">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1946</w:t>
            </w:r>
          </w:p>
        </w:tc>
        <w:tc>
          <w:tcPr>
            <w:tcW w:w="300" w:type="pct"/>
            <w:vAlign w:val="center"/>
          </w:tcPr>
          <w:p w14:paraId="316BAC8C">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233</w:t>
            </w:r>
          </w:p>
        </w:tc>
        <w:tc>
          <w:tcPr>
            <w:tcW w:w="682" w:type="pct"/>
            <w:vAlign w:val="center"/>
          </w:tcPr>
          <w:p w14:paraId="6297525C">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1.304 (1.150–1.477)</w:t>
            </w:r>
          </w:p>
        </w:tc>
        <w:tc>
          <w:tcPr>
            <w:tcW w:w="486" w:type="pct"/>
            <w:vAlign w:val="center"/>
          </w:tcPr>
          <w:p w14:paraId="7593A103">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0.327</w:t>
            </w:r>
          </w:p>
        </w:tc>
        <w:tc>
          <w:tcPr>
            <w:tcW w:w="384" w:type="pct"/>
            <w:vAlign w:val="center"/>
          </w:tcPr>
          <w:p w14:paraId="60809ADD">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&lt;0.001</w:t>
            </w:r>
          </w:p>
        </w:tc>
        <w:tc>
          <w:tcPr>
            <w:tcW w:w="450" w:type="pct"/>
            <w:vAlign w:val="center"/>
          </w:tcPr>
          <w:p w14:paraId="3F27C827">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0.986</w:t>
            </w:r>
          </w:p>
        </w:tc>
        <w:tc>
          <w:tcPr>
            <w:tcW w:w="866" w:type="pct"/>
            <w:vAlign w:val="center"/>
          </w:tcPr>
          <w:p w14:paraId="099569BF">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864" w:type="pct"/>
            <w:vAlign w:val="center"/>
          </w:tcPr>
          <w:p w14:paraId="31F0D748">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r>
      <w:tr w14:paraId="6782A3F9">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 w:type="pct"/>
            <w:vAlign w:val="center"/>
          </w:tcPr>
          <w:p w14:paraId="4EE73E9B">
            <w:pPr>
              <w:snapToGrid w:val="0"/>
              <w:ind w:left="0" w:leftChars="0" w:right="0" w:rightChars="0" w:firstLine="0" w:firstLineChars="0"/>
              <w:jc w:val="left"/>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Exercise</w:t>
            </w:r>
          </w:p>
        </w:tc>
        <w:tc>
          <w:tcPr>
            <w:tcW w:w="417" w:type="pct"/>
            <w:vAlign w:val="center"/>
          </w:tcPr>
          <w:p w14:paraId="47A4055E">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300" w:type="pct"/>
            <w:vAlign w:val="center"/>
          </w:tcPr>
          <w:p w14:paraId="18861BD5">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682" w:type="pct"/>
            <w:vAlign w:val="center"/>
          </w:tcPr>
          <w:p w14:paraId="551774F5">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486" w:type="pct"/>
            <w:vAlign w:val="center"/>
          </w:tcPr>
          <w:p w14:paraId="51C38698">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384" w:type="pct"/>
            <w:vAlign w:val="center"/>
          </w:tcPr>
          <w:p w14:paraId="1D49E02E">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450" w:type="pct"/>
            <w:vAlign w:val="center"/>
          </w:tcPr>
          <w:p w14:paraId="629EC2CA">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866" w:type="pct"/>
            <w:shd w:val="clear" w:color="auto" w:fill="auto"/>
            <w:vAlign w:val="center"/>
          </w:tcPr>
          <w:p w14:paraId="0ECE9BE5">
            <w:pPr>
              <w:snapToGrid w:val="0"/>
              <w:ind w:left="0" w:leftChars="0" w:right="0" w:rightChars="0" w:firstLine="0" w:firstLineChars="0"/>
              <w:jc w:val="center"/>
              <w:rPr>
                <w:rFonts w:hint="default" w:ascii="Times New Roman" w:hAnsi="Times New Roman" w:cs="Times New Roman" w:eastAsiaTheme="minorEastAsia"/>
                <w:b w:val="0"/>
                <w:bCs w:val="0"/>
                <w:kern w:val="2"/>
                <w:sz w:val="16"/>
                <w:szCs w:val="20"/>
                <w:lang w:val="en-US" w:eastAsia="zh-CN" w:bidi="ar-SA"/>
              </w:rPr>
            </w:pPr>
            <w:r>
              <w:rPr>
                <w:rFonts w:hint="default" w:ascii="Times New Roman" w:hAnsi="Times New Roman" w:cs="Times New Roman" w:eastAsiaTheme="minorEastAsia"/>
                <w:b w:val="0"/>
                <w:bCs w:val="0"/>
                <w:sz w:val="16"/>
                <w:szCs w:val="20"/>
                <w:lang w:val="en-US" w:eastAsia="zh-CN"/>
              </w:rPr>
              <w:t>0.782</w:t>
            </w:r>
          </w:p>
        </w:tc>
        <w:tc>
          <w:tcPr>
            <w:tcW w:w="864" w:type="pct"/>
            <w:shd w:val="clear" w:color="auto" w:fill="auto"/>
            <w:vAlign w:val="center"/>
          </w:tcPr>
          <w:p w14:paraId="24CEC5E1">
            <w:pPr>
              <w:snapToGrid w:val="0"/>
              <w:ind w:left="0" w:leftChars="0" w:right="0" w:rightChars="0" w:firstLine="0" w:firstLineChars="0"/>
              <w:jc w:val="center"/>
              <w:rPr>
                <w:rFonts w:hint="default" w:ascii="Times New Roman" w:hAnsi="Times New Roman" w:cs="Times New Roman" w:eastAsiaTheme="minorEastAsia"/>
                <w:b w:val="0"/>
                <w:bCs w:val="0"/>
                <w:kern w:val="2"/>
                <w:sz w:val="16"/>
                <w:szCs w:val="20"/>
                <w:lang w:val="en-US" w:eastAsia="zh-CN" w:bidi="ar-SA"/>
              </w:rPr>
            </w:pPr>
            <w:r>
              <w:rPr>
                <w:rFonts w:hint="default" w:ascii="Times New Roman" w:hAnsi="Times New Roman" w:cs="Times New Roman" w:eastAsiaTheme="minorEastAsia"/>
                <w:b w:val="0"/>
                <w:bCs w:val="0"/>
                <w:sz w:val="16"/>
                <w:szCs w:val="20"/>
                <w:lang w:val="en-US" w:eastAsia="zh-CN"/>
              </w:rPr>
              <w:t>0.213</w:t>
            </w:r>
          </w:p>
        </w:tc>
      </w:tr>
      <w:tr w14:paraId="0F68C0AD">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 w:type="pct"/>
            <w:vAlign w:val="center"/>
          </w:tcPr>
          <w:p w14:paraId="7C5EA2DF">
            <w:pPr>
              <w:snapToGrid w:val="0"/>
              <w:ind w:left="0" w:leftChars="0" w:right="0" w:rightChars="0" w:firstLine="160" w:firstLineChars="100"/>
              <w:jc w:val="left"/>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Never</w:t>
            </w:r>
          </w:p>
        </w:tc>
        <w:tc>
          <w:tcPr>
            <w:tcW w:w="417" w:type="pct"/>
            <w:vAlign w:val="center"/>
          </w:tcPr>
          <w:p w14:paraId="384997D4">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166</w:t>
            </w:r>
          </w:p>
        </w:tc>
        <w:tc>
          <w:tcPr>
            <w:tcW w:w="300" w:type="pct"/>
            <w:vAlign w:val="center"/>
          </w:tcPr>
          <w:p w14:paraId="73FFF035">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22</w:t>
            </w:r>
          </w:p>
        </w:tc>
        <w:tc>
          <w:tcPr>
            <w:tcW w:w="682" w:type="pct"/>
            <w:vAlign w:val="center"/>
          </w:tcPr>
          <w:p w14:paraId="1106E205">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1.055 (0.666–1.672)</w:t>
            </w:r>
          </w:p>
        </w:tc>
        <w:tc>
          <w:tcPr>
            <w:tcW w:w="486" w:type="pct"/>
            <w:vAlign w:val="center"/>
          </w:tcPr>
          <w:p w14:paraId="158E0DD0">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1.005</w:t>
            </w:r>
          </w:p>
        </w:tc>
        <w:tc>
          <w:tcPr>
            <w:tcW w:w="384" w:type="pct"/>
            <w:vAlign w:val="center"/>
          </w:tcPr>
          <w:p w14:paraId="35FC4D99">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0.818</w:t>
            </w:r>
          </w:p>
        </w:tc>
        <w:tc>
          <w:tcPr>
            <w:tcW w:w="450" w:type="pct"/>
            <w:vAlign w:val="center"/>
          </w:tcPr>
          <w:p w14:paraId="7C424C2A">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0.042</w:t>
            </w:r>
          </w:p>
        </w:tc>
        <w:tc>
          <w:tcPr>
            <w:tcW w:w="866" w:type="pct"/>
            <w:vAlign w:val="center"/>
          </w:tcPr>
          <w:p w14:paraId="36F2D66C">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864" w:type="pct"/>
            <w:vAlign w:val="center"/>
          </w:tcPr>
          <w:p w14:paraId="793B1294">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r>
      <w:tr w14:paraId="210A4345">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 w:type="pct"/>
            <w:vAlign w:val="center"/>
          </w:tcPr>
          <w:p w14:paraId="20C1AE24">
            <w:pPr>
              <w:snapToGrid w:val="0"/>
              <w:ind w:left="0" w:leftChars="0" w:right="0" w:rightChars="0" w:firstLine="160" w:firstLineChars="100"/>
              <w:jc w:val="left"/>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Some</w:t>
            </w:r>
          </w:p>
        </w:tc>
        <w:tc>
          <w:tcPr>
            <w:tcW w:w="417" w:type="pct"/>
            <w:vAlign w:val="center"/>
          </w:tcPr>
          <w:p w14:paraId="68F0C771">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59</w:t>
            </w:r>
          </w:p>
        </w:tc>
        <w:tc>
          <w:tcPr>
            <w:tcW w:w="300" w:type="pct"/>
            <w:vAlign w:val="center"/>
          </w:tcPr>
          <w:p w14:paraId="4F628E2E">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4</w:t>
            </w:r>
          </w:p>
        </w:tc>
        <w:tc>
          <w:tcPr>
            <w:tcW w:w="682" w:type="pct"/>
            <w:vAlign w:val="center"/>
          </w:tcPr>
          <w:p w14:paraId="10C287C1">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2.257 (0.772–6.600)</w:t>
            </w:r>
          </w:p>
        </w:tc>
        <w:tc>
          <w:tcPr>
            <w:tcW w:w="486" w:type="pct"/>
            <w:vAlign w:val="center"/>
          </w:tcPr>
          <w:p w14:paraId="74A5EF08">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5.828</w:t>
            </w:r>
          </w:p>
        </w:tc>
        <w:tc>
          <w:tcPr>
            <w:tcW w:w="384" w:type="pct"/>
            <w:vAlign w:val="center"/>
          </w:tcPr>
          <w:p w14:paraId="100BC1A8">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0.137</w:t>
            </w:r>
          </w:p>
        </w:tc>
        <w:tc>
          <w:tcPr>
            <w:tcW w:w="450" w:type="pct"/>
            <w:vAlign w:val="center"/>
          </w:tcPr>
          <w:p w14:paraId="0596368C">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0.318</w:t>
            </w:r>
          </w:p>
        </w:tc>
        <w:tc>
          <w:tcPr>
            <w:tcW w:w="866" w:type="pct"/>
            <w:vAlign w:val="center"/>
          </w:tcPr>
          <w:p w14:paraId="1116C66C">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864" w:type="pct"/>
            <w:vAlign w:val="center"/>
          </w:tcPr>
          <w:p w14:paraId="1DEA0961">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r>
      <w:tr w14:paraId="2A89F4D4">
        <w:tblPrEx>
          <w:tblBorders>
            <w:top w:val="none" w:color="auto" w:sz="0"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47" w:type="pct"/>
            <w:vAlign w:val="center"/>
          </w:tcPr>
          <w:p w14:paraId="46A27956">
            <w:pPr>
              <w:snapToGrid w:val="0"/>
              <w:ind w:left="0" w:leftChars="0" w:right="0" w:rightChars="0" w:firstLine="160" w:firstLineChars="100"/>
              <w:jc w:val="left"/>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Frequent</w:t>
            </w:r>
          </w:p>
        </w:tc>
        <w:tc>
          <w:tcPr>
            <w:tcW w:w="417" w:type="pct"/>
            <w:vAlign w:val="center"/>
          </w:tcPr>
          <w:p w14:paraId="6263D5E6">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1847</w:t>
            </w:r>
          </w:p>
        </w:tc>
        <w:tc>
          <w:tcPr>
            <w:tcW w:w="300" w:type="pct"/>
            <w:vAlign w:val="center"/>
          </w:tcPr>
          <w:p w14:paraId="113AE690">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221</w:t>
            </w:r>
          </w:p>
        </w:tc>
        <w:tc>
          <w:tcPr>
            <w:tcW w:w="682" w:type="pct"/>
            <w:vAlign w:val="center"/>
          </w:tcPr>
          <w:p w14:paraId="16B7C6DA">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1.308 (1.150–1.487)</w:t>
            </w:r>
          </w:p>
        </w:tc>
        <w:tc>
          <w:tcPr>
            <w:tcW w:w="486" w:type="pct"/>
            <w:vAlign w:val="center"/>
          </w:tcPr>
          <w:p w14:paraId="6A87FA2B">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0.337</w:t>
            </w:r>
          </w:p>
        </w:tc>
        <w:tc>
          <w:tcPr>
            <w:tcW w:w="384" w:type="pct"/>
            <w:vAlign w:val="center"/>
          </w:tcPr>
          <w:p w14:paraId="4C0BC4EA">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&lt;0.001</w:t>
            </w:r>
          </w:p>
        </w:tc>
        <w:tc>
          <w:tcPr>
            <w:tcW w:w="450" w:type="pct"/>
            <w:vAlign w:val="center"/>
          </w:tcPr>
          <w:p w14:paraId="7451CC2D">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r>
              <w:rPr>
                <w:rFonts w:hint="default" w:ascii="Times New Roman" w:hAnsi="Times New Roman" w:cs="Times New Roman" w:eastAsiaTheme="minorEastAsia"/>
                <w:b w:val="0"/>
                <w:bCs w:val="0"/>
                <w:sz w:val="16"/>
                <w:szCs w:val="20"/>
                <w:lang w:val="en-US" w:eastAsia="zh-CN"/>
              </w:rPr>
              <w:t>0.984</w:t>
            </w:r>
          </w:p>
        </w:tc>
        <w:tc>
          <w:tcPr>
            <w:tcW w:w="866" w:type="pct"/>
            <w:vAlign w:val="center"/>
          </w:tcPr>
          <w:p w14:paraId="654DC79E">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c>
          <w:tcPr>
            <w:tcW w:w="864" w:type="pct"/>
            <w:vAlign w:val="center"/>
          </w:tcPr>
          <w:p w14:paraId="46D37A0D">
            <w:pPr>
              <w:snapToGrid w:val="0"/>
              <w:ind w:left="0" w:leftChars="0" w:right="0" w:rightChars="0" w:firstLine="0" w:firstLineChars="0"/>
              <w:jc w:val="center"/>
              <w:rPr>
                <w:rFonts w:hint="default" w:ascii="Times New Roman" w:hAnsi="Times New Roman" w:cs="Times New Roman" w:eastAsiaTheme="minorEastAsia"/>
                <w:b w:val="0"/>
                <w:bCs w:val="0"/>
                <w:sz w:val="16"/>
                <w:szCs w:val="20"/>
                <w:lang w:val="en-US" w:eastAsia="zh-CN"/>
              </w:rPr>
            </w:pPr>
          </w:p>
        </w:tc>
      </w:tr>
    </w:tbl>
    <w:p w14:paraId="6E90A87C">
      <w:pPr>
        <w:rPr>
          <w:rFonts w:hint="default" w:ascii="Times New Roman" w:hAnsi="Times New Roman" w:cs="Times New Roman" w:eastAsiaTheme="minorEastAsia"/>
          <w:b w:val="0"/>
          <w:bCs w:val="0"/>
          <w:lang w:val="en-US" w:eastAsia="zh-CN"/>
        </w:rPr>
      </w:pPr>
      <w:r>
        <w:rPr>
          <w:rFonts w:hint="default" w:ascii="Times New Roman" w:hAnsi="Times New Roman" w:cs="Times New Roman" w:eastAsiaTheme="minorEastAsia"/>
          <w:b/>
          <w:bCs/>
          <w:lang w:val="en-US" w:eastAsia="zh-CN"/>
        </w:rPr>
        <w:t>Note:</w:t>
      </w:r>
      <w:r>
        <w:rPr>
          <w:rFonts w:hint="default" w:ascii="Times New Roman" w:hAnsi="Times New Roman" w:cs="Times New Roman" w:eastAsiaTheme="minorEastAsia"/>
          <w:b w:val="0"/>
          <w:bCs w:val="0"/>
          <w:lang w:val="en-US" w:eastAsia="zh-CN"/>
        </w:rPr>
        <w:t xml:space="preserve"> HR, hazard ratio; CI, confidence interval; LR, likelihood ratio test; Bootstrap, bootstrap resampling (1,000 iterations). Subgroup analyses were based on Cox proportional hazards models adjusted for gender, age, smok</w:t>
      </w:r>
      <w:r>
        <w:rPr>
          <w:rFonts w:hint="eastAsia" w:ascii="Times New Roman" w:hAnsi="Times New Roman" w:cs="Times New Roman"/>
          <w:b w:val="0"/>
          <w:bCs w:val="0"/>
          <w:lang w:val="en-US" w:eastAsia="zh-CN"/>
        </w:rPr>
        <w:t>e</w:t>
      </w:r>
      <w:r>
        <w:rPr>
          <w:rFonts w:hint="default" w:ascii="Times New Roman" w:hAnsi="Times New Roman" w:cs="Times New Roman" w:eastAsiaTheme="minorEastAsia"/>
          <w:b w:val="0"/>
          <w:bCs w:val="0"/>
          <w:lang w:val="en-US" w:eastAsia="zh-CN"/>
        </w:rPr>
        <w:t xml:space="preserve">, drink, and exercise (unless the variable itself was the stratification variable). Power denotes post-hoc statistical power for each subgroup. </w:t>
      </w:r>
      <w:r>
        <w:rPr>
          <w:rFonts w:hint="default" w:ascii="Times New Roman" w:hAnsi="Times New Roman" w:cs="Times New Roman" w:eastAsiaTheme="minorEastAsia"/>
          <w:b w:val="0"/>
          <w:bCs w:val="0"/>
          <w:i/>
          <w:iCs/>
          <w:lang w:val="en-US" w:eastAsia="zh-CN"/>
        </w:rPr>
        <w:t>P</w:t>
      </w:r>
      <w:r>
        <w:rPr>
          <w:rFonts w:hint="default" w:ascii="Times New Roman" w:hAnsi="Times New Roman" w:cs="Times New Roman" w:eastAsiaTheme="minorEastAsia"/>
          <w:b w:val="0"/>
          <w:bCs w:val="0"/>
          <w:lang w:val="en-US" w:eastAsia="zh-CN"/>
        </w:rPr>
        <w:t xml:space="preserve"> for interaction was calculated using the likelihood ratio test (LR) and bootstrap resampling (Bootstrap).</w:t>
      </w:r>
    </w:p>
    <w:p w14:paraId="3B8EC58D">
      <w:pPr>
        <w:rPr>
          <w:rFonts w:hint="default" w:ascii="Times New Roman" w:hAnsi="Times New Roman" w:cs="Times New Roman" w:eastAsiaTheme="minorEastAsia"/>
          <w:b w:val="0"/>
          <w:bCs w:val="0"/>
          <w:lang w:val="en-US" w:eastAsia="zh-CN"/>
        </w:rPr>
      </w:pPr>
    </w:p>
    <w:p w14:paraId="294835D5">
      <w:pPr>
        <w:jc w:val="both"/>
        <w:rPr>
          <w:rFonts w:hint="eastAsia" w:ascii="Times New Roman" w:hAnsi="Times New Roman" w:cs="Times New Roman" w:eastAsiaTheme="minorEastAsia"/>
          <w:b/>
          <w:bCs/>
          <w:lang w:val="en-US" w:eastAsia="zh-CN"/>
        </w:rPr>
      </w:pPr>
      <w:r>
        <w:rPr>
          <w:rFonts w:hint="default" w:ascii="Times New Roman" w:hAnsi="Times New Roman" w:cs="Times New Roman"/>
          <w:b/>
          <w:bCs/>
          <w:color w:val="auto"/>
        </w:rPr>
        <w:t>Supplementary Table S</w:t>
      </w:r>
      <w:r>
        <w:rPr>
          <w:rFonts w:hint="eastAsia" w:ascii="Times New Roman" w:hAnsi="Times New Roman" w:cs="Times New Roman"/>
          <w:b/>
          <w:bCs/>
          <w:color w:val="auto"/>
          <w:lang w:val="en-US" w:eastAsia="zh-CN"/>
        </w:rPr>
        <w:t>15</w:t>
      </w:r>
      <w:r>
        <w:rPr>
          <w:rFonts w:hint="default" w:ascii="Times New Roman" w:hAnsi="Times New Roman" w:cs="Times New Roman"/>
          <w:b/>
          <w:bCs/>
        </w:rPr>
        <w:t xml:space="preserve">. Sensitivity analyses of the relationship between </w:t>
      </w:r>
      <w:r>
        <w:rPr>
          <w:rFonts w:hint="eastAsia" w:ascii="Times New Roman" w:hAnsi="Times New Roman" w:cs="Times New Roman"/>
          <w:b/>
          <w:bCs/>
          <w:lang w:val="en-US" w:eastAsia="zh-CN"/>
        </w:rPr>
        <w:t>TyG-</w:t>
      </w:r>
      <w:r>
        <w:rPr>
          <w:rFonts w:hint="default" w:ascii="Times New Roman" w:hAnsi="Times New Roman" w:cs="Times New Roman"/>
          <w:b/>
          <w:bCs/>
        </w:rPr>
        <w:t xml:space="preserve">CVAI </w:t>
      </w:r>
      <w:r>
        <w:rPr>
          <w:rFonts w:hint="eastAsia" w:ascii="Times New Roman" w:hAnsi="Times New Roman" w:cs="Times New Roman"/>
          <w:b/>
          <w:bCs/>
          <w:lang w:val="en-US" w:eastAsia="zh-CN"/>
        </w:rPr>
        <w:t>i</w:t>
      </w:r>
      <w:r>
        <w:rPr>
          <w:rFonts w:hint="default" w:ascii="Times New Roman" w:hAnsi="Times New Roman" w:cs="Times New Roman"/>
          <w:b/>
          <w:bCs/>
        </w:rPr>
        <w:t>ndex with advanced CKM syndrome</w:t>
      </w:r>
      <w:r>
        <w:rPr>
          <w:rFonts w:hint="eastAsia" w:ascii="Times New Roman" w:hAnsi="Times New Roman" w:cs="Times New Roman"/>
          <w:b/>
          <w:bCs/>
          <w:lang w:val="en-US" w:eastAsia="zh-CN"/>
        </w:rPr>
        <w:t>.</w:t>
      </w:r>
    </w:p>
    <w:tbl>
      <w:tblPr>
        <w:tblStyle w:val="2"/>
        <w:tblW w:w="62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795"/>
        <w:gridCol w:w="588"/>
        <w:gridCol w:w="1702"/>
        <w:gridCol w:w="730"/>
        <w:gridCol w:w="1506"/>
        <w:gridCol w:w="222"/>
        <w:gridCol w:w="1794"/>
        <w:gridCol w:w="742"/>
        <w:gridCol w:w="1654"/>
      </w:tblGrid>
      <w:tr w14:paraId="7C2B8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tblHeader/>
          <w:jc w:val="center"/>
        </w:trPr>
        <w:tc>
          <w:tcPr>
            <w:tcW w:w="836" w:type="pct"/>
            <w:vMerge w:val="restart"/>
            <w:tcBorders>
              <w:top w:val="single" w:color="auto" w:sz="4" w:space="0"/>
              <w:left w:val="nil"/>
              <w:right w:val="nil"/>
            </w:tcBorders>
            <w:shd w:val="clear" w:color="auto" w:fill="auto"/>
            <w:noWrap/>
            <w:vAlign w:val="center"/>
          </w:tcPr>
          <w:p w14:paraId="435C9F90">
            <w:pPr>
              <w:snapToGrid w:val="0"/>
              <w:ind w:left="0" w:leftChars="0" w:right="0" w:rightChars="0" w:firstLine="0" w:firstLineChars="0"/>
              <w:jc w:val="center"/>
              <w:rPr>
                <w:rFonts w:hint="default" w:ascii="Times New Roman" w:hAnsi="Times New Roman" w:eastAsia="宋体" w:cs="Times New Roman"/>
                <w:b/>
                <w:i w:val="0"/>
                <w:iCs w:val="0"/>
                <w:color w:val="000000"/>
                <w:sz w:val="18"/>
                <w:szCs w:val="18"/>
                <w:u w:val="none"/>
              </w:rPr>
            </w:pPr>
            <w:r>
              <w:rPr>
                <w:rFonts w:hint="default" w:ascii="Times New Roman" w:hAnsi="Times New Roman" w:eastAsia="宋体" w:cs="Times New Roman"/>
                <w:b/>
                <w:i w:val="0"/>
                <w:iCs w:val="0"/>
                <w:color w:val="000000"/>
                <w:sz w:val="18"/>
                <w:szCs w:val="18"/>
                <w:u w:val="none"/>
                <w:lang w:val="en-US" w:eastAsia="zh-CN"/>
              </w:rPr>
              <w:t>S</w:t>
            </w:r>
            <w:r>
              <w:rPr>
                <w:rFonts w:hint="default" w:ascii="Times New Roman" w:hAnsi="Times New Roman" w:eastAsia="宋体" w:cs="Times New Roman"/>
                <w:b/>
                <w:i w:val="0"/>
                <w:iCs w:val="0"/>
                <w:color w:val="000000"/>
                <w:sz w:val="18"/>
                <w:szCs w:val="18"/>
                <w:u w:val="none"/>
              </w:rPr>
              <w:t>cenarios</w:t>
            </w:r>
          </w:p>
        </w:tc>
        <w:tc>
          <w:tcPr>
            <w:tcW w:w="273" w:type="pct"/>
            <w:vMerge w:val="restart"/>
            <w:tcBorders>
              <w:top w:val="single" w:color="auto" w:sz="4" w:space="0"/>
              <w:left w:val="nil"/>
              <w:right w:val="nil"/>
            </w:tcBorders>
            <w:shd w:val="clear" w:color="auto" w:fill="auto"/>
            <w:noWrap/>
            <w:vAlign w:val="center"/>
          </w:tcPr>
          <w:p w14:paraId="02DEE4AE">
            <w:pPr>
              <w:tabs>
                <w:tab w:val="left" w:pos="515"/>
              </w:tabs>
              <w:snapToGrid w:val="0"/>
              <w:ind w:left="0" w:leftChars="0" w:right="0" w:rightChars="0" w:firstLine="0" w:firstLineChars="0"/>
              <w:jc w:val="center"/>
              <w:rPr>
                <w:rFonts w:hint="default" w:ascii="Times New Roman" w:hAnsi="Times New Roman" w:eastAsia="宋体" w:cs="Times New Roman"/>
                <w:b/>
                <w:i w:val="0"/>
                <w:iCs w:val="0"/>
                <w:color w:val="000000"/>
                <w:sz w:val="18"/>
                <w:szCs w:val="18"/>
                <w:u w:val="none"/>
                <w:lang w:val="en-US" w:eastAsia="zh-CN"/>
              </w:rPr>
            </w:pPr>
            <w:r>
              <w:rPr>
                <w:rFonts w:hint="default" w:ascii="Times New Roman" w:hAnsi="Times New Roman" w:eastAsia="宋体" w:cs="Times New Roman"/>
                <w:b/>
                <w:i w:val="0"/>
                <w:iCs w:val="0"/>
                <w:color w:val="000000"/>
                <w:sz w:val="18"/>
                <w:szCs w:val="18"/>
                <w:u w:val="none"/>
                <w:lang w:val="en-US" w:eastAsia="zh-CN"/>
              </w:rPr>
              <w:t>Case</w:t>
            </w:r>
          </w:p>
        </w:tc>
        <w:tc>
          <w:tcPr>
            <w:tcW w:w="1834" w:type="pct"/>
            <w:gridSpan w:val="3"/>
            <w:tcBorders>
              <w:top w:val="single" w:color="auto" w:sz="4" w:space="0"/>
              <w:left w:val="nil"/>
              <w:bottom w:val="single" w:color="auto" w:sz="4" w:space="0"/>
              <w:right w:val="nil"/>
            </w:tcBorders>
            <w:shd w:val="clear" w:color="auto" w:fill="auto"/>
            <w:noWrap/>
            <w:vAlign w:val="center"/>
          </w:tcPr>
          <w:p w14:paraId="405F0700">
            <w:pPr>
              <w:snapToGrid w:val="0"/>
              <w:ind w:left="0" w:leftChars="0" w:right="0" w:rightChars="0" w:firstLine="0" w:firstLineChars="0"/>
              <w:jc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sz w:val="18"/>
                <w:szCs w:val="18"/>
                <w:u w:val="none"/>
              </w:rPr>
              <w:t>Contin</w:t>
            </w:r>
            <w:r>
              <w:rPr>
                <w:rFonts w:hint="default" w:ascii="Times New Roman" w:hAnsi="Times New Roman" w:eastAsia="宋体" w:cs="Times New Roman"/>
                <w:b/>
                <w:bCs/>
                <w:i w:val="0"/>
                <w:iCs w:val="0"/>
                <w:color w:val="000000"/>
                <w:sz w:val="18"/>
                <w:szCs w:val="18"/>
                <w:u w:val="none"/>
                <w:lang w:val="en-US" w:eastAsia="zh-CN"/>
              </w:rPr>
              <w:t>u</w:t>
            </w:r>
            <w:r>
              <w:rPr>
                <w:rFonts w:hint="default" w:ascii="Times New Roman" w:hAnsi="Times New Roman" w:eastAsia="宋体" w:cs="Times New Roman"/>
                <w:b/>
                <w:bCs/>
                <w:i w:val="0"/>
                <w:iCs w:val="0"/>
                <w:color w:val="000000"/>
                <w:sz w:val="18"/>
                <w:szCs w:val="18"/>
                <w:u w:val="none"/>
              </w:rPr>
              <w:t>ous TyG-CVAI</w:t>
            </w:r>
            <w:r>
              <w:rPr>
                <w:rFonts w:hint="eastAsia" w:ascii="Times New Roman" w:hAnsi="Times New Roman" w:eastAsia="宋体" w:cs="Times New Roman"/>
                <w:b/>
                <w:bCs/>
                <w:i w:val="0"/>
                <w:iCs w:val="0"/>
                <w:color w:val="000000"/>
                <w:sz w:val="18"/>
                <w:szCs w:val="18"/>
                <w:u w:val="none"/>
                <w:lang w:val="en-US" w:eastAsia="zh-CN"/>
              </w:rPr>
              <w:t xml:space="preserve"> </w:t>
            </w:r>
            <w:r>
              <w:rPr>
                <w:rFonts w:hint="default" w:ascii="Times New Roman" w:hAnsi="Times New Roman" w:eastAsia="宋体" w:cs="Times New Roman"/>
                <w:b/>
                <w:bCs/>
                <w:i w:val="0"/>
                <w:iCs w:val="0"/>
                <w:color w:val="000000"/>
                <w:sz w:val="18"/>
                <w:szCs w:val="18"/>
                <w:u w:val="none"/>
              </w:rPr>
              <w:t>index</w:t>
            </w:r>
          </w:p>
        </w:tc>
        <w:tc>
          <w:tcPr>
            <w:tcW w:w="103" w:type="pct"/>
            <w:tcBorders>
              <w:top w:val="single" w:color="auto" w:sz="4" w:space="0"/>
              <w:left w:val="nil"/>
              <w:bottom w:val="nil"/>
              <w:right w:val="nil"/>
            </w:tcBorders>
            <w:shd w:val="clear" w:color="auto" w:fill="auto"/>
            <w:noWrap/>
            <w:vAlign w:val="center"/>
          </w:tcPr>
          <w:p w14:paraId="52E41F0B">
            <w:pPr>
              <w:snapToGrid w:val="0"/>
              <w:ind w:left="0" w:leftChars="0" w:right="0" w:rightChars="0" w:firstLine="0" w:firstLineChars="0"/>
              <w:jc w:val="center"/>
              <w:rPr>
                <w:rFonts w:hint="default" w:ascii="Times New Roman" w:hAnsi="Times New Roman" w:eastAsia="宋体" w:cs="Times New Roman"/>
                <w:b/>
                <w:bCs/>
                <w:i w:val="0"/>
                <w:iCs w:val="0"/>
                <w:color w:val="000000"/>
                <w:sz w:val="18"/>
                <w:szCs w:val="18"/>
                <w:u w:val="none"/>
              </w:rPr>
            </w:pPr>
          </w:p>
        </w:tc>
        <w:tc>
          <w:tcPr>
            <w:tcW w:w="1181" w:type="pct"/>
            <w:gridSpan w:val="2"/>
            <w:tcBorders>
              <w:top w:val="single" w:color="auto" w:sz="4" w:space="0"/>
              <w:left w:val="nil"/>
              <w:bottom w:val="single" w:color="auto" w:sz="4" w:space="0"/>
              <w:right w:val="nil"/>
            </w:tcBorders>
            <w:shd w:val="clear" w:color="auto" w:fill="auto"/>
            <w:noWrap/>
            <w:vAlign w:val="center"/>
          </w:tcPr>
          <w:p w14:paraId="274D1D30">
            <w:pPr>
              <w:snapToGrid w:val="0"/>
              <w:ind w:left="0" w:leftChars="0" w:right="0" w:rightChars="0" w:firstLine="0" w:firstLineChars="0"/>
              <w:jc w:val="center"/>
              <w:rPr>
                <w:rFonts w:hint="default" w:ascii="Times New Roman" w:hAnsi="Times New Roman" w:eastAsia="宋体" w:cs="Times New Roman"/>
                <w:b/>
                <w:bCs/>
                <w:i w:val="0"/>
                <w:iCs w:val="0"/>
                <w:color w:val="000000"/>
                <w:sz w:val="18"/>
                <w:szCs w:val="18"/>
                <w:u w:val="none"/>
                <w:lang w:val="en-US"/>
              </w:rPr>
            </w:pPr>
            <w:r>
              <w:rPr>
                <w:rFonts w:hint="default" w:ascii="Times New Roman" w:hAnsi="Times New Roman" w:eastAsia="宋体" w:cs="Times New Roman"/>
                <w:b/>
                <w:bCs/>
                <w:i w:val="0"/>
                <w:iCs w:val="0"/>
                <w:color w:val="000000"/>
                <w:sz w:val="18"/>
                <w:szCs w:val="18"/>
                <w:u w:val="none"/>
              </w:rPr>
              <w:t>Categorical TyG-CVAI</w:t>
            </w:r>
            <w:r>
              <w:rPr>
                <w:rFonts w:hint="eastAsia" w:ascii="Times New Roman" w:hAnsi="Times New Roman" w:eastAsia="宋体" w:cs="Times New Roman"/>
                <w:b/>
                <w:bCs/>
                <w:i w:val="0"/>
                <w:iCs w:val="0"/>
                <w:color w:val="000000"/>
                <w:sz w:val="18"/>
                <w:szCs w:val="18"/>
                <w:u w:val="none"/>
                <w:lang w:val="en-US" w:eastAsia="zh-CN"/>
              </w:rPr>
              <w:t xml:space="preserve"> </w:t>
            </w:r>
            <w:r>
              <w:rPr>
                <w:rFonts w:hint="default" w:ascii="Times New Roman" w:hAnsi="Times New Roman" w:eastAsia="宋体" w:cs="Times New Roman"/>
                <w:b/>
                <w:bCs/>
                <w:i w:val="0"/>
                <w:iCs w:val="0"/>
                <w:color w:val="000000"/>
                <w:sz w:val="18"/>
                <w:szCs w:val="18"/>
                <w:u w:val="none"/>
              </w:rPr>
              <w:t>index</w:t>
            </w:r>
          </w:p>
        </w:tc>
        <w:tc>
          <w:tcPr>
            <w:tcW w:w="770" w:type="pct"/>
            <w:tcBorders>
              <w:top w:val="single" w:color="auto" w:sz="4" w:space="0"/>
              <w:left w:val="nil"/>
              <w:bottom w:val="single" w:color="auto" w:sz="4" w:space="0"/>
              <w:right w:val="nil"/>
            </w:tcBorders>
            <w:shd w:val="clear" w:color="auto" w:fill="auto"/>
            <w:noWrap/>
            <w:vAlign w:val="center"/>
          </w:tcPr>
          <w:p w14:paraId="274D1628">
            <w:pPr>
              <w:snapToGrid w:val="0"/>
              <w:ind w:left="0" w:leftChars="0" w:right="0" w:rightChars="0" w:firstLine="0" w:firstLineChars="0"/>
              <w:jc w:val="center"/>
              <w:rPr>
                <w:rFonts w:hint="default" w:ascii="Times New Roman" w:hAnsi="Times New Roman" w:eastAsia="宋体" w:cs="Times New Roman"/>
                <w:b/>
                <w:bCs/>
                <w:i w:val="0"/>
                <w:iCs w:val="0"/>
                <w:color w:val="000000"/>
                <w:sz w:val="18"/>
                <w:szCs w:val="18"/>
                <w:u w:val="none"/>
              </w:rPr>
            </w:pPr>
          </w:p>
        </w:tc>
      </w:tr>
      <w:tr w14:paraId="073CA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tblHeader/>
          <w:jc w:val="center"/>
        </w:trPr>
        <w:tc>
          <w:tcPr>
            <w:tcW w:w="836" w:type="pct"/>
            <w:vMerge w:val="continue"/>
            <w:tcBorders>
              <w:left w:val="nil"/>
              <w:bottom w:val="single" w:color="auto" w:sz="4" w:space="0"/>
              <w:right w:val="nil"/>
            </w:tcBorders>
            <w:shd w:val="clear" w:color="auto" w:fill="auto"/>
            <w:noWrap/>
            <w:vAlign w:val="center"/>
          </w:tcPr>
          <w:p w14:paraId="0D1C602D">
            <w:pPr>
              <w:snapToGrid w:val="0"/>
              <w:ind w:left="0" w:leftChars="0" w:right="0" w:rightChars="0" w:firstLine="0" w:firstLineChars="0"/>
              <w:jc w:val="center"/>
              <w:rPr>
                <w:rFonts w:hint="default" w:ascii="Times New Roman" w:hAnsi="Times New Roman" w:eastAsia="宋体" w:cs="Times New Roman"/>
                <w:b/>
                <w:i w:val="0"/>
                <w:iCs w:val="0"/>
                <w:color w:val="000000"/>
                <w:sz w:val="18"/>
                <w:szCs w:val="18"/>
                <w:u w:val="none"/>
              </w:rPr>
            </w:pPr>
          </w:p>
        </w:tc>
        <w:tc>
          <w:tcPr>
            <w:tcW w:w="273" w:type="pct"/>
            <w:vMerge w:val="continue"/>
            <w:tcBorders>
              <w:left w:val="nil"/>
              <w:bottom w:val="single" w:color="auto" w:sz="4" w:space="0"/>
              <w:right w:val="nil"/>
            </w:tcBorders>
            <w:shd w:val="clear" w:color="auto" w:fill="auto"/>
            <w:noWrap/>
            <w:vAlign w:val="center"/>
          </w:tcPr>
          <w:p w14:paraId="4CEDFC1B">
            <w:pPr>
              <w:snapToGrid w:val="0"/>
              <w:ind w:left="0" w:leftChars="0" w:right="0" w:rightChars="0" w:firstLine="0" w:firstLineChars="0"/>
              <w:jc w:val="center"/>
              <w:rPr>
                <w:rFonts w:hint="default" w:ascii="Times New Roman" w:hAnsi="Times New Roman" w:eastAsia="宋体" w:cs="Times New Roman"/>
                <w:b/>
                <w:i w:val="0"/>
                <w:iCs w:val="0"/>
                <w:color w:val="000000"/>
                <w:sz w:val="18"/>
                <w:szCs w:val="18"/>
                <w:u w:val="none"/>
              </w:rPr>
            </w:pPr>
          </w:p>
        </w:tc>
        <w:tc>
          <w:tcPr>
            <w:tcW w:w="792" w:type="pct"/>
            <w:tcBorders>
              <w:top w:val="single" w:color="auto" w:sz="4" w:space="0"/>
              <w:left w:val="nil"/>
              <w:bottom w:val="single" w:color="auto" w:sz="4" w:space="0"/>
              <w:right w:val="nil"/>
            </w:tcBorders>
            <w:shd w:val="clear" w:color="auto" w:fill="auto"/>
            <w:noWrap/>
            <w:vAlign w:val="center"/>
          </w:tcPr>
          <w:p w14:paraId="48B46BE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i w:val="0"/>
                <w:iCs w:val="0"/>
                <w:color w:val="000000"/>
                <w:sz w:val="18"/>
                <w:szCs w:val="18"/>
                <w:u w:val="none"/>
              </w:rPr>
            </w:pPr>
            <w:r>
              <w:rPr>
                <w:rFonts w:hint="default" w:ascii="Times New Roman" w:hAnsi="Times New Roman" w:eastAsia="宋体" w:cs="Times New Roman"/>
                <w:b/>
                <w:i w:val="0"/>
                <w:iCs w:val="0"/>
                <w:color w:val="000000"/>
                <w:kern w:val="0"/>
                <w:sz w:val="18"/>
                <w:szCs w:val="18"/>
                <w:u w:val="none"/>
                <w:lang w:val="en-US" w:eastAsia="zh-CN" w:bidi="ar"/>
              </w:rPr>
              <w:t>HR(95%CI)</w:t>
            </w:r>
          </w:p>
        </w:tc>
        <w:tc>
          <w:tcPr>
            <w:tcW w:w="340" w:type="pct"/>
            <w:tcBorders>
              <w:top w:val="single" w:color="auto" w:sz="4" w:space="0"/>
              <w:left w:val="nil"/>
              <w:bottom w:val="single" w:color="auto" w:sz="4" w:space="0"/>
              <w:right w:val="nil"/>
            </w:tcBorders>
            <w:shd w:val="clear" w:color="auto" w:fill="auto"/>
            <w:noWrap/>
            <w:vAlign w:val="center"/>
          </w:tcPr>
          <w:p w14:paraId="62C5551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i w:val="0"/>
                <w:iCs w:val="0"/>
                <w:color w:val="000000"/>
                <w:sz w:val="18"/>
                <w:szCs w:val="18"/>
                <w:u w:val="none"/>
              </w:rPr>
            </w:pPr>
            <w:r>
              <w:rPr>
                <w:rFonts w:hint="default" w:ascii="Times New Roman" w:hAnsi="Times New Roman" w:eastAsia="宋体" w:cs="Times New Roman"/>
                <w:b/>
                <w:i w:val="0"/>
                <w:iCs w:val="0"/>
                <w:color w:val="000000"/>
                <w:kern w:val="0"/>
                <w:sz w:val="18"/>
                <w:szCs w:val="18"/>
                <w:u w:val="none"/>
                <w:lang w:val="en-US" w:eastAsia="zh-CN" w:bidi="ar"/>
              </w:rPr>
              <w:t>Raw</w:t>
            </w:r>
            <w:r>
              <w:rPr>
                <w:rFonts w:hint="default" w:ascii="Times New Roman" w:hAnsi="Times New Roman" w:eastAsia="宋体" w:cs="Times New Roman"/>
                <w:b/>
                <w:i/>
                <w:iCs/>
                <w:color w:val="000000"/>
                <w:kern w:val="0"/>
                <w:sz w:val="18"/>
                <w:szCs w:val="18"/>
                <w:u w:val="none"/>
                <w:lang w:val="en-US" w:eastAsia="zh-CN" w:bidi="ar"/>
              </w:rPr>
              <w:t xml:space="preserve"> P</w:t>
            </w:r>
          </w:p>
        </w:tc>
        <w:tc>
          <w:tcPr>
            <w:tcW w:w="701" w:type="pct"/>
            <w:tcBorders>
              <w:top w:val="nil"/>
              <w:left w:val="nil"/>
              <w:bottom w:val="single" w:color="auto" w:sz="4" w:space="0"/>
              <w:right w:val="nil"/>
            </w:tcBorders>
            <w:shd w:val="clear" w:color="auto" w:fill="auto"/>
            <w:noWrap/>
            <w:vAlign w:val="center"/>
          </w:tcPr>
          <w:p w14:paraId="0F5826D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i/>
                <w:iCs/>
                <w:color w:val="000000"/>
                <w:kern w:val="0"/>
                <w:sz w:val="18"/>
                <w:szCs w:val="18"/>
                <w:u w:val="none"/>
                <w:lang w:val="en-US" w:eastAsia="zh-CN" w:bidi="ar"/>
              </w:rPr>
            </w:pPr>
            <w:r>
              <w:rPr>
                <w:rFonts w:hint="default" w:ascii="Times New Roman" w:hAnsi="Times New Roman" w:eastAsia="宋体" w:cs="Times New Roman"/>
                <w:b/>
                <w:i w:val="0"/>
                <w:iCs w:val="0"/>
                <w:color w:val="000000"/>
                <w:kern w:val="0"/>
                <w:sz w:val="18"/>
                <w:szCs w:val="18"/>
                <w:u w:val="none"/>
                <w:lang w:val="en-US" w:eastAsia="zh-CN" w:bidi="ar"/>
              </w:rPr>
              <w:t xml:space="preserve">FDR-adjusted </w:t>
            </w:r>
            <w:r>
              <w:rPr>
                <w:rFonts w:hint="default" w:ascii="Times New Roman" w:hAnsi="Times New Roman" w:eastAsia="宋体" w:cs="Times New Roman"/>
                <w:b/>
                <w:i/>
                <w:iCs/>
                <w:color w:val="000000"/>
                <w:kern w:val="0"/>
                <w:sz w:val="18"/>
                <w:szCs w:val="18"/>
                <w:u w:val="none"/>
                <w:lang w:val="en-US" w:eastAsia="zh-CN" w:bidi="ar"/>
              </w:rPr>
              <w:t>P</w:t>
            </w:r>
          </w:p>
        </w:tc>
        <w:tc>
          <w:tcPr>
            <w:tcW w:w="103" w:type="pct"/>
            <w:tcBorders>
              <w:top w:val="nil"/>
              <w:left w:val="nil"/>
              <w:bottom w:val="single" w:color="auto" w:sz="4" w:space="0"/>
              <w:right w:val="nil"/>
            </w:tcBorders>
            <w:shd w:val="clear" w:color="auto" w:fill="auto"/>
            <w:noWrap/>
            <w:vAlign w:val="center"/>
          </w:tcPr>
          <w:p w14:paraId="6B999275">
            <w:pPr>
              <w:snapToGrid w:val="0"/>
              <w:ind w:left="0" w:leftChars="0" w:right="0" w:rightChars="0" w:firstLine="0" w:firstLineChars="0"/>
              <w:jc w:val="center"/>
              <w:rPr>
                <w:rFonts w:hint="default" w:ascii="Times New Roman" w:hAnsi="Times New Roman" w:eastAsia="宋体" w:cs="Times New Roman"/>
                <w:b/>
                <w:i w:val="0"/>
                <w:iCs w:val="0"/>
                <w:color w:val="000000"/>
                <w:sz w:val="18"/>
                <w:szCs w:val="18"/>
                <w:u w:val="none"/>
              </w:rPr>
            </w:pPr>
          </w:p>
        </w:tc>
        <w:tc>
          <w:tcPr>
            <w:tcW w:w="835" w:type="pct"/>
            <w:tcBorders>
              <w:top w:val="single" w:color="auto" w:sz="4" w:space="0"/>
              <w:left w:val="nil"/>
              <w:bottom w:val="single" w:color="auto" w:sz="4" w:space="0"/>
              <w:right w:val="nil"/>
            </w:tcBorders>
            <w:shd w:val="clear" w:color="auto" w:fill="auto"/>
            <w:noWrap/>
            <w:vAlign w:val="center"/>
          </w:tcPr>
          <w:p w14:paraId="0CD198F1">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i w:val="0"/>
                <w:iCs w:val="0"/>
                <w:color w:val="000000"/>
                <w:sz w:val="18"/>
                <w:szCs w:val="18"/>
                <w:u w:val="none"/>
              </w:rPr>
            </w:pPr>
            <w:r>
              <w:rPr>
                <w:rFonts w:hint="default" w:ascii="Times New Roman" w:hAnsi="Times New Roman" w:eastAsia="宋体" w:cs="Times New Roman"/>
                <w:b/>
                <w:i w:val="0"/>
                <w:iCs w:val="0"/>
                <w:color w:val="000000"/>
                <w:kern w:val="0"/>
                <w:sz w:val="18"/>
                <w:szCs w:val="18"/>
                <w:u w:val="none"/>
                <w:lang w:val="en-US" w:eastAsia="zh-CN" w:bidi="ar"/>
              </w:rPr>
              <w:t>HR(95%CI)</w:t>
            </w:r>
          </w:p>
        </w:tc>
        <w:tc>
          <w:tcPr>
            <w:tcW w:w="345" w:type="pct"/>
            <w:tcBorders>
              <w:top w:val="single" w:color="auto" w:sz="4" w:space="0"/>
              <w:left w:val="nil"/>
              <w:bottom w:val="single" w:color="auto" w:sz="4" w:space="0"/>
              <w:right w:val="nil"/>
            </w:tcBorders>
            <w:shd w:val="clear" w:color="auto" w:fill="auto"/>
            <w:noWrap/>
            <w:vAlign w:val="center"/>
          </w:tcPr>
          <w:p w14:paraId="063B363C">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i w:val="0"/>
                <w:iCs w:val="0"/>
                <w:color w:val="000000"/>
                <w:sz w:val="18"/>
                <w:szCs w:val="18"/>
                <w:u w:val="none"/>
              </w:rPr>
            </w:pPr>
            <w:r>
              <w:rPr>
                <w:rFonts w:hint="default" w:ascii="Times New Roman" w:hAnsi="Times New Roman" w:eastAsia="宋体" w:cs="Times New Roman"/>
                <w:b/>
                <w:i w:val="0"/>
                <w:iCs w:val="0"/>
                <w:color w:val="000000"/>
                <w:kern w:val="0"/>
                <w:sz w:val="18"/>
                <w:szCs w:val="18"/>
                <w:u w:val="none"/>
                <w:lang w:val="en-US" w:eastAsia="zh-CN" w:bidi="ar"/>
              </w:rPr>
              <w:t>Raw</w:t>
            </w:r>
            <w:r>
              <w:rPr>
                <w:rFonts w:hint="default" w:ascii="Times New Roman" w:hAnsi="Times New Roman" w:eastAsia="宋体" w:cs="Times New Roman"/>
                <w:b/>
                <w:i/>
                <w:iCs/>
                <w:color w:val="000000"/>
                <w:kern w:val="0"/>
                <w:sz w:val="18"/>
                <w:szCs w:val="18"/>
                <w:u w:val="none"/>
                <w:lang w:val="en-US" w:eastAsia="zh-CN" w:bidi="ar"/>
              </w:rPr>
              <w:t xml:space="preserve"> P</w:t>
            </w:r>
          </w:p>
        </w:tc>
        <w:tc>
          <w:tcPr>
            <w:tcW w:w="770" w:type="pct"/>
            <w:tcBorders>
              <w:top w:val="single" w:color="auto" w:sz="4" w:space="0"/>
              <w:left w:val="nil"/>
              <w:bottom w:val="single" w:color="auto" w:sz="4" w:space="0"/>
              <w:right w:val="nil"/>
            </w:tcBorders>
            <w:shd w:val="clear" w:color="auto" w:fill="auto"/>
            <w:noWrap/>
            <w:vAlign w:val="center"/>
          </w:tcPr>
          <w:p w14:paraId="29DE9980">
            <w:pPr>
              <w:keepNext w:val="0"/>
              <w:keepLines w:val="0"/>
              <w:widowControl/>
              <w:suppressLineNumbers w:val="0"/>
              <w:snapToGrid w:val="0"/>
              <w:ind w:left="0" w:leftChars="0" w:right="0" w:rightChars="0" w:firstLine="0" w:firstLineChars="0"/>
              <w:jc w:val="center"/>
              <w:textAlignment w:val="center"/>
              <w:rPr>
                <w:rFonts w:hint="default" w:ascii="Times New Roman" w:hAnsi="Times New Roman" w:eastAsia="宋体" w:cs="Times New Roman"/>
                <w:b/>
                <w:i/>
                <w:iCs/>
                <w:color w:val="000000"/>
                <w:kern w:val="0"/>
                <w:sz w:val="18"/>
                <w:szCs w:val="18"/>
                <w:u w:val="none"/>
                <w:lang w:val="en-US" w:eastAsia="zh-CN" w:bidi="ar"/>
              </w:rPr>
            </w:pPr>
            <w:r>
              <w:rPr>
                <w:rFonts w:hint="default" w:ascii="Times New Roman" w:hAnsi="Times New Roman" w:eastAsia="宋体" w:cs="Times New Roman"/>
                <w:b/>
                <w:i w:val="0"/>
                <w:iCs w:val="0"/>
                <w:color w:val="000000"/>
                <w:kern w:val="0"/>
                <w:sz w:val="18"/>
                <w:szCs w:val="18"/>
                <w:u w:val="none"/>
                <w:lang w:val="en-US" w:eastAsia="zh-CN" w:bidi="ar"/>
              </w:rPr>
              <w:t xml:space="preserve">FDR-adjusted </w:t>
            </w:r>
            <w:r>
              <w:rPr>
                <w:rFonts w:hint="default" w:ascii="Times New Roman" w:hAnsi="Times New Roman" w:eastAsia="宋体" w:cs="Times New Roman"/>
                <w:b/>
                <w:i/>
                <w:iCs/>
                <w:color w:val="000000"/>
                <w:kern w:val="0"/>
                <w:sz w:val="18"/>
                <w:szCs w:val="18"/>
                <w:u w:val="none"/>
                <w:lang w:val="en-US" w:eastAsia="zh-CN" w:bidi="ar"/>
              </w:rPr>
              <w:t>P</w:t>
            </w:r>
          </w:p>
        </w:tc>
      </w:tr>
      <w:tr w14:paraId="41290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jc w:val="center"/>
        </w:trPr>
        <w:tc>
          <w:tcPr>
            <w:tcW w:w="836" w:type="pct"/>
            <w:tcBorders>
              <w:top w:val="nil"/>
              <w:left w:val="nil"/>
              <w:bottom w:val="nil"/>
              <w:right w:val="nil"/>
            </w:tcBorders>
            <w:shd w:val="clear" w:color="auto" w:fill="auto"/>
            <w:vAlign w:val="center"/>
          </w:tcPr>
          <w:p w14:paraId="226CED63">
            <w:pPr>
              <w:keepNext w:val="0"/>
              <w:keepLines w:val="0"/>
              <w:widowControl/>
              <w:suppressLineNumbers w:val="0"/>
              <w:snapToGrid w:val="0"/>
              <w:ind w:right="0" w:rightChars="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sz w:val="18"/>
                <w:szCs w:val="18"/>
                <w:u w:val="none"/>
              </w:rPr>
              <w:t>Basic model</w:t>
            </w:r>
          </w:p>
        </w:tc>
        <w:tc>
          <w:tcPr>
            <w:tcW w:w="273" w:type="pct"/>
            <w:tcBorders>
              <w:top w:val="nil"/>
              <w:left w:val="nil"/>
              <w:bottom w:val="nil"/>
              <w:right w:val="nil"/>
            </w:tcBorders>
            <w:shd w:val="clear" w:color="auto" w:fill="auto"/>
            <w:noWrap/>
            <w:vAlign w:val="bottom"/>
          </w:tcPr>
          <w:p w14:paraId="2A59837A">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sz w:val="18"/>
                <w:szCs w:val="18"/>
                <w:u w:val="none"/>
                <w:lang w:val="en-US" w:eastAsia="zh-CN"/>
              </w:rPr>
              <w:t>2072</w:t>
            </w:r>
          </w:p>
        </w:tc>
        <w:tc>
          <w:tcPr>
            <w:tcW w:w="792" w:type="pct"/>
            <w:tcBorders>
              <w:top w:val="nil"/>
              <w:left w:val="nil"/>
              <w:bottom w:val="nil"/>
              <w:right w:val="nil"/>
            </w:tcBorders>
            <w:shd w:val="clear" w:color="auto" w:fill="auto"/>
            <w:noWrap/>
            <w:vAlign w:val="bottom"/>
          </w:tcPr>
          <w:p w14:paraId="6D2C5BA7">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1.001 (1.000-1.001)</w:t>
            </w:r>
          </w:p>
        </w:tc>
        <w:tc>
          <w:tcPr>
            <w:tcW w:w="340" w:type="pct"/>
            <w:tcBorders>
              <w:top w:val="nil"/>
              <w:left w:val="nil"/>
              <w:bottom w:val="nil"/>
              <w:right w:val="nil"/>
            </w:tcBorders>
            <w:shd w:val="clear" w:color="auto" w:fill="auto"/>
            <w:noWrap/>
            <w:vAlign w:val="bottom"/>
          </w:tcPr>
          <w:p w14:paraId="5D037F83">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&lt;0.001</w:t>
            </w:r>
          </w:p>
        </w:tc>
        <w:tc>
          <w:tcPr>
            <w:tcW w:w="701" w:type="pct"/>
            <w:tcBorders>
              <w:top w:val="nil"/>
              <w:left w:val="nil"/>
              <w:bottom w:val="nil"/>
              <w:right w:val="nil"/>
            </w:tcBorders>
            <w:shd w:val="clear" w:color="auto" w:fill="auto"/>
            <w:noWrap/>
            <w:vAlign w:val="bottom"/>
          </w:tcPr>
          <w:p w14:paraId="7C516CDF">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&lt;0.001</w:t>
            </w:r>
          </w:p>
        </w:tc>
        <w:tc>
          <w:tcPr>
            <w:tcW w:w="103" w:type="pct"/>
            <w:tcBorders>
              <w:top w:val="nil"/>
              <w:left w:val="nil"/>
              <w:bottom w:val="nil"/>
              <w:right w:val="nil"/>
            </w:tcBorders>
            <w:shd w:val="clear" w:color="auto" w:fill="auto"/>
            <w:noWrap/>
            <w:vAlign w:val="center"/>
          </w:tcPr>
          <w:p w14:paraId="0A66499B">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p>
        </w:tc>
        <w:tc>
          <w:tcPr>
            <w:tcW w:w="835" w:type="pct"/>
            <w:tcBorders>
              <w:top w:val="nil"/>
              <w:left w:val="nil"/>
              <w:bottom w:val="nil"/>
              <w:right w:val="nil"/>
            </w:tcBorders>
            <w:shd w:val="clear" w:color="auto" w:fill="auto"/>
            <w:noWrap/>
            <w:vAlign w:val="bottom"/>
          </w:tcPr>
          <w:p w14:paraId="5CD6F822">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1.916 (1.319-2.783)</w:t>
            </w:r>
          </w:p>
        </w:tc>
        <w:tc>
          <w:tcPr>
            <w:tcW w:w="345" w:type="pct"/>
            <w:tcBorders>
              <w:top w:val="nil"/>
              <w:left w:val="nil"/>
              <w:bottom w:val="nil"/>
              <w:right w:val="nil"/>
            </w:tcBorders>
            <w:shd w:val="clear" w:color="auto" w:fill="auto"/>
            <w:noWrap/>
            <w:vAlign w:val="bottom"/>
          </w:tcPr>
          <w:p w14:paraId="2E580432">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&lt;0.001</w:t>
            </w:r>
          </w:p>
        </w:tc>
        <w:tc>
          <w:tcPr>
            <w:tcW w:w="770" w:type="pct"/>
            <w:tcBorders>
              <w:top w:val="nil"/>
              <w:left w:val="nil"/>
              <w:bottom w:val="nil"/>
              <w:right w:val="nil"/>
            </w:tcBorders>
            <w:shd w:val="clear" w:color="auto" w:fill="auto"/>
            <w:noWrap/>
            <w:vAlign w:val="bottom"/>
          </w:tcPr>
          <w:p w14:paraId="4D51F0CC">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0.002</w:t>
            </w:r>
          </w:p>
        </w:tc>
      </w:tr>
      <w:tr w14:paraId="5D838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9" w:hRule="atLeast"/>
          <w:jc w:val="center"/>
        </w:trPr>
        <w:tc>
          <w:tcPr>
            <w:tcW w:w="836" w:type="pct"/>
            <w:tcBorders>
              <w:top w:val="nil"/>
              <w:left w:val="nil"/>
              <w:bottom w:val="nil"/>
              <w:right w:val="nil"/>
            </w:tcBorders>
            <w:shd w:val="clear" w:color="auto" w:fill="auto"/>
            <w:noWrap/>
            <w:vAlign w:val="center"/>
          </w:tcPr>
          <w:p w14:paraId="0E099B28">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sz w:val="18"/>
                <w:szCs w:val="18"/>
                <w:u w:val="none"/>
              </w:rPr>
              <w:t>Sensitivity analysis 1</w:t>
            </w:r>
          </w:p>
        </w:tc>
        <w:tc>
          <w:tcPr>
            <w:tcW w:w="273" w:type="pct"/>
            <w:tcBorders>
              <w:top w:val="nil"/>
              <w:left w:val="nil"/>
              <w:bottom w:val="nil"/>
              <w:right w:val="nil"/>
            </w:tcBorders>
            <w:shd w:val="clear" w:color="auto" w:fill="auto"/>
            <w:noWrap/>
            <w:vAlign w:val="bottom"/>
          </w:tcPr>
          <w:p w14:paraId="2C0DC546">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sz w:val="18"/>
                <w:szCs w:val="18"/>
                <w:u w:val="none"/>
                <w:lang w:val="en-US" w:eastAsia="zh-CN"/>
              </w:rPr>
              <w:t>1379</w:t>
            </w:r>
          </w:p>
        </w:tc>
        <w:tc>
          <w:tcPr>
            <w:tcW w:w="792" w:type="pct"/>
            <w:tcBorders>
              <w:top w:val="nil"/>
              <w:left w:val="nil"/>
              <w:bottom w:val="nil"/>
              <w:right w:val="nil"/>
            </w:tcBorders>
            <w:shd w:val="clear" w:color="auto" w:fill="auto"/>
            <w:noWrap/>
            <w:vAlign w:val="bottom"/>
          </w:tcPr>
          <w:p w14:paraId="205C0EA1">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sz w:val="18"/>
                <w:szCs w:val="18"/>
                <w:u w:val="none"/>
                <w:lang w:val="en-US" w:eastAsia="zh-CN"/>
              </w:rPr>
              <w:t>1.001 (1.001-1.002)</w:t>
            </w:r>
          </w:p>
        </w:tc>
        <w:tc>
          <w:tcPr>
            <w:tcW w:w="340" w:type="pct"/>
            <w:tcBorders>
              <w:top w:val="nil"/>
              <w:left w:val="nil"/>
              <w:bottom w:val="nil"/>
              <w:right w:val="nil"/>
            </w:tcBorders>
            <w:shd w:val="clear" w:color="auto" w:fill="auto"/>
            <w:noWrap/>
            <w:vAlign w:val="bottom"/>
          </w:tcPr>
          <w:p w14:paraId="79475E50">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sz w:val="18"/>
                <w:szCs w:val="18"/>
                <w:u w:val="none"/>
                <w:lang w:val="en-US" w:eastAsia="zh-CN"/>
              </w:rPr>
              <w:t>&lt;0.001</w:t>
            </w:r>
          </w:p>
        </w:tc>
        <w:tc>
          <w:tcPr>
            <w:tcW w:w="701" w:type="pct"/>
            <w:tcBorders>
              <w:top w:val="nil"/>
              <w:left w:val="nil"/>
              <w:bottom w:val="nil"/>
              <w:right w:val="nil"/>
            </w:tcBorders>
            <w:shd w:val="clear" w:color="auto" w:fill="auto"/>
            <w:noWrap/>
            <w:vAlign w:val="bottom"/>
          </w:tcPr>
          <w:p w14:paraId="0611B443">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&lt;0.001</w:t>
            </w:r>
          </w:p>
        </w:tc>
        <w:tc>
          <w:tcPr>
            <w:tcW w:w="103" w:type="pct"/>
            <w:tcBorders>
              <w:top w:val="nil"/>
              <w:left w:val="nil"/>
              <w:bottom w:val="nil"/>
              <w:right w:val="nil"/>
            </w:tcBorders>
            <w:shd w:val="clear" w:color="auto" w:fill="auto"/>
            <w:noWrap/>
            <w:vAlign w:val="center"/>
          </w:tcPr>
          <w:p w14:paraId="00C36E80">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p>
        </w:tc>
        <w:tc>
          <w:tcPr>
            <w:tcW w:w="835" w:type="pct"/>
            <w:tcBorders>
              <w:top w:val="nil"/>
              <w:left w:val="nil"/>
              <w:bottom w:val="nil"/>
              <w:right w:val="nil"/>
            </w:tcBorders>
            <w:shd w:val="clear" w:color="auto" w:fill="auto"/>
            <w:noWrap/>
            <w:vAlign w:val="bottom"/>
          </w:tcPr>
          <w:p w14:paraId="6EAABA38">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2.274 (1.209-4.277)</w:t>
            </w:r>
          </w:p>
        </w:tc>
        <w:tc>
          <w:tcPr>
            <w:tcW w:w="345" w:type="pct"/>
            <w:tcBorders>
              <w:top w:val="nil"/>
              <w:left w:val="nil"/>
              <w:bottom w:val="nil"/>
              <w:right w:val="nil"/>
            </w:tcBorders>
            <w:shd w:val="clear" w:color="auto" w:fill="auto"/>
            <w:noWrap/>
            <w:vAlign w:val="bottom"/>
          </w:tcPr>
          <w:p w14:paraId="27BC8E2D">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0.011</w:t>
            </w:r>
          </w:p>
        </w:tc>
        <w:tc>
          <w:tcPr>
            <w:tcW w:w="770" w:type="pct"/>
            <w:tcBorders>
              <w:top w:val="nil"/>
              <w:left w:val="nil"/>
              <w:bottom w:val="nil"/>
              <w:right w:val="nil"/>
            </w:tcBorders>
            <w:shd w:val="clear" w:color="auto" w:fill="auto"/>
            <w:noWrap/>
            <w:vAlign w:val="bottom"/>
          </w:tcPr>
          <w:p w14:paraId="79C4E132">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0.002</w:t>
            </w:r>
          </w:p>
        </w:tc>
      </w:tr>
      <w:tr w14:paraId="2779F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9" w:hRule="atLeast"/>
          <w:jc w:val="center"/>
        </w:trPr>
        <w:tc>
          <w:tcPr>
            <w:tcW w:w="836" w:type="pct"/>
            <w:tcBorders>
              <w:top w:val="nil"/>
              <w:left w:val="nil"/>
              <w:bottom w:val="nil"/>
              <w:right w:val="nil"/>
            </w:tcBorders>
            <w:shd w:val="clear" w:color="auto" w:fill="auto"/>
            <w:noWrap/>
            <w:vAlign w:val="center"/>
          </w:tcPr>
          <w:p w14:paraId="431BA00A">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sz w:val="18"/>
                <w:szCs w:val="18"/>
                <w:u w:val="none"/>
              </w:rPr>
              <w:t xml:space="preserve">Sensitivity analysis </w:t>
            </w:r>
            <w:r>
              <w:rPr>
                <w:rFonts w:hint="default" w:ascii="Times New Roman" w:hAnsi="Times New Roman" w:eastAsia="宋体" w:cs="Times New Roman"/>
                <w:i w:val="0"/>
                <w:iCs w:val="0"/>
                <w:color w:val="000000"/>
                <w:sz w:val="18"/>
                <w:szCs w:val="18"/>
                <w:u w:val="none"/>
                <w:lang w:val="en-US" w:eastAsia="zh-CN"/>
              </w:rPr>
              <w:t>2</w:t>
            </w:r>
          </w:p>
        </w:tc>
        <w:tc>
          <w:tcPr>
            <w:tcW w:w="273" w:type="pct"/>
            <w:tcBorders>
              <w:top w:val="nil"/>
              <w:left w:val="nil"/>
              <w:bottom w:val="nil"/>
              <w:right w:val="nil"/>
            </w:tcBorders>
            <w:shd w:val="clear" w:color="auto" w:fill="auto"/>
            <w:noWrap/>
            <w:vAlign w:val="bottom"/>
          </w:tcPr>
          <w:p w14:paraId="664C840F">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sz w:val="18"/>
                <w:szCs w:val="18"/>
                <w:u w:val="none"/>
                <w:lang w:val="en-US" w:eastAsia="zh-CN"/>
              </w:rPr>
              <w:t>2072</w:t>
            </w:r>
          </w:p>
        </w:tc>
        <w:tc>
          <w:tcPr>
            <w:tcW w:w="792" w:type="pct"/>
            <w:tcBorders>
              <w:top w:val="nil"/>
              <w:left w:val="nil"/>
              <w:bottom w:val="nil"/>
              <w:right w:val="nil"/>
            </w:tcBorders>
            <w:shd w:val="clear" w:color="auto" w:fill="auto"/>
            <w:noWrap/>
            <w:vAlign w:val="bottom"/>
          </w:tcPr>
          <w:p w14:paraId="2D8E3774">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sz w:val="18"/>
                <w:szCs w:val="18"/>
                <w:u w:val="none"/>
                <w:lang w:val="en-US" w:eastAsia="zh-CN"/>
              </w:rPr>
              <w:t>1.001 (1.000-1.001)</w:t>
            </w:r>
          </w:p>
        </w:tc>
        <w:tc>
          <w:tcPr>
            <w:tcW w:w="340" w:type="pct"/>
            <w:tcBorders>
              <w:top w:val="nil"/>
              <w:left w:val="nil"/>
              <w:bottom w:val="nil"/>
              <w:right w:val="nil"/>
            </w:tcBorders>
            <w:shd w:val="clear" w:color="auto" w:fill="auto"/>
            <w:noWrap/>
            <w:vAlign w:val="bottom"/>
          </w:tcPr>
          <w:p w14:paraId="68D3506E">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sz w:val="18"/>
                <w:szCs w:val="18"/>
                <w:u w:val="none"/>
                <w:lang w:val="en-US" w:eastAsia="zh-CN"/>
              </w:rPr>
              <w:t>&lt;0.001</w:t>
            </w:r>
          </w:p>
        </w:tc>
        <w:tc>
          <w:tcPr>
            <w:tcW w:w="701" w:type="pct"/>
            <w:tcBorders>
              <w:top w:val="nil"/>
              <w:left w:val="nil"/>
              <w:bottom w:val="nil"/>
              <w:right w:val="nil"/>
            </w:tcBorders>
            <w:shd w:val="clear" w:color="auto" w:fill="auto"/>
            <w:noWrap/>
            <w:vAlign w:val="bottom"/>
          </w:tcPr>
          <w:p w14:paraId="113C98BF">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&lt;0.001</w:t>
            </w:r>
          </w:p>
        </w:tc>
        <w:tc>
          <w:tcPr>
            <w:tcW w:w="103" w:type="pct"/>
            <w:tcBorders>
              <w:top w:val="nil"/>
              <w:left w:val="nil"/>
              <w:bottom w:val="nil"/>
              <w:right w:val="nil"/>
            </w:tcBorders>
            <w:shd w:val="clear" w:color="auto" w:fill="auto"/>
            <w:noWrap/>
            <w:vAlign w:val="center"/>
          </w:tcPr>
          <w:p w14:paraId="7D839AFF">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p>
        </w:tc>
        <w:tc>
          <w:tcPr>
            <w:tcW w:w="835" w:type="pct"/>
            <w:tcBorders>
              <w:top w:val="nil"/>
              <w:left w:val="nil"/>
              <w:bottom w:val="nil"/>
              <w:right w:val="nil"/>
            </w:tcBorders>
            <w:shd w:val="clear" w:color="auto" w:fill="auto"/>
            <w:noWrap/>
            <w:vAlign w:val="bottom"/>
          </w:tcPr>
          <w:p w14:paraId="4AC76EF0">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1.912 (1.316-2.777)</w:t>
            </w:r>
          </w:p>
        </w:tc>
        <w:tc>
          <w:tcPr>
            <w:tcW w:w="345" w:type="pct"/>
            <w:tcBorders>
              <w:top w:val="nil"/>
              <w:left w:val="nil"/>
              <w:bottom w:val="nil"/>
              <w:right w:val="nil"/>
            </w:tcBorders>
            <w:shd w:val="clear" w:color="auto" w:fill="auto"/>
            <w:noWrap/>
            <w:vAlign w:val="bottom"/>
          </w:tcPr>
          <w:p w14:paraId="32F72139">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&lt;0.001</w:t>
            </w:r>
          </w:p>
        </w:tc>
        <w:tc>
          <w:tcPr>
            <w:tcW w:w="770" w:type="pct"/>
            <w:tcBorders>
              <w:top w:val="nil"/>
              <w:left w:val="nil"/>
              <w:bottom w:val="nil"/>
              <w:right w:val="nil"/>
            </w:tcBorders>
            <w:shd w:val="clear" w:color="auto" w:fill="auto"/>
            <w:noWrap/>
            <w:vAlign w:val="bottom"/>
          </w:tcPr>
          <w:p w14:paraId="4384C86F">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0.014</w:t>
            </w:r>
          </w:p>
        </w:tc>
      </w:tr>
      <w:tr w14:paraId="3A442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9" w:hRule="atLeast"/>
          <w:jc w:val="center"/>
        </w:trPr>
        <w:tc>
          <w:tcPr>
            <w:tcW w:w="836" w:type="pct"/>
            <w:tcBorders>
              <w:top w:val="nil"/>
              <w:left w:val="nil"/>
              <w:bottom w:val="nil"/>
              <w:right w:val="nil"/>
            </w:tcBorders>
            <w:shd w:val="clear" w:color="auto" w:fill="auto"/>
            <w:noWrap/>
            <w:vAlign w:val="center"/>
          </w:tcPr>
          <w:p w14:paraId="0DB7D14E">
            <w:pPr>
              <w:keepNext w:val="0"/>
              <w:keepLines w:val="0"/>
              <w:widowControl/>
              <w:suppressLineNumbers w:val="0"/>
              <w:snapToGrid w:val="0"/>
              <w:ind w:left="0" w:leftChars="0" w:right="0" w:rightChars="0" w:firstLine="0" w:firstLineChars="0"/>
              <w:jc w:val="both"/>
              <w:textAlignment w:val="center"/>
              <w:rPr>
                <w:rFonts w:hint="eastAsia" w:ascii="Times New Roman" w:hAnsi="Times New Roman" w:eastAsia="宋体" w:cs="Times New Roman"/>
                <w:i w:val="0"/>
                <w:iCs w:val="0"/>
                <w:color w:val="000000"/>
                <w:sz w:val="18"/>
                <w:szCs w:val="18"/>
                <w:u w:val="none"/>
                <w:lang w:eastAsia="zh-CN"/>
              </w:rPr>
            </w:pPr>
            <w:r>
              <w:rPr>
                <w:rFonts w:hint="default" w:ascii="Times New Roman" w:hAnsi="Times New Roman" w:eastAsia="宋体" w:cs="Times New Roman"/>
                <w:i w:val="0"/>
                <w:iCs w:val="0"/>
                <w:color w:val="000000"/>
                <w:sz w:val="18"/>
                <w:szCs w:val="18"/>
                <w:u w:val="none"/>
              </w:rPr>
              <w:t xml:space="preserve">Sensitivity analysis </w:t>
            </w:r>
            <w:r>
              <w:rPr>
                <w:rFonts w:hint="eastAsia" w:ascii="Times New Roman" w:hAnsi="Times New Roman" w:eastAsia="宋体" w:cs="Times New Roman"/>
                <w:i w:val="0"/>
                <w:iCs w:val="0"/>
                <w:color w:val="000000"/>
                <w:sz w:val="18"/>
                <w:szCs w:val="18"/>
                <w:u w:val="none"/>
                <w:lang w:val="en-US" w:eastAsia="zh-CN"/>
              </w:rPr>
              <w:t>3</w:t>
            </w:r>
          </w:p>
        </w:tc>
        <w:tc>
          <w:tcPr>
            <w:tcW w:w="273" w:type="pct"/>
            <w:tcBorders>
              <w:top w:val="nil"/>
              <w:left w:val="nil"/>
              <w:bottom w:val="nil"/>
              <w:right w:val="nil"/>
            </w:tcBorders>
            <w:shd w:val="clear" w:color="auto" w:fill="auto"/>
            <w:noWrap/>
            <w:vAlign w:val="bottom"/>
          </w:tcPr>
          <w:p w14:paraId="4F283634">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1098</w:t>
            </w:r>
          </w:p>
        </w:tc>
        <w:tc>
          <w:tcPr>
            <w:tcW w:w="792" w:type="pct"/>
            <w:tcBorders>
              <w:top w:val="nil"/>
              <w:left w:val="nil"/>
              <w:bottom w:val="nil"/>
              <w:right w:val="nil"/>
            </w:tcBorders>
            <w:shd w:val="clear" w:color="auto" w:fill="auto"/>
            <w:noWrap/>
            <w:vAlign w:val="bottom"/>
          </w:tcPr>
          <w:p w14:paraId="5D656826">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1.001 (1.000-1.002)</w:t>
            </w:r>
          </w:p>
        </w:tc>
        <w:tc>
          <w:tcPr>
            <w:tcW w:w="340" w:type="pct"/>
            <w:tcBorders>
              <w:top w:val="nil"/>
              <w:left w:val="nil"/>
              <w:bottom w:val="nil"/>
              <w:right w:val="nil"/>
            </w:tcBorders>
            <w:shd w:val="clear" w:color="auto" w:fill="auto"/>
            <w:noWrap/>
            <w:vAlign w:val="bottom"/>
          </w:tcPr>
          <w:p w14:paraId="5A6C11AD">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0.003</w:t>
            </w:r>
          </w:p>
        </w:tc>
        <w:tc>
          <w:tcPr>
            <w:tcW w:w="701" w:type="pct"/>
            <w:tcBorders>
              <w:top w:val="nil"/>
              <w:left w:val="nil"/>
              <w:bottom w:val="nil"/>
              <w:right w:val="nil"/>
            </w:tcBorders>
            <w:shd w:val="clear" w:color="auto" w:fill="auto"/>
            <w:noWrap/>
            <w:vAlign w:val="bottom"/>
          </w:tcPr>
          <w:p w14:paraId="7A67263D">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0.003</w:t>
            </w:r>
          </w:p>
        </w:tc>
        <w:tc>
          <w:tcPr>
            <w:tcW w:w="103" w:type="pct"/>
            <w:tcBorders>
              <w:top w:val="nil"/>
              <w:left w:val="nil"/>
              <w:bottom w:val="nil"/>
              <w:right w:val="nil"/>
            </w:tcBorders>
            <w:shd w:val="clear" w:color="auto" w:fill="auto"/>
            <w:noWrap/>
            <w:vAlign w:val="center"/>
          </w:tcPr>
          <w:p w14:paraId="549AA07E">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p>
        </w:tc>
        <w:tc>
          <w:tcPr>
            <w:tcW w:w="835" w:type="pct"/>
            <w:tcBorders>
              <w:top w:val="nil"/>
              <w:left w:val="nil"/>
              <w:bottom w:val="nil"/>
              <w:right w:val="nil"/>
            </w:tcBorders>
            <w:shd w:val="clear" w:color="auto" w:fill="auto"/>
            <w:noWrap/>
            <w:vAlign w:val="bottom"/>
          </w:tcPr>
          <w:p w14:paraId="01C051B7">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2.527 (1.321-4.834)</w:t>
            </w:r>
          </w:p>
        </w:tc>
        <w:tc>
          <w:tcPr>
            <w:tcW w:w="345" w:type="pct"/>
            <w:tcBorders>
              <w:top w:val="nil"/>
              <w:left w:val="nil"/>
              <w:bottom w:val="nil"/>
              <w:right w:val="nil"/>
            </w:tcBorders>
            <w:shd w:val="clear" w:color="auto" w:fill="auto"/>
            <w:noWrap/>
            <w:vAlign w:val="bottom"/>
          </w:tcPr>
          <w:p w14:paraId="0CFC2DAA">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0.005</w:t>
            </w:r>
          </w:p>
        </w:tc>
        <w:tc>
          <w:tcPr>
            <w:tcW w:w="770" w:type="pct"/>
            <w:tcBorders>
              <w:top w:val="nil"/>
              <w:left w:val="nil"/>
              <w:bottom w:val="nil"/>
              <w:right w:val="nil"/>
            </w:tcBorders>
            <w:shd w:val="clear" w:color="auto" w:fill="auto"/>
            <w:noWrap/>
            <w:vAlign w:val="bottom"/>
          </w:tcPr>
          <w:p w14:paraId="55B6F4B9">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0.009</w:t>
            </w:r>
          </w:p>
        </w:tc>
      </w:tr>
      <w:tr w14:paraId="18202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9" w:hRule="atLeast"/>
          <w:jc w:val="center"/>
        </w:trPr>
        <w:tc>
          <w:tcPr>
            <w:tcW w:w="836" w:type="pct"/>
            <w:tcBorders>
              <w:top w:val="nil"/>
              <w:left w:val="nil"/>
              <w:bottom w:val="nil"/>
              <w:right w:val="nil"/>
            </w:tcBorders>
            <w:shd w:val="clear" w:color="auto" w:fill="auto"/>
            <w:noWrap/>
            <w:vAlign w:val="center"/>
          </w:tcPr>
          <w:p w14:paraId="31D33B12">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rPr>
              <w:t xml:space="preserve">Sensitivity analysis </w:t>
            </w:r>
            <w:r>
              <w:rPr>
                <w:rFonts w:hint="eastAsia" w:ascii="Times New Roman" w:hAnsi="Times New Roman" w:eastAsia="宋体" w:cs="Times New Roman"/>
                <w:i w:val="0"/>
                <w:iCs w:val="0"/>
                <w:color w:val="000000"/>
                <w:sz w:val="18"/>
                <w:szCs w:val="18"/>
                <w:u w:val="none"/>
                <w:lang w:val="en-US" w:eastAsia="zh-CN"/>
              </w:rPr>
              <w:t>4</w:t>
            </w:r>
          </w:p>
        </w:tc>
        <w:tc>
          <w:tcPr>
            <w:tcW w:w="273" w:type="pct"/>
            <w:tcBorders>
              <w:top w:val="nil"/>
              <w:left w:val="nil"/>
              <w:bottom w:val="nil"/>
              <w:right w:val="nil"/>
            </w:tcBorders>
            <w:shd w:val="clear" w:color="auto" w:fill="auto"/>
            <w:noWrap/>
            <w:vAlign w:val="bottom"/>
          </w:tcPr>
          <w:p w14:paraId="36688B84">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sz w:val="18"/>
                <w:szCs w:val="18"/>
                <w:u w:val="none"/>
                <w:lang w:val="en-US" w:eastAsia="zh-CN"/>
              </w:rPr>
              <w:t>1761</w:t>
            </w:r>
          </w:p>
        </w:tc>
        <w:tc>
          <w:tcPr>
            <w:tcW w:w="792" w:type="pct"/>
            <w:tcBorders>
              <w:top w:val="nil"/>
              <w:left w:val="nil"/>
              <w:bottom w:val="nil"/>
              <w:right w:val="nil"/>
            </w:tcBorders>
            <w:shd w:val="clear" w:color="auto" w:fill="auto"/>
            <w:noWrap/>
            <w:vAlign w:val="bottom"/>
          </w:tcPr>
          <w:p w14:paraId="620FEE65">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sz w:val="18"/>
                <w:szCs w:val="18"/>
                <w:u w:val="none"/>
                <w:lang w:val="en-US" w:eastAsia="zh-CN"/>
              </w:rPr>
              <w:t>1.001 (1.000-1.001)</w:t>
            </w:r>
          </w:p>
        </w:tc>
        <w:tc>
          <w:tcPr>
            <w:tcW w:w="340" w:type="pct"/>
            <w:tcBorders>
              <w:top w:val="nil"/>
              <w:left w:val="nil"/>
              <w:bottom w:val="nil"/>
              <w:right w:val="nil"/>
            </w:tcBorders>
            <w:shd w:val="clear" w:color="auto" w:fill="auto"/>
            <w:noWrap/>
            <w:vAlign w:val="bottom"/>
          </w:tcPr>
          <w:p w14:paraId="7731A367">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sz w:val="18"/>
                <w:szCs w:val="18"/>
                <w:u w:val="none"/>
                <w:lang w:val="en-US" w:eastAsia="zh-CN"/>
              </w:rPr>
              <w:t>&lt;0.001</w:t>
            </w:r>
          </w:p>
        </w:tc>
        <w:tc>
          <w:tcPr>
            <w:tcW w:w="701" w:type="pct"/>
            <w:tcBorders>
              <w:top w:val="nil"/>
              <w:left w:val="nil"/>
              <w:bottom w:val="nil"/>
              <w:right w:val="nil"/>
            </w:tcBorders>
            <w:shd w:val="clear" w:color="auto" w:fill="auto"/>
            <w:noWrap/>
            <w:vAlign w:val="bottom"/>
          </w:tcPr>
          <w:p w14:paraId="45A58AB6">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&lt;0.001</w:t>
            </w:r>
          </w:p>
        </w:tc>
        <w:tc>
          <w:tcPr>
            <w:tcW w:w="103" w:type="pct"/>
            <w:tcBorders>
              <w:top w:val="nil"/>
              <w:left w:val="nil"/>
              <w:bottom w:val="nil"/>
              <w:right w:val="nil"/>
            </w:tcBorders>
            <w:shd w:val="clear" w:color="auto" w:fill="auto"/>
            <w:noWrap/>
            <w:vAlign w:val="center"/>
          </w:tcPr>
          <w:p w14:paraId="1950A209">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p>
        </w:tc>
        <w:tc>
          <w:tcPr>
            <w:tcW w:w="835" w:type="pct"/>
            <w:tcBorders>
              <w:top w:val="nil"/>
              <w:left w:val="nil"/>
              <w:bottom w:val="nil"/>
              <w:right w:val="nil"/>
            </w:tcBorders>
            <w:shd w:val="clear" w:color="auto" w:fill="auto"/>
            <w:noWrap/>
            <w:vAlign w:val="bottom"/>
          </w:tcPr>
          <w:p w14:paraId="7D59DB68">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1.672 (1.125-2.484)</w:t>
            </w:r>
          </w:p>
        </w:tc>
        <w:tc>
          <w:tcPr>
            <w:tcW w:w="345" w:type="pct"/>
            <w:tcBorders>
              <w:top w:val="nil"/>
              <w:left w:val="nil"/>
              <w:bottom w:val="nil"/>
              <w:right w:val="nil"/>
            </w:tcBorders>
            <w:shd w:val="clear" w:color="auto" w:fill="auto"/>
            <w:noWrap/>
            <w:vAlign w:val="bottom"/>
          </w:tcPr>
          <w:p w14:paraId="7D205671">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0.011</w:t>
            </w:r>
          </w:p>
        </w:tc>
        <w:tc>
          <w:tcPr>
            <w:tcW w:w="770" w:type="pct"/>
            <w:tcBorders>
              <w:top w:val="nil"/>
              <w:left w:val="nil"/>
              <w:bottom w:val="nil"/>
              <w:right w:val="nil"/>
            </w:tcBorders>
            <w:shd w:val="clear" w:color="auto" w:fill="auto"/>
            <w:noWrap/>
            <w:vAlign w:val="bottom"/>
          </w:tcPr>
          <w:p w14:paraId="49A8A74A">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0.014</w:t>
            </w:r>
          </w:p>
        </w:tc>
      </w:tr>
      <w:tr w14:paraId="39989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9" w:hRule="atLeast"/>
          <w:jc w:val="center"/>
        </w:trPr>
        <w:tc>
          <w:tcPr>
            <w:tcW w:w="836" w:type="pct"/>
            <w:tcBorders>
              <w:top w:val="nil"/>
              <w:left w:val="nil"/>
              <w:bottom w:val="nil"/>
              <w:right w:val="nil"/>
            </w:tcBorders>
            <w:shd w:val="clear" w:color="auto" w:fill="auto"/>
            <w:noWrap/>
            <w:vAlign w:val="center"/>
          </w:tcPr>
          <w:p w14:paraId="075EBA21">
            <w:pPr>
              <w:keepNext w:val="0"/>
              <w:keepLines w:val="0"/>
              <w:widowControl/>
              <w:suppressLineNumbers w:val="0"/>
              <w:snapToGrid w:val="0"/>
              <w:ind w:left="0" w:leftChars="0" w:right="0" w:rightChars="0" w:firstLine="0" w:firstLineChars="0"/>
              <w:jc w:val="both"/>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rPr>
              <w:t xml:space="preserve">Sensitivity analysis </w:t>
            </w:r>
            <w:r>
              <w:rPr>
                <w:rFonts w:hint="eastAsia" w:ascii="Times New Roman" w:hAnsi="Times New Roman" w:eastAsia="宋体" w:cs="Times New Roman"/>
                <w:i w:val="0"/>
                <w:iCs w:val="0"/>
                <w:color w:val="000000"/>
                <w:sz w:val="18"/>
                <w:szCs w:val="18"/>
                <w:u w:val="none"/>
                <w:lang w:val="en-US" w:eastAsia="zh-CN"/>
              </w:rPr>
              <w:t>5</w:t>
            </w:r>
          </w:p>
        </w:tc>
        <w:tc>
          <w:tcPr>
            <w:tcW w:w="273" w:type="pct"/>
            <w:tcBorders>
              <w:top w:val="nil"/>
              <w:left w:val="nil"/>
              <w:bottom w:val="nil"/>
              <w:right w:val="nil"/>
            </w:tcBorders>
            <w:shd w:val="clear" w:color="auto" w:fill="auto"/>
            <w:noWrap/>
            <w:vAlign w:val="bottom"/>
          </w:tcPr>
          <w:p w14:paraId="5A3E7CCA">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sz w:val="18"/>
                <w:szCs w:val="18"/>
                <w:u w:val="none"/>
                <w:lang w:val="en-US" w:eastAsia="zh-CN"/>
              </w:rPr>
              <w:t>1425</w:t>
            </w:r>
          </w:p>
        </w:tc>
        <w:tc>
          <w:tcPr>
            <w:tcW w:w="792" w:type="pct"/>
            <w:tcBorders>
              <w:top w:val="nil"/>
              <w:left w:val="nil"/>
              <w:bottom w:val="nil"/>
              <w:right w:val="nil"/>
            </w:tcBorders>
            <w:shd w:val="clear" w:color="auto" w:fill="auto"/>
            <w:noWrap/>
            <w:vAlign w:val="bottom"/>
          </w:tcPr>
          <w:p w14:paraId="04F16929">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1.001 (1.000-1.002)</w:t>
            </w:r>
          </w:p>
        </w:tc>
        <w:tc>
          <w:tcPr>
            <w:tcW w:w="340" w:type="pct"/>
            <w:tcBorders>
              <w:top w:val="nil"/>
              <w:left w:val="nil"/>
              <w:bottom w:val="nil"/>
              <w:right w:val="nil"/>
            </w:tcBorders>
            <w:shd w:val="clear" w:color="auto" w:fill="auto"/>
            <w:noWrap/>
            <w:vAlign w:val="bottom"/>
          </w:tcPr>
          <w:p w14:paraId="6B76EFF3">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0.001</w:t>
            </w:r>
          </w:p>
        </w:tc>
        <w:tc>
          <w:tcPr>
            <w:tcW w:w="701" w:type="pct"/>
            <w:tcBorders>
              <w:top w:val="nil"/>
              <w:left w:val="nil"/>
              <w:bottom w:val="nil"/>
              <w:right w:val="nil"/>
            </w:tcBorders>
            <w:shd w:val="clear" w:color="auto" w:fill="auto"/>
            <w:noWrap/>
            <w:vAlign w:val="bottom"/>
          </w:tcPr>
          <w:p w14:paraId="3B7D1DC7">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0.002</w:t>
            </w:r>
          </w:p>
        </w:tc>
        <w:tc>
          <w:tcPr>
            <w:tcW w:w="103" w:type="pct"/>
            <w:tcBorders>
              <w:top w:val="nil"/>
              <w:left w:val="nil"/>
              <w:bottom w:val="nil"/>
              <w:right w:val="nil"/>
            </w:tcBorders>
            <w:shd w:val="clear" w:color="auto" w:fill="auto"/>
            <w:noWrap/>
            <w:vAlign w:val="center"/>
          </w:tcPr>
          <w:p w14:paraId="0D7B3F8A">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p>
        </w:tc>
        <w:tc>
          <w:tcPr>
            <w:tcW w:w="835" w:type="pct"/>
            <w:tcBorders>
              <w:top w:val="nil"/>
              <w:left w:val="nil"/>
              <w:bottom w:val="nil"/>
              <w:right w:val="nil"/>
            </w:tcBorders>
            <w:shd w:val="clear" w:color="auto" w:fill="auto"/>
            <w:noWrap/>
            <w:vAlign w:val="bottom"/>
          </w:tcPr>
          <w:p w14:paraId="7ADEFC8B">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2.108 (1.265-3.514)</w:t>
            </w:r>
          </w:p>
        </w:tc>
        <w:tc>
          <w:tcPr>
            <w:tcW w:w="345" w:type="pct"/>
            <w:tcBorders>
              <w:top w:val="nil"/>
              <w:left w:val="nil"/>
              <w:bottom w:val="nil"/>
              <w:right w:val="nil"/>
            </w:tcBorders>
            <w:shd w:val="clear" w:color="auto" w:fill="auto"/>
            <w:noWrap/>
            <w:vAlign w:val="bottom"/>
          </w:tcPr>
          <w:p w14:paraId="40917D5C">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0.004</w:t>
            </w:r>
          </w:p>
        </w:tc>
        <w:tc>
          <w:tcPr>
            <w:tcW w:w="770" w:type="pct"/>
            <w:tcBorders>
              <w:top w:val="nil"/>
              <w:left w:val="nil"/>
              <w:bottom w:val="nil"/>
              <w:right w:val="nil"/>
            </w:tcBorders>
            <w:shd w:val="clear" w:color="auto" w:fill="auto"/>
            <w:noWrap/>
            <w:vAlign w:val="bottom"/>
          </w:tcPr>
          <w:p w14:paraId="4E6A7D84">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0.009</w:t>
            </w:r>
          </w:p>
        </w:tc>
      </w:tr>
      <w:tr w14:paraId="1CC04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jc w:val="center"/>
        </w:trPr>
        <w:tc>
          <w:tcPr>
            <w:tcW w:w="836" w:type="pct"/>
            <w:tcBorders>
              <w:top w:val="nil"/>
              <w:left w:val="nil"/>
              <w:bottom w:val="nil"/>
              <w:right w:val="nil"/>
            </w:tcBorders>
            <w:shd w:val="clear" w:color="auto" w:fill="auto"/>
            <w:noWrap/>
            <w:vAlign w:val="center"/>
          </w:tcPr>
          <w:p w14:paraId="2BD727F6">
            <w:pPr>
              <w:keepNext w:val="0"/>
              <w:keepLines w:val="0"/>
              <w:widowControl/>
              <w:suppressLineNumbers w:val="0"/>
              <w:snapToGrid w:val="0"/>
              <w:ind w:left="0" w:leftChars="0" w:right="0" w:rightChars="0" w:firstLine="0" w:firstLineChars="0"/>
              <w:jc w:val="both"/>
              <w:textAlignment w:val="center"/>
              <w:rPr>
                <w:rFonts w:hint="eastAsia"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rPr>
              <w:t xml:space="preserve">Sensitivity analysis </w:t>
            </w:r>
            <w:r>
              <w:rPr>
                <w:rFonts w:hint="eastAsia" w:ascii="Times New Roman" w:hAnsi="Times New Roman" w:eastAsia="宋体" w:cs="Times New Roman"/>
                <w:i w:val="0"/>
                <w:iCs w:val="0"/>
                <w:color w:val="000000"/>
                <w:sz w:val="18"/>
                <w:szCs w:val="18"/>
                <w:u w:val="none"/>
                <w:lang w:val="en-US" w:eastAsia="zh-CN"/>
              </w:rPr>
              <w:t>6</w:t>
            </w:r>
          </w:p>
        </w:tc>
        <w:tc>
          <w:tcPr>
            <w:tcW w:w="273" w:type="pct"/>
            <w:tcBorders>
              <w:top w:val="nil"/>
              <w:left w:val="nil"/>
              <w:bottom w:val="nil"/>
              <w:right w:val="nil"/>
            </w:tcBorders>
            <w:shd w:val="clear" w:color="auto" w:fill="auto"/>
            <w:noWrap/>
            <w:vAlign w:val="bottom"/>
          </w:tcPr>
          <w:p w14:paraId="6F4C6D8E">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1872</w:t>
            </w:r>
          </w:p>
        </w:tc>
        <w:tc>
          <w:tcPr>
            <w:tcW w:w="792" w:type="pct"/>
            <w:tcBorders>
              <w:top w:val="nil"/>
              <w:left w:val="nil"/>
              <w:bottom w:val="nil"/>
              <w:right w:val="nil"/>
            </w:tcBorders>
            <w:shd w:val="clear" w:color="auto" w:fill="auto"/>
            <w:noWrap/>
            <w:vAlign w:val="bottom"/>
          </w:tcPr>
          <w:p w14:paraId="4704A7D1">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1.001 (1.000-1.001)</w:t>
            </w:r>
          </w:p>
        </w:tc>
        <w:tc>
          <w:tcPr>
            <w:tcW w:w="340" w:type="pct"/>
            <w:tcBorders>
              <w:top w:val="nil"/>
              <w:left w:val="nil"/>
              <w:bottom w:val="nil"/>
              <w:right w:val="nil"/>
            </w:tcBorders>
            <w:shd w:val="clear" w:color="auto" w:fill="auto"/>
            <w:noWrap/>
            <w:vAlign w:val="bottom"/>
          </w:tcPr>
          <w:p w14:paraId="442B9014">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&lt;0.001</w:t>
            </w:r>
          </w:p>
        </w:tc>
        <w:tc>
          <w:tcPr>
            <w:tcW w:w="701" w:type="pct"/>
            <w:tcBorders>
              <w:top w:val="nil"/>
              <w:left w:val="nil"/>
              <w:bottom w:val="nil"/>
              <w:right w:val="nil"/>
            </w:tcBorders>
            <w:shd w:val="clear" w:color="auto" w:fill="auto"/>
            <w:noWrap/>
            <w:vAlign w:val="bottom"/>
          </w:tcPr>
          <w:p w14:paraId="3353F38C">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&lt;0.001</w:t>
            </w:r>
          </w:p>
        </w:tc>
        <w:tc>
          <w:tcPr>
            <w:tcW w:w="103" w:type="pct"/>
            <w:tcBorders>
              <w:top w:val="nil"/>
              <w:left w:val="nil"/>
              <w:bottom w:val="nil"/>
              <w:right w:val="nil"/>
            </w:tcBorders>
            <w:shd w:val="clear" w:color="auto" w:fill="auto"/>
            <w:noWrap/>
            <w:vAlign w:val="center"/>
          </w:tcPr>
          <w:p w14:paraId="536D8AE1">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p>
        </w:tc>
        <w:tc>
          <w:tcPr>
            <w:tcW w:w="835" w:type="pct"/>
            <w:tcBorders>
              <w:top w:val="nil"/>
              <w:left w:val="nil"/>
              <w:bottom w:val="nil"/>
              <w:right w:val="nil"/>
            </w:tcBorders>
            <w:shd w:val="clear" w:color="auto" w:fill="auto"/>
            <w:noWrap/>
            <w:vAlign w:val="bottom"/>
          </w:tcPr>
          <w:p w14:paraId="51E11D41">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1.643 (1.117-2.415)</w:t>
            </w:r>
          </w:p>
        </w:tc>
        <w:tc>
          <w:tcPr>
            <w:tcW w:w="345" w:type="pct"/>
            <w:tcBorders>
              <w:top w:val="nil"/>
              <w:left w:val="nil"/>
              <w:bottom w:val="nil"/>
              <w:right w:val="nil"/>
            </w:tcBorders>
            <w:shd w:val="clear" w:color="auto" w:fill="auto"/>
            <w:noWrap/>
            <w:vAlign w:val="bottom"/>
          </w:tcPr>
          <w:p w14:paraId="6B009175">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0.012</w:t>
            </w:r>
          </w:p>
        </w:tc>
        <w:tc>
          <w:tcPr>
            <w:tcW w:w="770" w:type="pct"/>
            <w:tcBorders>
              <w:top w:val="nil"/>
              <w:left w:val="nil"/>
              <w:bottom w:val="nil"/>
              <w:right w:val="nil"/>
            </w:tcBorders>
            <w:shd w:val="clear" w:color="auto" w:fill="auto"/>
            <w:noWrap/>
            <w:vAlign w:val="bottom"/>
          </w:tcPr>
          <w:p w14:paraId="71264DEF">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0.014</w:t>
            </w:r>
          </w:p>
        </w:tc>
      </w:tr>
      <w:tr w14:paraId="2FF03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jc w:val="center"/>
        </w:trPr>
        <w:tc>
          <w:tcPr>
            <w:tcW w:w="836" w:type="pct"/>
            <w:tcBorders>
              <w:top w:val="nil"/>
              <w:left w:val="nil"/>
              <w:bottom w:val="nil"/>
              <w:right w:val="nil"/>
            </w:tcBorders>
            <w:shd w:val="clear" w:color="auto" w:fill="auto"/>
            <w:noWrap/>
            <w:vAlign w:val="center"/>
          </w:tcPr>
          <w:p w14:paraId="4F78ED76">
            <w:pPr>
              <w:keepNext w:val="0"/>
              <w:keepLines w:val="0"/>
              <w:widowControl/>
              <w:suppressLineNumbers w:val="0"/>
              <w:snapToGrid w:val="0"/>
              <w:ind w:left="0" w:leftChars="0" w:right="0" w:rightChars="0" w:firstLine="0" w:firstLineChars="0"/>
              <w:jc w:val="both"/>
              <w:textAlignment w:val="center"/>
              <w:rPr>
                <w:rFonts w:hint="eastAsia"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rPr>
              <w:t xml:space="preserve">Sensitivity analysis </w:t>
            </w:r>
            <w:r>
              <w:rPr>
                <w:rFonts w:hint="eastAsia" w:ascii="Times New Roman" w:hAnsi="Times New Roman" w:eastAsia="宋体" w:cs="Times New Roman"/>
                <w:i w:val="0"/>
                <w:iCs w:val="0"/>
                <w:color w:val="000000"/>
                <w:sz w:val="18"/>
                <w:szCs w:val="18"/>
                <w:u w:val="none"/>
                <w:lang w:val="en-US" w:eastAsia="zh-CN"/>
              </w:rPr>
              <w:t>7</w:t>
            </w:r>
          </w:p>
        </w:tc>
        <w:tc>
          <w:tcPr>
            <w:tcW w:w="273" w:type="pct"/>
            <w:tcBorders>
              <w:top w:val="nil"/>
              <w:left w:val="nil"/>
              <w:bottom w:val="nil"/>
              <w:right w:val="nil"/>
            </w:tcBorders>
            <w:shd w:val="clear" w:color="auto" w:fill="auto"/>
            <w:noWrap/>
            <w:vAlign w:val="bottom"/>
          </w:tcPr>
          <w:p w14:paraId="279992B2">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2072</w:t>
            </w:r>
          </w:p>
        </w:tc>
        <w:tc>
          <w:tcPr>
            <w:tcW w:w="792" w:type="pct"/>
            <w:tcBorders>
              <w:top w:val="nil"/>
              <w:left w:val="nil"/>
              <w:bottom w:val="nil"/>
              <w:right w:val="nil"/>
            </w:tcBorders>
            <w:shd w:val="clear" w:color="auto" w:fill="auto"/>
            <w:noWrap/>
            <w:vAlign w:val="bottom"/>
          </w:tcPr>
          <w:p w14:paraId="0BB3EC32">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1.001 (1.000-1.001)</w:t>
            </w:r>
          </w:p>
        </w:tc>
        <w:tc>
          <w:tcPr>
            <w:tcW w:w="340" w:type="pct"/>
            <w:tcBorders>
              <w:top w:val="nil"/>
              <w:left w:val="nil"/>
              <w:bottom w:val="nil"/>
              <w:right w:val="nil"/>
            </w:tcBorders>
            <w:shd w:val="clear" w:color="auto" w:fill="auto"/>
            <w:noWrap/>
            <w:vAlign w:val="bottom"/>
          </w:tcPr>
          <w:p w14:paraId="18783EC8">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&lt;0.001</w:t>
            </w:r>
          </w:p>
        </w:tc>
        <w:tc>
          <w:tcPr>
            <w:tcW w:w="701" w:type="pct"/>
            <w:tcBorders>
              <w:top w:val="nil"/>
              <w:left w:val="nil"/>
              <w:bottom w:val="nil"/>
              <w:right w:val="nil"/>
            </w:tcBorders>
            <w:shd w:val="clear" w:color="auto" w:fill="auto"/>
            <w:noWrap/>
            <w:vAlign w:val="bottom"/>
          </w:tcPr>
          <w:p w14:paraId="0B44E3B8">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&lt;0.001</w:t>
            </w:r>
          </w:p>
        </w:tc>
        <w:tc>
          <w:tcPr>
            <w:tcW w:w="103" w:type="pct"/>
            <w:tcBorders>
              <w:top w:val="nil"/>
              <w:left w:val="nil"/>
              <w:bottom w:val="nil"/>
              <w:right w:val="nil"/>
            </w:tcBorders>
            <w:shd w:val="clear" w:color="auto" w:fill="auto"/>
            <w:noWrap/>
            <w:vAlign w:val="center"/>
          </w:tcPr>
          <w:p w14:paraId="11286249">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p>
        </w:tc>
        <w:tc>
          <w:tcPr>
            <w:tcW w:w="835" w:type="pct"/>
            <w:tcBorders>
              <w:top w:val="nil"/>
              <w:left w:val="nil"/>
              <w:bottom w:val="nil"/>
              <w:right w:val="nil"/>
            </w:tcBorders>
            <w:shd w:val="clear" w:color="auto" w:fill="auto"/>
            <w:noWrap/>
            <w:vAlign w:val="bottom"/>
          </w:tcPr>
          <w:p w14:paraId="023D6333">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1.860 (1.279-2.704)</w:t>
            </w:r>
          </w:p>
        </w:tc>
        <w:tc>
          <w:tcPr>
            <w:tcW w:w="345" w:type="pct"/>
            <w:tcBorders>
              <w:top w:val="nil"/>
              <w:left w:val="nil"/>
              <w:bottom w:val="nil"/>
              <w:right w:val="nil"/>
            </w:tcBorders>
            <w:shd w:val="clear" w:color="auto" w:fill="auto"/>
            <w:noWrap/>
            <w:vAlign w:val="bottom"/>
          </w:tcPr>
          <w:p w14:paraId="22BBD007">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0.001</w:t>
            </w:r>
          </w:p>
        </w:tc>
        <w:tc>
          <w:tcPr>
            <w:tcW w:w="770" w:type="pct"/>
            <w:tcBorders>
              <w:top w:val="nil"/>
              <w:left w:val="nil"/>
              <w:bottom w:val="nil"/>
              <w:right w:val="nil"/>
            </w:tcBorders>
            <w:shd w:val="clear" w:color="auto" w:fill="auto"/>
            <w:noWrap/>
            <w:vAlign w:val="bottom"/>
          </w:tcPr>
          <w:p w14:paraId="7D51871C">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0.003</w:t>
            </w:r>
          </w:p>
        </w:tc>
      </w:tr>
      <w:tr w14:paraId="0133F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jc w:val="center"/>
        </w:trPr>
        <w:tc>
          <w:tcPr>
            <w:tcW w:w="836" w:type="pct"/>
            <w:tcBorders>
              <w:top w:val="nil"/>
              <w:left w:val="nil"/>
              <w:bottom w:val="nil"/>
              <w:right w:val="nil"/>
            </w:tcBorders>
            <w:shd w:val="clear" w:color="auto" w:fill="auto"/>
            <w:noWrap/>
            <w:vAlign w:val="center"/>
          </w:tcPr>
          <w:p w14:paraId="5C373673">
            <w:pPr>
              <w:keepNext w:val="0"/>
              <w:keepLines w:val="0"/>
              <w:widowControl/>
              <w:suppressLineNumbers w:val="0"/>
              <w:snapToGrid w:val="0"/>
              <w:ind w:left="0" w:leftChars="0" w:right="0" w:rightChars="0" w:firstLine="0" w:firstLineChars="0"/>
              <w:jc w:val="both"/>
              <w:textAlignment w:val="center"/>
              <w:rPr>
                <w:rFonts w:hint="eastAsia" w:ascii="Times New Roman" w:hAnsi="Times New Roman" w:eastAsia="宋体" w:cs="Times New Roman"/>
                <w:b/>
                <w:bCs/>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rPr>
              <w:t xml:space="preserve">Sensitivity analysis </w:t>
            </w:r>
            <w:r>
              <w:rPr>
                <w:rFonts w:hint="eastAsia" w:ascii="Times New Roman" w:hAnsi="Times New Roman" w:eastAsia="宋体" w:cs="Times New Roman"/>
                <w:i w:val="0"/>
                <w:iCs w:val="0"/>
                <w:color w:val="000000"/>
                <w:sz w:val="18"/>
                <w:szCs w:val="18"/>
                <w:u w:val="none"/>
                <w:lang w:val="en-US" w:eastAsia="zh-CN"/>
              </w:rPr>
              <w:t>8</w:t>
            </w:r>
          </w:p>
        </w:tc>
        <w:tc>
          <w:tcPr>
            <w:tcW w:w="273" w:type="pct"/>
            <w:tcBorders>
              <w:top w:val="nil"/>
              <w:left w:val="nil"/>
              <w:bottom w:val="nil"/>
              <w:right w:val="nil"/>
            </w:tcBorders>
            <w:shd w:val="clear" w:color="auto" w:fill="auto"/>
            <w:noWrap/>
            <w:vAlign w:val="bottom"/>
          </w:tcPr>
          <w:p w14:paraId="51838313">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2072</w:t>
            </w:r>
          </w:p>
        </w:tc>
        <w:tc>
          <w:tcPr>
            <w:tcW w:w="792" w:type="pct"/>
            <w:tcBorders>
              <w:top w:val="nil"/>
              <w:left w:val="nil"/>
              <w:bottom w:val="nil"/>
              <w:right w:val="nil"/>
            </w:tcBorders>
            <w:shd w:val="clear" w:color="auto" w:fill="auto"/>
            <w:noWrap/>
            <w:vAlign w:val="bottom"/>
          </w:tcPr>
          <w:p w14:paraId="11AD900B">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1.002 (1.000-1.004)</w:t>
            </w:r>
          </w:p>
        </w:tc>
        <w:tc>
          <w:tcPr>
            <w:tcW w:w="340" w:type="pct"/>
            <w:tcBorders>
              <w:top w:val="nil"/>
              <w:left w:val="nil"/>
              <w:bottom w:val="nil"/>
              <w:right w:val="nil"/>
            </w:tcBorders>
            <w:shd w:val="clear" w:color="auto" w:fill="auto"/>
            <w:noWrap/>
            <w:vAlign w:val="bottom"/>
          </w:tcPr>
          <w:p w14:paraId="4375DB4F">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0.019</w:t>
            </w:r>
          </w:p>
        </w:tc>
        <w:tc>
          <w:tcPr>
            <w:tcW w:w="701" w:type="pct"/>
            <w:tcBorders>
              <w:top w:val="nil"/>
              <w:left w:val="nil"/>
              <w:bottom w:val="nil"/>
              <w:right w:val="nil"/>
            </w:tcBorders>
            <w:shd w:val="clear" w:color="auto" w:fill="auto"/>
            <w:noWrap/>
            <w:vAlign w:val="bottom"/>
          </w:tcPr>
          <w:p w14:paraId="23C59A13">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0.024</w:t>
            </w:r>
          </w:p>
        </w:tc>
        <w:tc>
          <w:tcPr>
            <w:tcW w:w="103" w:type="pct"/>
            <w:tcBorders>
              <w:top w:val="nil"/>
              <w:left w:val="nil"/>
              <w:bottom w:val="nil"/>
              <w:right w:val="nil"/>
            </w:tcBorders>
            <w:shd w:val="clear" w:color="auto" w:fill="auto"/>
            <w:noWrap/>
            <w:vAlign w:val="center"/>
          </w:tcPr>
          <w:p w14:paraId="7501A218">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p>
        </w:tc>
        <w:tc>
          <w:tcPr>
            <w:tcW w:w="835" w:type="pct"/>
            <w:tcBorders>
              <w:top w:val="nil"/>
              <w:left w:val="nil"/>
              <w:bottom w:val="nil"/>
              <w:right w:val="nil"/>
            </w:tcBorders>
            <w:shd w:val="clear" w:color="auto" w:fill="auto"/>
            <w:noWrap/>
            <w:vAlign w:val="bottom"/>
          </w:tcPr>
          <w:p w14:paraId="3A71AD6D">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5.894 (1.670-20.798)</w:t>
            </w:r>
          </w:p>
        </w:tc>
        <w:tc>
          <w:tcPr>
            <w:tcW w:w="345" w:type="pct"/>
            <w:tcBorders>
              <w:top w:val="nil"/>
              <w:left w:val="nil"/>
              <w:bottom w:val="nil"/>
              <w:right w:val="nil"/>
            </w:tcBorders>
            <w:shd w:val="clear" w:color="auto" w:fill="auto"/>
            <w:noWrap/>
            <w:vAlign w:val="bottom"/>
          </w:tcPr>
          <w:p w14:paraId="509B07BC">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0.006</w:t>
            </w:r>
          </w:p>
        </w:tc>
        <w:tc>
          <w:tcPr>
            <w:tcW w:w="770" w:type="pct"/>
            <w:tcBorders>
              <w:top w:val="nil"/>
              <w:left w:val="nil"/>
              <w:bottom w:val="nil"/>
              <w:right w:val="nil"/>
            </w:tcBorders>
            <w:shd w:val="clear" w:color="auto" w:fill="auto"/>
            <w:noWrap/>
            <w:vAlign w:val="bottom"/>
          </w:tcPr>
          <w:p w14:paraId="24C93E21">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0.010</w:t>
            </w:r>
          </w:p>
        </w:tc>
      </w:tr>
      <w:tr w14:paraId="41CA3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8" w:hRule="atLeast"/>
          <w:jc w:val="center"/>
        </w:trPr>
        <w:tc>
          <w:tcPr>
            <w:tcW w:w="836" w:type="pct"/>
            <w:tcBorders>
              <w:top w:val="nil"/>
              <w:left w:val="nil"/>
              <w:bottom w:val="single" w:color="auto" w:sz="4" w:space="0"/>
              <w:right w:val="nil"/>
            </w:tcBorders>
            <w:shd w:val="clear" w:color="auto" w:fill="auto"/>
            <w:noWrap/>
            <w:vAlign w:val="center"/>
          </w:tcPr>
          <w:p w14:paraId="339C58EC">
            <w:pPr>
              <w:keepNext w:val="0"/>
              <w:keepLines w:val="0"/>
              <w:widowControl/>
              <w:suppressLineNumbers w:val="0"/>
              <w:snapToGrid w:val="0"/>
              <w:ind w:left="0" w:leftChars="0" w:right="0" w:rightChars="0" w:firstLine="0" w:firstLineChars="0"/>
              <w:jc w:val="both"/>
              <w:textAlignment w:val="center"/>
              <w:rPr>
                <w:rFonts w:hint="eastAsia"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rPr>
              <w:t xml:space="preserve">Sensitivity analysis </w:t>
            </w:r>
            <w:r>
              <w:rPr>
                <w:rFonts w:hint="eastAsia" w:ascii="Times New Roman" w:hAnsi="Times New Roman" w:eastAsia="宋体" w:cs="Times New Roman"/>
                <w:i w:val="0"/>
                <w:iCs w:val="0"/>
                <w:color w:val="000000"/>
                <w:sz w:val="18"/>
                <w:szCs w:val="18"/>
                <w:u w:val="none"/>
                <w:lang w:val="en-US" w:eastAsia="zh-CN"/>
              </w:rPr>
              <w:t>9</w:t>
            </w:r>
          </w:p>
        </w:tc>
        <w:tc>
          <w:tcPr>
            <w:tcW w:w="273" w:type="pct"/>
            <w:tcBorders>
              <w:top w:val="nil"/>
              <w:left w:val="nil"/>
              <w:bottom w:val="single" w:color="auto" w:sz="4" w:space="0"/>
              <w:right w:val="nil"/>
            </w:tcBorders>
            <w:shd w:val="clear" w:color="auto" w:fill="auto"/>
            <w:noWrap/>
            <w:vAlign w:val="bottom"/>
          </w:tcPr>
          <w:p w14:paraId="5CDE0CE3">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2072</w:t>
            </w:r>
          </w:p>
        </w:tc>
        <w:tc>
          <w:tcPr>
            <w:tcW w:w="1702" w:type="dxa"/>
            <w:tcBorders>
              <w:top w:val="nil"/>
              <w:left w:val="nil"/>
              <w:bottom w:val="single" w:color="auto" w:sz="4" w:space="0"/>
              <w:right w:val="nil"/>
            </w:tcBorders>
            <w:shd w:val="clear" w:color="auto" w:fill="auto"/>
            <w:noWrap/>
            <w:vAlign w:val="bottom"/>
          </w:tcPr>
          <w:p w14:paraId="68609267">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1.001 (1.000-1.001)</w:t>
            </w:r>
          </w:p>
        </w:tc>
        <w:tc>
          <w:tcPr>
            <w:tcW w:w="730" w:type="dxa"/>
            <w:tcBorders>
              <w:top w:val="nil"/>
              <w:left w:val="nil"/>
              <w:bottom w:val="single" w:color="auto" w:sz="4" w:space="0"/>
              <w:right w:val="nil"/>
            </w:tcBorders>
            <w:shd w:val="clear" w:color="auto" w:fill="auto"/>
            <w:noWrap/>
            <w:vAlign w:val="bottom"/>
          </w:tcPr>
          <w:p w14:paraId="01A04E8C">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&lt;0.001</w:t>
            </w:r>
          </w:p>
        </w:tc>
        <w:tc>
          <w:tcPr>
            <w:tcW w:w="1506" w:type="dxa"/>
            <w:tcBorders>
              <w:top w:val="nil"/>
              <w:left w:val="nil"/>
              <w:bottom w:val="single" w:color="auto" w:sz="4" w:space="0"/>
              <w:right w:val="nil"/>
            </w:tcBorders>
            <w:shd w:val="clear" w:color="auto" w:fill="auto"/>
            <w:noWrap/>
            <w:vAlign w:val="bottom"/>
          </w:tcPr>
          <w:p w14:paraId="6F0FFA01">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&lt;0.001</w:t>
            </w:r>
          </w:p>
        </w:tc>
        <w:tc>
          <w:tcPr>
            <w:tcW w:w="103" w:type="pct"/>
            <w:tcBorders>
              <w:top w:val="nil"/>
              <w:left w:val="nil"/>
              <w:bottom w:val="single" w:color="auto" w:sz="4" w:space="0"/>
              <w:right w:val="nil"/>
            </w:tcBorders>
            <w:shd w:val="clear" w:color="auto" w:fill="auto"/>
            <w:noWrap/>
            <w:vAlign w:val="center"/>
          </w:tcPr>
          <w:p w14:paraId="3CF383F0">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p>
        </w:tc>
        <w:tc>
          <w:tcPr>
            <w:tcW w:w="1794" w:type="dxa"/>
            <w:tcBorders>
              <w:top w:val="nil"/>
              <w:left w:val="nil"/>
              <w:bottom w:val="single" w:color="auto" w:sz="4" w:space="0"/>
              <w:right w:val="nil"/>
            </w:tcBorders>
            <w:shd w:val="clear" w:color="auto" w:fill="auto"/>
            <w:noWrap/>
            <w:vAlign w:val="bottom"/>
          </w:tcPr>
          <w:p w14:paraId="1DC1D385">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2.113 (1.398-3.192)</w:t>
            </w:r>
          </w:p>
        </w:tc>
        <w:tc>
          <w:tcPr>
            <w:tcW w:w="742" w:type="dxa"/>
            <w:tcBorders>
              <w:top w:val="nil"/>
              <w:left w:val="nil"/>
              <w:bottom w:val="single" w:color="auto" w:sz="4" w:space="0"/>
              <w:right w:val="nil"/>
            </w:tcBorders>
            <w:shd w:val="clear" w:color="auto" w:fill="auto"/>
            <w:noWrap/>
            <w:vAlign w:val="bottom"/>
          </w:tcPr>
          <w:p w14:paraId="58E5D201">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&lt;0.001</w:t>
            </w:r>
          </w:p>
        </w:tc>
        <w:tc>
          <w:tcPr>
            <w:tcW w:w="1654" w:type="dxa"/>
            <w:tcBorders>
              <w:top w:val="nil"/>
              <w:left w:val="nil"/>
              <w:bottom w:val="single" w:color="auto" w:sz="4" w:space="0"/>
              <w:right w:val="nil"/>
            </w:tcBorders>
            <w:shd w:val="clear" w:color="auto" w:fill="auto"/>
            <w:noWrap/>
            <w:vAlign w:val="bottom"/>
          </w:tcPr>
          <w:p w14:paraId="4641B72A">
            <w:pPr>
              <w:keepNext w:val="0"/>
              <w:keepLines w:val="0"/>
              <w:widowControl/>
              <w:suppressLineNumbers w:val="0"/>
              <w:snapToGrid w:val="0"/>
              <w:ind w:right="0" w:rightChars="0"/>
              <w:jc w:val="center"/>
              <w:textAlignment w:val="center"/>
              <w:rPr>
                <w:rFonts w:hint="default" w:ascii="Times New Roman" w:hAnsi="Times New Roman" w:eastAsia="宋体" w:cs="Times New Roman"/>
                <w:i w:val="0"/>
                <w:iCs w:val="0"/>
                <w:color w:val="000000"/>
                <w:sz w:val="18"/>
                <w:szCs w:val="18"/>
                <w:u w:val="none"/>
                <w:lang w:val="en-US" w:eastAsia="zh-CN"/>
              </w:rPr>
            </w:pPr>
            <w:r>
              <w:rPr>
                <w:rFonts w:hint="default" w:ascii="Times New Roman" w:hAnsi="Times New Roman" w:eastAsia="宋体" w:cs="Times New Roman"/>
                <w:i w:val="0"/>
                <w:iCs w:val="0"/>
                <w:color w:val="000000"/>
                <w:sz w:val="18"/>
                <w:szCs w:val="18"/>
                <w:u w:val="none"/>
                <w:lang w:val="en-US" w:eastAsia="zh-CN"/>
              </w:rPr>
              <w:t>0.001</w:t>
            </w:r>
          </w:p>
        </w:tc>
      </w:tr>
    </w:tbl>
    <w:p w14:paraId="56E017D5">
      <w:pPr>
        <w:jc w:val="both"/>
        <w:rPr>
          <w:rFonts w:hint="default" w:ascii="Times New Roman" w:hAnsi="Times New Roman" w:cs="Times New Roman"/>
        </w:rPr>
      </w:pPr>
      <w:r>
        <w:rPr>
          <w:rFonts w:hint="default" w:ascii="Times New Roman" w:hAnsi="Times New Roman" w:cs="Times New Roman"/>
          <w:b/>
          <w:bCs/>
        </w:rPr>
        <w:t>Note:</w:t>
      </w:r>
      <w:r>
        <w:rPr>
          <w:rFonts w:hint="default" w:ascii="Times New Roman" w:hAnsi="Times New Roman" w:cs="Times New Roman"/>
        </w:rPr>
        <w:t xml:space="preserve"> All models were adjusted for covariates as in Model 2 (adjusted for gender, age, smoke, alcohol, exercise). Sensitivity analysis 1: excluding participants aged ≥70 years. Sensitivity analysis 2: additional adjustment for baseline CKM stage (0, 1, or 2). Sensitivity analysis 3: excluding participants with hypertension. Sensitivity analysis 4: excluding participants with diabetes. Sensitivity analysis 5: excluding participants with antihypertensive medications. Sensitivity analysis 6: excluding participants with diabetes drugs. Sensitivity analysis 7: Stage 3 as outcome. Sensitivity analysis 8: Stage 4 as outcome. Categorical index indicates the comparison of the highest quartile (Q4) versus the lowest quartile (Q1). Sensitivity analysis 9: advanced CKM syndrome was redefined to exclude Stage 3 events identified solely by eGFR &lt; 30 mL/min/1.73 m².</w:t>
      </w:r>
      <w:r>
        <w:rPr>
          <w:rFonts w:hint="eastAsia" w:ascii="Times New Roman" w:hAnsi="Times New Roman" w:cs="Times New Roman"/>
          <w:lang w:val="en-US" w:eastAsia="zh-CN"/>
        </w:rPr>
        <w:t xml:space="preserve"> </w:t>
      </w:r>
      <w:r>
        <w:rPr>
          <w:rFonts w:hint="default" w:ascii="Times New Roman" w:hAnsi="Times New Roman" w:cs="Times New Roman"/>
        </w:rPr>
        <w:t xml:space="preserve">FDR-adjusted </w:t>
      </w:r>
      <w:r>
        <w:rPr>
          <w:rFonts w:hint="default" w:ascii="Times New Roman" w:hAnsi="Times New Roman" w:cs="Times New Roman"/>
          <w:i/>
          <w:iCs/>
        </w:rPr>
        <w:t>P</w:t>
      </w:r>
      <w:r>
        <w:rPr>
          <w:rFonts w:hint="default" w:ascii="Times New Roman" w:hAnsi="Times New Roman" w:cs="Times New Roman"/>
        </w:rPr>
        <w:t xml:space="preserve"> denotes the Benjamini–Hochberg false discovery rate-adjusted </w:t>
      </w:r>
      <w:r>
        <w:rPr>
          <w:rFonts w:hint="default" w:ascii="Times New Roman" w:hAnsi="Times New Roman" w:cs="Times New Roman"/>
          <w:i/>
          <w:iCs/>
        </w:rPr>
        <w:t>P</w:t>
      </w:r>
      <w:r>
        <w:rPr>
          <w:rFonts w:hint="default" w:ascii="Times New Roman" w:hAnsi="Times New Roman" w:cs="Times New Roman"/>
        </w:rPr>
        <w:t xml:space="preserve"> value.</w:t>
      </w:r>
    </w:p>
    <w:p w14:paraId="149B4420">
      <w:pPr>
        <w:rPr>
          <w:rFonts w:hint="default" w:ascii="Times New Roman" w:hAnsi="Times New Roman" w:cs="Times New Roman" w:eastAsiaTheme="minorEastAsia"/>
          <w:b w:val="0"/>
          <w:bCs w:val="0"/>
          <w:lang w:val="en-US" w:eastAsia="zh-CN"/>
        </w:rPr>
      </w:pPr>
      <w:bookmarkStart w:id="1" w:name="_GoBack"/>
      <w:bookmarkEnd w:id="1"/>
    </w:p>
    <w:p w14:paraId="5FD842FC">
      <w:pPr>
        <w:rPr>
          <w:rFonts w:hint="eastAsia" w:ascii="Times New Roman" w:hAnsi="Times New Roman" w:cs="Times New Roman" w:eastAsiaTheme="minorEastAsia"/>
          <w:lang w:eastAsia="zh-CN"/>
        </w:rPr>
      </w:pPr>
    </w:p>
    <w:p w14:paraId="2C844A66">
      <w:pPr>
        <w:rPr>
          <w:rFonts w:hint="eastAsia" w:ascii="Times New Roman" w:hAnsi="Times New Roman" w:cs="Times New Roman" w:eastAsiaTheme="minorEastAsia"/>
          <w:lang w:eastAsia="zh-CN"/>
        </w:rPr>
      </w:pPr>
    </w:p>
    <w:p w14:paraId="37B5EE7B">
      <w:pPr>
        <w:rPr>
          <w:rFonts w:hint="eastAsia" w:ascii="Times New Roman" w:hAnsi="Times New Roman" w:cs="Times New Roman" w:eastAsiaTheme="minorEastAsia"/>
          <w:color w:val="auto"/>
          <w:lang w:eastAsia="zh-CN"/>
        </w:rPr>
      </w:pPr>
    </w:p>
    <w:p w14:paraId="4A9C083E">
      <w:pPr>
        <w:rPr>
          <w:rFonts w:hint="eastAsia" w:ascii="Times New Roman" w:hAnsi="Times New Roman" w:cs="Times New Roman" w:eastAsiaTheme="minorEastAsia"/>
          <w:color w:val="auto"/>
          <w:lang w:eastAsia="zh-CN"/>
        </w:rPr>
      </w:pPr>
    </w:p>
    <w:p w14:paraId="4D4CF447">
      <w:pPr>
        <w:rPr>
          <w:rFonts w:hint="eastAsia" w:ascii="Times New Roman" w:hAnsi="Times New Roman" w:cs="Times New Roman" w:eastAsiaTheme="minorEastAsia"/>
          <w:color w:val="auto"/>
          <w:lang w:eastAsia="zh-CN"/>
        </w:rPr>
      </w:pPr>
    </w:p>
    <w:p w14:paraId="113037A8">
      <w:pPr>
        <w:rPr>
          <w:rFonts w:hint="eastAsia" w:ascii="Times New Roman" w:hAnsi="Times New Roman" w:cs="Times New Roman" w:eastAsiaTheme="minorEastAsia"/>
          <w:color w:val="auto"/>
          <w:lang w:eastAsia="zh-CN"/>
        </w:rPr>
      </w:pPr>
    </w:p>
    <w:p w14:paraId="3F7A498D">
      <w:pPr>
        <w:numPr>
          <w:ilvl w:val="0"/>
          <w:numId w:val="4"/>
        </w:numPr>
        <w:ind w:left="425" w:leftChars="0" w:hanging="425" w:firstLineChars="0"/>
        <w:rPr>
          <w:rFonts w:hint="eastAsia" w:ascii="Times New Roman" w:hAnsi="Times New Roman" w:cs="Times New Roman" w:eastAsiaTheme="minorEastAsia"/>
          <w:color w:val="auto"/>
          <w:lang w:eastAsia="zh-CN"/>
        </w:rPr>
      </w:pPr>
      <w:r>
        <w:rPr>
          <w:rFonts w:hint="default" w:ascii="Times New Roman" w:hAnsi="Times New Roman" w:cs="Times New Roman"/>
        </w:rPr>
        <w:t>Ndumele CE, Rangaswami J, Chow SL, et al. Cardiovascular-kidney-metabolic health: a presidential advisory from the American Heart Association. Circulation. 2023;148(20):1606-1635.</w:t>
      </w:r>
    </w:p>
    <w:p w14:paraId="339F4BDC">
      <w:pPr>
        <w:numPr>
          <w:ilvl w:val="0"/>
          <w:numId w:val="4"/>
        </w:numPr>
        <w:ind w:left="425" w:leftChars="0" w:hanging="425" w:firstLineChars="0"/>
        <w:jc w:val="both"/>
        <w:rPr>
          <w:rFonts w:hint="default" w:ascii="Times New Roman" w:hAnsi="Times New Roman" w:cs="Times New Roman"/>
        </w:rPr>
      </w:pPr>
      <w:bookmarkStart w:id="0" w:name="_Ref25391"/>
      <w:r>
        <w:rPr>
          <w:rFonts w:hint="default" w:ascii="Times New Roman" w:hAnsi="Times New Roman" w:cs="Times New Roman"/>
        </w:rPr>
        <w:t>KDIGO 2024 Clinical Practice Guideline for the Evaluation and Management of Chronic Kidney Disease. Kidney Int 2024, 105(4s):S117-s314.</w:t>
      </w:r>
      <w:bookmarkEnd w:id="0"/>
    </w:p>
    <w:p w14:paraId="23CC8E01">
      <w:pPr>
        <w:numPr>
          <w:ilvl w:val="0"/>
          <w:numId w:val="4"/>
        </w:numPr>
        <w:ind w:left="425" w:leftChars="0" w:hanging="425" w:firstLineChars="0"/>
        <w:rPr>
          <w:rFonts w:hint="eastAsia" w:ascii="Times New Roman" w:hAnsi="Times New Roman" w:cs="Times New Roman" w:eastAsiaTheme="minorEastAsia"/>
          <w:color w:val="auto"/>
          <w:lang w:eastAsia="zh-CN"/>
        </w:rPr>
      </w:pPr>
      <w:r>
        <w:rPr>
          <w:rFonts w:hint="eastAsia" w:ascii="Times New Roman" w:hAnsi="Times New Roman" w:cs="Times New Roman" w:eastAsiaTheme="minorEastAsia"/>
          <w:color w:val="auto"/>
          <w:lang w:eastAsia="zh-CN"/>
        </w:rPr>
        <w:t xml:space="preserve">Inker LA, Eneanya ND, Coresh J, et al. New Creatinine- and Cystatin C-Based Equations to Estimate GFR without Race. N Engl J Med. 2021;385(19):1737-1749.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var(--dsw-font-markdown-table-h">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var(--dsw-font-markdown-table)">
    <w:altName w:val="FFont-Family"/>
    <w:panose1 w:val="00000000000000000000"/>
    <w:charset w:val="00"/>
    <w:family w:val="auto"/>
    <w:pitch w:val="default"/>
    <w:sig w:usb0="00000000" w:usb1="00000000" w:usb2="00000000" w:usb3="00000000" w:csb0="00000000" w:csb1="00000000"/>
  </w:font>
  <w:font w:name="var(--ds-font-family-code)">
    <w:altName w:val="FFont-Family"/>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0F87A5"/>
    <w:multiLevelType w:val="singleLevel"/>
    <w:tmpl w:val="9A0F87A5"/>
    <w:lvl w:ilvl="0" w:tentative="0">
      <w:start w:val="1"/>
      <w:numFmt w:val="decimal"/>
      <w:suff w:val="space"/>
      <w:lvlText w:val="(%1)"/>
      <w:lvlJc w:val="left"/>
    </w:lvl>
  </w:abstractNum>
  <w:abstractNum w:abstractNumId="1">
    <w:nsid w:val="9D55D2A5"/>
    <w:multiLevelType w:val="singleLevel"/>
    <w:tmpl w:val="9D55D2A5"/>
    <w:lvl w:ilvl="0" w:tentative="0">
      <w:start w:val="1"/>
      <w:numFmt w:val="decimal"/>
      <w:lvlText w:val="%1."/>
      <w:lvlJc w:val="left"/>
      <w:pPr>
        <w:ind w:left="425" w:hanging="425"/>
      </w:pPr>
      <w:rPr>
        <w:rFonts w:hint="default"/>
      </w:rPr>
    </w:lvl>
  </w:abstractNum>
  <w:abstractNum w:abstractNumId="2">
    <w:nsid w:val="B0DFEC5E"/>
    <w:multiLevelType w:val="singleLevel"/>
    <w:tmpl w:val="B0DFEC5E"/>
    <w:lvl w:ilvl="0" w:tentative="0">
      <w:start w:val="1"/>
      <w:numFmt w:val="decimal"/>
      <w:suff w:val="space"/>
      <w:lvlText w:val="(%1)"/>
      <w:lvlJc w:val="left"/>
    </w:lvl>
  </w:abstractNum>
  <w:abstractNum w:abstractNumId="3">
    <w:nsid w:val="BEE2698A"/>
    <w:multiLevelType w:val="singleLevel"/>
    <w:tmpl w:val="BEE2698A"/>
    <w:lvl w:ilvl="0" w:tentative="0">
      <w:start w:val="1"/>
      <w:numFmt w:val="decimal"/>
      <w:suff w:val="space"/>
      <w:lvlText w:val="(%1)"/>
      <w:lvlJc w:val="left"/>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5A508F"/>
    <w:rsid w:val="03EB7DBF"/>
    <w:rsid w:val="08402959"/>
    <w:rsid w:val="085A508F"/>
    <w:rsid w:val="0A12265E"/>
    <w:rsid w:val="0BB84D66"/>
    <w:rsid w:val="0C745E7C"/>
    <w:rsid w:val="1A3A62E8"/>
    <w:rsid w:val="1B5C7199"/>
    <w:rsid w:val="1B8D0F0D"/>
    <w:rsid w:val="1F2C5185"/>
    <w:rsid w:val="231769C5"/>
    <w:rsid w:val="240A022E"/>
    <w:rsid w:val="254B0AEB"/>
    <w:rsid w:val="287849A4"/>
    <w:rsid w:val="29893D72"/>
    <w:rsid w:val="2EDF0755"/>
    <w:rsid w:val="32DD4FAB"/>
    <w:rsid w:val="3A3556CD"/>
    <w:rsid w:val="3B6126E9"/>
    <w:rsid w:val="3BF71A55"/>
    <w:rsid w:val="3FAA291B"/>
    <w:rsid w:val="470261EE"/>
    <w:rsid w:val="47C15863"/>
    <w:rsid w:val="495C7CDB"/>
    <w:rsid w:val="51FC4FF6"/>
    <w:rsid w:val="573050F9"/>
    <w:rsid w:val="5EA37CEB"/>
    <w:rsid w:val="62720219"/>
    <w:rsid w:val="639A01CB"/>
    <w:rsid w:val="66EA6996"/>
    <w:rsid w:val="67F83B42"/>
    <w:rsid w:val="681C5653"/>
    <w:rsid w:val="6C4A4788"/>
    <w:rsid w:val="6EB7118A"/>
    <w:rsid w:val="71FC2FD5"/>
    <w:rsid w:val="75C27E53"/>
    <w:rsid w:val="76851BD1"/>
    <w:rsid w:val="7B346CFF"/>
    <w:rsid w:val="7C666FFF"/>
    <w:rsid w:val="7FA12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HTML Code"/>
    <w:basedOn w:val="4"/>
    <w:qFormat/>
    <w:uiPriority w:val="0"/>
    <w:rPr>
      <w:rFonts w:ascii="Courier New" w:hAnsi="Courier New"/>
      <w:sz w:val="20"/>
    </w:rPr>
  </w:style>
  <w:style w:type="paragraph" w:customStyle="1" w:styleId="6">
    <w:name w:val="样式1"/>
    <w:basedOn w:val="1"/>
    <w:qFormat/>
    <w:uiPriority w:val="0"/>
    <w:pPr>
      <w:pBdr>
        <w:top w:val="single" w:color="auto" w:sz="12" w:space="1"/>
        <w:left w:val="none" w:color="auto" w:sz="0" w:space="4"/>
        <w:bottom w:val="single" w:color="auto" w:sz="12" w:space="1"/>
        <w:right w:val="none" w:color="auto" w:sz="0" w:space="4"/>
      </w:pBdr>
    </w:pPr>
    <w:rPr>
      <w:rFonts w:hint="default" w:asciiTheme="minorAscii" w:hAnsiTheme="minorAscii"/>
    </w:rPr>
  </w:style>
  <w:style w:type="character" w:customStyle="1" w:styleId="7">
    <w:name w:val="font41"/>
    <w:basedOn w:val="4"/>
    <w:qFormat/>
    <w:uiPriority w:val="0"/>
    <w:rPr>
      <w:rFonts w:hint="default" w:ascii="Times New Roman" w:hAnsi="Times New Roman" w:cs="Times New Roman"/>
      <w:b/>
      <w:bCs/>
      <w:color w:val="000000"/>
      <w:sz w:val="22"/>
      <w:szCs w:val="22"/>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1609</Words>
  <Characters>10153</Characters>
  <Lines>0</Lines>
  <Paragraphs>0</Paragraphs>
  <TotalTime>0</TotalTime>
  <ScaleCrop>false</ScaleCrop>
  <LinksUpToDate>false</LinksUpToDate>
  <CharactersWithSpaces>11524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2026-07-16T14:59:00Z</dcterms:created>
  <dc:creator>近远</dc:creator>
  <cp:lastModifiedBy>近远</cp:lastModifiedBy>
  <dcterms:modified xsi:type="dcterms:W3CDTF">2026-09-15T16:21:18Z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D6EF76391C0641B3973EDD24C927B034_13</vt:lpwstr>
  </property>
  <property fmtid="{D5CDD505-2E9C-101B-9397-08002B2CF9AE}" pid="4" name="KSOTemplateDocerSaveRecord">
    <vt:lpwstr>eyJoZGlkIjoiZWZhNjdiODc5OTdhM2NhMzE5N2UwNmQ1YTM4N2ZmYjciLCJ1c2VySWQiOiIyOTUxMTA4NDEifQ==</vt:lpwstr>
  </property>
</Properties>
</file>