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aa"/>
      </w:pPr>
      <w:r>
        <w:rPr>
          <w:rFonts w:ascii="Times New Roman" w:hAnsi="Times New Roman" w:eastAsia="Times New Roman" w:cs="Times New Roman"/>
        </w:rPr>
        <w:t>Supplementary Material</w:t>
      </w:r>
    </w:p>
    <w:p>
      <w:r>
        <w:rPr>
          <w:rFonts w:ascii="Times New Roman" w:hAnsi="Times New Roman" w:eastAsia="Times New Roman" w:cs="Times New Roman"/>
        </w:rPr>
        <w:t>eGDR, NCCR and incident cardiovascular disease in CHARLS</w:t>
      </w:r>
    </w:p>
    <w:p>
      <w:pPr>
        <w:pStyle w:val="1"/>
      </w:pPr>
      <w:r>
        <w:rPr>
          <w:rFonts w:ascii="Times New Roman" w:hAnsi="Times New Roman" w:eastAsia="Times New Roman" w:cs="Times New Roman"/>
        </w:rPr>
        <w:t>Supplementary methods</w:t>
      </w:r>
    </w:p>
    <w:p>
      <w:r>
        <w:rPr>
          <w:rFonts w:ascii="Times New Roman" w:hAnsi="Times New Roman" w:eastAsia="Times New Roman" w:cs="Times New Roman"/>
        </w:rPr>
        <w:t>The revised primary analysis used the complete-case cohort after exposure trimming and Model 3 covariate assessment (n=4,935; 1,235 incident CVD events). Multiple imputation with 20 completed datasets was retained as a sensitivity analysis because Model 3 covariate missingness was approximately 1%. Unless otherwise specified, numerical estimates are reported to three decimal places.</w:t>
      </w:r>
    </w:p>
    <w:p>
      <w:pPr>
        <w:pStyle w:val="21"/>
      </w:pPr>
      <w:r>
        <w:rPr>
          <w:rFonts w:ascii="Times New Roman" w:hAnsi="Times New Roman" w:eastAsia="Times New Roman" w:cs="Times New Roman"/>
        </w:rPr>
        <w:t>Supplementary Table S1. Sample selection and complete-case restriction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4656"/>
        <w:gridCol w:w="4656"/>
        <w:gridCol w:w="4656"/>
      </w:tblGrid>
      <w:tr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Step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Remaining n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n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CHARLS wave 1 participants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17708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Age &gt;=45 years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17060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648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Known baseline CVD status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16818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242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Free of baseline CVD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14399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2419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Complete eGDR and NCCR components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5953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8446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fasting blood sample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5385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568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BMI between 15 and 45 kg/m2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5334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At least one follow-up wave with CVD information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5191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143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Both eGDR and NCCR within P1-P99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203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Complete Model 3 covariates: final analytic cohort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53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S2. Missingness relevant to Model 3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4656"/>
        <w:gridCol w:w="4656"/>
        <w:gridCol w:w="4656"/>
      </w:tblGrid>
      <w:tr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variable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n_missing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pct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education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married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rural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ever_smoking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ever_drinking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0.04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systolic_bp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1.002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a_dm_nohba1c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a_dyslip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log_crp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egfr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S3. Proportional-hazards diagnostics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term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chisq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df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egdr_z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0.801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0.371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age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0.880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sex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1.583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0.208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education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6.720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0.081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married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1.618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0.203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rural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0.464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0.496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ever_smoking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0.919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ever_drinking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2.178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0.140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systolic_bp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0.967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a_dm_nohba1c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0.927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a_dyslip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0.929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log_crp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0.668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0.414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egfr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0.049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0.825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GLOBAL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14.370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15.000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0.498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nccr_z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1.114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0.291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age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0.996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sex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1.635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education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6.662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0.084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married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1.530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0.216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rural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0.505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0.477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ever_smoking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ever_drinking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2.279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0.131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systolic_bp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0.990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a_dm_nohba1c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0.973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a_dyslip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0.952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log_crp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0.541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0.462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egfr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0.101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0.750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 (continuous)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GLOBAL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13.921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15.000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0.532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joint_group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0.708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0.871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age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0.981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sex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1.579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0.209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education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6.686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0.083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married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1.446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0.229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rural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0.464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0.496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ever_smoking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0.909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ever_drinking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2.187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0.139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systolic_bp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0.996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a_dm_nohba1c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0.991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a_dyslip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0.955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log_crp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0.431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egfr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0.074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0.786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joint group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GLOBAL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13.622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17.000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0.694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S4. Continuous eGDR and NCCR Cox models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3492"/>
        <w:gridCol w:w="3492"/>
        <w:gridCol w:w="3492"/>
        <w:gridCol w:w="3492"/>
      </w:tblGrid>
      <w:tr>
        <w:tc>
          <w:tcPr>
            <w:tcW w:type="dxa" w:w="3492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Exposure</w:t>
            </w:r>
          </w:p>
        </w:tc>
        <w:tc>
          <w:tcPr>
            <w:tcW w:type="dxa" w:w="3492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3492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HR (95% CI)</w:t>
            </w:r>
          </w:p>
        </w:tc>
        <w:tc>
          <w:tcPr>
            <w:tcW w:type="dxa" w:w="3492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0.716 (0.680-0.754)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0.739 (0.702-0.778)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0.735 (0.698-0.774)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0.757 (0.713-0.803)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0.833 (0.785-0.884)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0.843 (0.795-0.894)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0.844 (0.796-0.895)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nccr_z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0.862 (0.809-0.918)</w:t>
            </w:r>
          </w:p>
        </w:tc>
        <w:tc>
          <w:tcPr>
            <w:tcW w:type="dxa" w:w="3492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S5. Quartile eGDR and NCCR Cox models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Exposure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Quartile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HR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0.585 (0.505-0.678)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0.487 (0.418-0.567)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0.439 (0.374-0.515)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0.627 (0.541-0.726)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0.527 (0.452-0.614)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0.472 (0.402-0.554)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0.623 (0.537-0.722)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0.524 (0.449-0.612)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0.466 (0.396-0.547)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0.647 (0.556-0.753)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0.564 (0.478-0.666)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0.516 (0.432-0.616)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0.745 (0.642-0.866)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0.676 (0.580-0.787)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Crude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0.614 (0.523-0.720)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0.760 (0.654-0.883)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0.689 (0.591-0.803)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0.636 (0.542-0.746)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0.764 (0.657-0.888)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0.695 (0.595-0.810)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0.639 (0.544-0.750)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0.786 (0.675-0.915)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0.722 (0.616-0.846)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nccr_quartile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0.672 (0.566-0.798)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S6. Formal interaction analyses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Scale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Measure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Resampling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Continuous (per 1 SD, risk direction)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Multiplicative interaction HR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1.002 (0.950-1.057)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0.932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 imputations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Binary (below vs at/above median, matches submitted Table 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Multiplicative interaction HR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1.071 (0.847-1.356)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0.566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 imputations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Nine-year standardized cumulative risk (binary low indicators)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RERI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0.023 (-0.031-0.077)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0.424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 bootstrap samples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Nine-year standardized cumulative risk (binary low indicators)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AP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0.067 (-0.091-0.223)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0.424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 bootstrap samples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Nine-year standardized cumulative risk (binary low indicators)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SI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1.507 (0.792-3.498)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0.426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 bootstrap samples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S7. Prediction performance at 2, 4, 7, and 9 years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4656"/>
        <w:gridCol w:w="4656"/>
        <w:gridCol w:w="4656"/>
      </w:tblGrid>
      <w:tr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Year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AUC (95% CI)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0.580 (0.521-0.643)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0.609 (0.576-0.641)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0.608 (0.586-0.631)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0.618 (0.595-0.640)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0.598 (0.539-0.661)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0.619 (0.586-0.652)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0.612 (0.589-0.635)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0.623 (0.600-0.645)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0.598 (0.539-0.661)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0.630 (0.596-0.662)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0.627 (0.605-0.649)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0.638 (0.617-0.660)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0.602 (0.543-0.665)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0.632 (0.597-0.664)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0.626 (0.604-0.649)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0.638 (0.617-0.661)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S8. AUC differences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Reference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Year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Difference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0.019 (-0.008-0.042)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P=0.116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0.010 (-0.003-0.022)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P=0.142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0.004 (-0.007-0.012)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P=0.398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0.005 (-0.007-0.013)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P=0.318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0.018 (-0.018-0.053)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P=0.304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0.021 (-0.001-0.042)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P=0.062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0.019 (0.003-0.032)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P=0.026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0.021 (0.005-0.033)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P=0.012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0.022 (-0.015-0.059)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P=0.248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0.023 (-0.001-0.045)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P=0.056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0.018 (0.002-0.032)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P=0.032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0.020 (0.004-0.033)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P=0.018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0.004 (-0.028-0.034)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P=0.780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0.013 (-0.007-0.030)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P=0.204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0.014 (-0.000-0.025)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P=0.054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0.015 (0.001-0.026)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P=0.038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0.004 (-0.006-0.015)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P=0.312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0.002 (-0.004-0.007)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P=0.452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-0.001 (-0.006-0.003)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P=0.992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-0.000 (-0.006-0.003)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P=0.844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S9. Category-free NRI and IDI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1995"/>
        <w:gridCol w:w="1995"/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Reference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Year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Metric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Valid perturbations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0.002 (0.000-0.004)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0.099 (0.019-0.184)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 (0.000-0.002)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0.066 (0.000-0.170)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0.048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0.000 (-0.000-0.001)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0.096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0.070 (-0.035-0.143)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0.143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 (-0.000-0.003)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0.120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0.070 (-0.027-0.159)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0.120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0.006 (0.000-0.012)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0.096 (-0.006-0.178)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0.003 (0.001-0.006)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0.063 (-0.003-0.168)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0.056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 (-0.000-0.003)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0.080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0.067 (-0.033-0.151)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0.151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0.004 (-0.001-0.009)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0.112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0.072 (-0.028-0.153)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0.120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0.018 (0.010-0.029)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0.149 (0.082-0.206)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0.006 (0.002-0.012)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0.097 (0.041-0.147)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0.002 (0.000-0.004)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0.056 (-0.005-0.094)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0.013 (0.007-0.022)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0.107 (0.058-0.163)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0.020 (0.012-0.029)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0.148 (0.113-0.190)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0.005 (0.002-0.010)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0.055 (0.017-0.092)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0.001 (0.000-0.003)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-0.005 (-0.028-0.044)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&gt;0.99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IDI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0.016 (0.009-0.024)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eGDR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NCCR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NRI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0.121 (0.084-0.157)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</w:tbl>
    <w:p>
      <w:r>
        <w:rPr>
          <w:rFonts w:ascii="Times New Roman" w:hAnsi="Times New Roman" w:eastAsia="Times New Roman" w:cs="Times New Roman"/>
        </w:rPr>
        <w:t>NRI/IDI were treated as supplementary. The table reports the actual valid perturbation count; records with 250 valid perturbations are not described as 1,000-repeat results.</w:t>
      </w:r>
    </w:p>
    <w:p>
      <w:pPr>
        <w:pStyle w:val="21"/>
      </w:pPr>
      <w:r>
        <w:rPr>
          <w:rFonts w:ascii="Times New Roman" w:hAnsi="Times New Roman" w:eastAsia="Times New Roman" w:cs="Times New Roman"/>
        </w:rPr>
        <w:t>Supplementary Table S10. Construct validity and body-weight coupling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Marker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measure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Partial r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Spearman rho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Absolute grip strength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-0.082 (-0.112--0.052)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strength/body weight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0.255 (0.227-0.282)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0.294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strength/BMI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0.163 (0.134-0.192)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0.205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Absolute grip strength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0.111 (0.081-0.140)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0.384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strength/body weight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-0.009 (-0.038-0.021)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0.234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0.548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strength/BMI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0.013 (-0.017-0.043)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0.308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0.370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Absolute grip strength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-0.074 (-0.104--0.045)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strength/body weight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0.269 (0.241-0.296)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0.327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eGDR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Grip strength/BMI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0.222 (0.193-0.250)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0.261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</w:tbl>
    <w:p>
      <w:r>
        <w:rPr>
          <w:rFonts w:ascii="Times New Roman" w:hAnsi="Times New Roman" w:eastAsia="Times New Roman" w:cs="Times New Roman"/>
        </w:rPr>
        <w:t>NCCR was retained as a literature-supported relative, body-weight-normalized muscle-metabolic biomarker. The construct-validity analyses show that NCCR tracks relative grip indices more clearly than absolute grip strength and also includes substantial body-weight information.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Indicator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HR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CCR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0.969 (0.901-1.043)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0.404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NCCR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0.862 (0.809-0.918)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</w:tbl>
    <w:p>
      <w:r>
        <w:rPr>
          <w:rFonts w:ascii="Times New Roman" w:hAnsi="Times New Roman" w:eastAsia="Times New Roman" w:cs="Times New Roman"/>
        </w:rPr>
        <w:t>Both estimates use the final complete-case cohort and Model 3. NCCR was associated with incident CVD, whereas unnormalized CCR was not independently associated after adjustment. This divergence supports distinguishing a relative body-weight-normalized phenotype from an absolute creatinine-to-cystatin C phenotype.</w:t>
      </w:r>
    </w:p>
    <w:p>
      <w:pPr>
        <w:pStyle w:val="21"/>
      </w:pPr>
      <w:r>
        <w:rPr>
          <w:rFonts w:ascii="Times New Roman" w:hAnsi="Times New Roman" w:eastAsia="Times New Roman" w:cs="Times New Roman"/>
        </w:rPr>
        <w:t>Supplementary Table S11. Sensitivity analyses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328"/>
        <w:gridCol w:w="2328"/>
        <w:gridCol w:w="2328"/>
        <w:gridCol w:w="2328"/>
        <w:gridCol w:w="2328"/>
        <w:gridCol w:w="2328"/>
      </w:tblGrid>
      <w:tr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Category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Analysis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HR (95% CI)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Primary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Primary P1-P99 complete-case analysis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0.629 (0.538-0.734)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Extreme values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Untrimmed cohort (recalculated cut points)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5138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1301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0.618 (0.531-0.719)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 time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 time at interval midpoint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0.623 (0.534-0.728)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Reverse causation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events within first 2 years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4787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1087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0.620 (0.526-0.731)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Reverse causation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events within first 4 years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4490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790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0.651 (0.537-0.789)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Adjustment set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2 (fewer clinical covariates)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0.555 (0.480-0.642)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Adjustment set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Submitted-version adjustment set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4839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1213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0.643 (0.549-0.754)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Body size and muscle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BMI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0.707 (0.585-0.855)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Body size and muscle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waist circumference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0.684 (0.559-0.836)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Body size and muscle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body weight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1235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0.773 (0.635-0.942)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Metabolic conditions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baseline hypertension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3017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632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0.762 (0.618-0.941)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Body size and muscle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+ grip strength (potential overadjustment)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3141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800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0.604 (0.514-0.710)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Kidney function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without eGFR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3141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800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0.598 (0.510-0.700)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Kidney function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with BUN and self-reported kidney disease instead of eGFR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3131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798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0.599 (0.511-0.702)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Kidney function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CKD (eGFR &lt;60)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3025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774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0.625 (0.531-0.736)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Metabolic conditions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Excluded baseline diabetes (composite definition)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2737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692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0.624 (0.526-0.740)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Loss to follow-up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IPW for follow-up through event or 2020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2682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790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0.602 (0.511-0.708)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Loss to follow-up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Restricted to complete follow-up through 2020 or incident CVD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2682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790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0.615 (0.523-0.723)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</w:tr>
    </w:tbl>
    <w:p>
      <w:r>
        <w:rPr>
          <w:rFonts w:ascii="Times New Roman" w:hAnsi="Times New Roman" w:eastAsia="Times New Roman" w:cs="Times New Roman"/>
        </w:rPr>
        <w:t>Additional BMI adjustment attenuated but did not remove the joint association. Direct body-weight adjustment produced greater attenuation because body weight is the denominator of NCCR and is therefore a component-removal analysis as well as a confounding analysis.</w:t>
      </w:r>
    </w:p>
    <w:p>
      <w:pPr>
        <w:pStyle w:val="21"/>
      </w:pPr>
      <w:r>
        <w:rPr>
          <w:rFonts w:ascii="Times New Roman" w:hAnsi="Times New Roman" w:eastAsia="Times New Roman" w:cs="Times New Roman"/>
        </w:rPr>
        <w:t>Supplementary Table S12. Component and competing-risk outcomes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Analysis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Incident heart disease, high eGDR + high NCCR vs low eGDR + low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3141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615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0.630 (0.524-0.756)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Incident stroke, high eGDR + high NCCR vs low eGDR + low NCCR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3141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272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0.539 (0.405-0.716)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Heart disease, eGDR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956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0.761 (0.711-0.814)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Heart disease, NCCR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956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0.839 (0.781-0.902)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Stroke, eGDR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429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0.732 (0.664-0.807)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Stroke, NCCR per SD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429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0.902 (0.812-1.003)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P=0.057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Fine-Gray CVD with death as competing event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3108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790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0.628 (0.539-0.730)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</w:tbl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6984"/>
        <w:gridCol w:w="6984"/>
      </w:tblGrid>
      <w:tr>
        <w:tc>
          <w:tcPr>
            <w:tcW w:type="dxa" w:w="698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Death-data audit item</w:t>
            </w:r>
          </w:p>
        </w:tc>
        <w:tc>
          <w:tcPr>
            <w:tcW w:type="dxa" w:w="698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Value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Exposure- and follow-up-eligible P1-P99 cohort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Death status available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4988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Deaths during follow-up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590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Deaths with recorded death year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589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Row-level missingness of death follow-up time (%)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88.19</w:t>
            </w:r>
          </w:p>
        </w:tc>
      </w:tr>
      <w:tr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Interpretation</w:t>
            </w:r>
          </w:p>
        </w:tc>
        <w:tc>
          <w:tcPr>
            <w:tcW w:type="dxa" w:w="698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Missing death time is concentrated among survivors because a death year is only defined for deceased participants; this is structural missingness, not missing death status.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S13. Discrete-time sensitivity model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Analysis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Person-periods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Discrete-time logistic (pooled MI)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10208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800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0.592 (0.500-0.702)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P&lt;0.001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S14. Associations of 2011 exposures with 2015 body-size variables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4656"/>
        <w:gridCol w:w="4656"/>
        <w:gridCol w:w="4656"/>
      </w:tblGrid>
      <w:tr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Structural assumption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Status</w:t>
            </w:r>
          </w:p>
        </w:tc>
        <w:tc>
          <w:tcPr>
            <w:tcW w:type="dxa" w:w="4656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Interpretation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(1) No unmeasured exposure-outcome confounding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Assumed, conditional on Model 3 covariates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Model 3 covariates (age, sex, education, marital status, rural residence, smoking, drinking, systolic blood pressure, diabetes, dyslipidaemia, log CRP and eGFR) are assumed to capture confounding of the exposure-outcome relation.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(2) No unmeasured mediator-outcome confounding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Assumed, conditional on Model 3 covariates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No unmeasured common cause of the 2015 mediator and incident CVD is assumed beyond the same covariate set.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(3) No unmeasured exposure-mediator confounding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Assumed, conditional on Model 3 covariates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No unmeasured common cause of the 2011 exposure and the 2015 mediator is assumed beyond the same covariate set.</w:t>
            </w:r>
          </w:p>
        </w:tc>
      </w:tr>
      <w:tr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(4) No mediator-outcome confounder affected by the exposure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Relaxed in the g-formula analysis by modelling post-exposure body size (BMI in 2015 and change in waist circumference) as post-exposure confounders (postc)</w:t>
            </w:r>
          </w:p>
        </w:tc>
        <w:tc>
          <w:tcPr>
            <w:tcW w:type="dxa" w:w="4656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Body size in 2015 is plausibly affected by the 2011 exposure and affects both the mediator and the outcome. The 'rb' estimator does not accommodate such a variable; the mediational g-formula does, so both are reported and compared.</w:t>
            </w:r>
          </w:p>
        </w:tc>
      </w:tr>
    </w:tbl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328"/>
        <w:gridCol w:w="2328"/>
        <w:gridCol w:w="2328"/>
        <w:gridCol w:w="2328"/>
        <w:gridCol w:w="2328"/>
        <w:gridCol w:w="2328"/>
      </w:tblGrid>
      <w:tr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exposure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2015 outcome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Beta (95% CI)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2328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Adjustment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eGDR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BMI in 2015 (kg/m2)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0.388 (0.294-0.482)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BMI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eGDR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Change in BMI 2011-2015 (kg/m2)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0.388 (0.294-0.482)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BMI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eGDR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circumference in 2015 (cm)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0.499 (0.164-0.834)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0.003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waist circumference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eGDR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Change in waist circumference 2011-2015 (cm)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0.499 (0.164-0.834)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0.003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waist circumference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NCCR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BMI in 2015 (kg/m2)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0.105 (0.014-0.196)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0.023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BMI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NCCR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Change in BMI 2011-2015 (kg/m2)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0.105 (0.014-0.196)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0.023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BMI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NCCR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circumference in 2015 (cm)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0.919 (0.630-1.208)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waist circumference and Model 3 covariates</w:t>
            </w:r>
          </w:p>
        </w:tc>
      </w:tr>
      <w:tr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Lower NCCR in 2011 (per SD)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Change in waist circumference 2011-2015 (cm)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0.919 (0.630-1.208)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2328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Baseline waist circumference and Model 3 covariates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S15. Exploratory longitudinal mediation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1995"/>
        <w:gridCol w:w="1995"/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Pathway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Effect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Bootstrap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Controlled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1.226 (1.109-1.357)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Pure natural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1.226 (1.109-1.357)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1.226 (1.109-1.357)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Pure natural indirect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1.009 (0.979-1.045)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0.578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1.009 (0.979-1.045)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0.578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1.237 (1.125-1.360)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0.045 (-0.125-0.243)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0.578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Controlled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1.053 (0.955-1.174)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0.344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Pure natural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1.053 (0.955-1.174)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0.344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1.053 (0.955-1.174)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0.344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Pure natural indirect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1.079 (1.051-1.113)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1.079 (1.051-1.113)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1.136 (1.033-1.254)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0.612 (0.284-2.197)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0.010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2605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516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1000</w:t>
            </w:r>
          </w:p>
        </w:tc>
      </w:tr>
    </w:tbl>
    <w:p>
      <w:r>
        <w:rPr>
          <w:rFonts w:ascii="Times New Roman" w:hAnsi="Times New Roman" w:eastAsia="Times New Roman" w:cs="Times New Roman"/>
        </w:rPr>
        <w:t>The longitudinal mediation analysis improves temporal ordering but does not prove causality. The proportion-mediated estimate for the NCCR-to-eGDR pathway had a wide confidence interval and was deliberately down-weighted in the manuscript.</w:t>
      </w:r>
    </w:p>
    <w:p>
      <w:pPr>
        <w:pStyle w:val="21"/>
      </w:pPr>
      <w:r>
        <w:rPr>
          <w:rFonts w:ascii="Times New Roman" w:hAnsi="Times New Roman" w:eastAsia="Times New Roman" w:cs="Times New Roman"/>
        </w:rPr>
        <w:t>Supplementary Table S16. Regression-based and mediational g-formula comparison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2794"/>
        <w:gridCol w:w="2794"/>
        <w:gridCol w:w="2794"/>
        <w:gridCol w:w="2794"/>
        <w:gridCol w:w="2794"/>
      </w:tblGrid>
      <w:tr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Pathway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Effect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Regression-based estimate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G-formula estimate (95% CI)</w:t>
            </w:r>
          </w:p>
        </w:tc>
        <w:tc>
          <w:tcPr>
            <w:tcW w:type="dxa" w:w="2794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Direction consistent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1.009 (0.979-1.045)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1.007 (0.974-1.051)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1.237 (1.125-1.360)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1.235 (1.130-1.348)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low NCCR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0.045 (-0.125-0.243)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0.039 (-0.147-0.297)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1.079 (1.051-1.113)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1.092 (1.055-1.125)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1.136 (1.033-1.254)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1.142 (1.026-1.256)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0.612 (0.284-2.197)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0.675 (0.322-2.998)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BMI gain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1.013 (0.955-1.071)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1.005 (0.951-1.062)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BMI gain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1.237 (1.120-1.358)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1.234 (1.123-1.358)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  <w:tr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eGDR -&gt; 2015 BMI gain -&gt; CVD after 2015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0.068 (-0.263-0.387)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0.024 (-0.323-0.323)</w:t>
            </w:r>
          </w:p>
        </w:tc>
        <w:tc>
          <w:tcPr>
            <w:tcW w:type="dxa" w:w="2794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TRUE</w:t>
            </w:r>
          </w:p>
        </w:tc>
      </w:tr>
    </w:tbl>
    <w:p>
      <w:pPr>
        <w:pStyle w:val="21"/>
      </w:pPr>
      <w:r>
        <w:rPr>
          <w:rFonts w:ascii="Times New Roman" w:hAnsi="Times New Roman" w:eastAsia="Times New Roman" w:cs="Times New Roman"/>
        </w:rPr>
        <w:t>Supplementary Table S17. Exclude-indirect-pathway mediation sensitivity analysis</w:t>
      </w:r>
    </w:p>
    <w:tbl>
      <w:tblPr>
        <w:tblStyle w:val="aff1"/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1995"/>
        <w:gridCol w:w="1995"/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Restricted sample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Pathway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Effect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Estimate (95% CI)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n</w:t>
            </w:r>
          </w:p>
        </w:tc>
        <w:tc>
          <w:tcPr>
            <w:tcW w:type="dxa" w:w="1995"/>
            <w:tcBorders>
              <w:bottom w:val="single" w:sz="8" w:color="000000"/>
            </w:tcBorders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Events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change |delta| &lt;= median (3.7 cm)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Controlled 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1.087 (0.937-1.283)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0.286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1306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259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change |delta| &lt;= median (3.7 cm)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natural indirect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1.097 (1.044-1.157)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&lt;0.001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1306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259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change |delta| &lt;= median (3.7 cm)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Total effect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1.193 (1.032-1.414)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1306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259</w:t>
            </w:r>
          </w:p>
        </w:tc>
      </w:tr>
      <w:tr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Waist change |delta| &lt;= median (3.7 cm)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2011 low NCCR -&gt; 2015 low eGDR -&gt; CVD after 2015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Proportion mediated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0.547 (0.188-2.381)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0.014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1306</w:t>
            </w:r>
          </w:p>
        </w:tc>
        <w:tc>
          <w:tcPr>
            <w:tcW w:type="dxa" w:w="1995"/>
          </w:tcPr>
          <w:p>
            <w:r>
              <w:rPr>
                <w:rFonts w:ascii="Times New Roman" w:hAnsi="Times New Roman" w:eastAsia="Times New Roman" w:cs="Times New Roman"/>
                <w:sz w:val="17"/>
              </w:rPr>
              <w:t>259</w:t>
            </w:r>
          </w:p>
        </w:tc>
      </w:tr>
    </w:tbl>
    <w:p>
      <w:pPr>
        <w:pStyle w:val="1"/>
      </w:pPr>
      <w:r>
        <w:rPr>
          <w:rFonts w:ascii="Times New Roman" w:hAnsi="Times New Roman" w:eastAsia="Times New Roman" w:cs="Times New Roman"/>
        </w:rPr>
        <w:t>Supplementary figures</w:t>
      </w:r>
    </w:p>
    <w:p>
      <w:pPr>
        <w:jc w:val="center"/>
      </w:pPr>
      <w:r>
        <w:rPr>
          <w:rFonts w:ascii="Times New Roman" w:hAnsi="Times New Roman" w:eastAsia="Times New Roman" w:cs="Times New Roman"/>
        </w:rPr>
        <w:drawing>
          <wp:inline xmlns:a="http://schemas.openxmlformats.org/drawingml/2006/main" xmlns:pic="http://schemas.openxmlformats.org/drawingml/2006/picture">
            <wp:extent cx="5852160" cy="4958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vision_final_cc_calib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5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 w:cs="Times New Roman"/>
        </w:rPr>
        <w:t>Supplementary Figure S1. Nine-year calibration. Vertical bars indicate 95% confidence intervals from 500 bootstrap resamples.</w:t>
      </w:r>
    </w:p>
    <w:p>
      <w:pPr>
        <w:jc w:val="center"/>
      </w:pPr>
      <w:r>
        <w:rPr>
          <w:rFonts w:ascii="Times New Roman" w:hAnsi="Times New Roman" w:eastAsia="Times New Roman" w:cs="Times New Roman"/>
        </w:rPr>
        <w:drawing>
          <wp:inline xmlns:a="http://schemas.openxmlformats.org/drawingml/2006/main" xmlns:pic="http://schemas.openxmlformats.org/drawingml/2006/picture">
            <wp:extent cx="5852160" cy="58521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ensitivity_fores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852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 w:cs="Times New Roman"/>
        </w:rPr>
        <w:t>Supplementary Figure S2. Prespecified sensitivity analyses.</w:t>
      </w:r>
    </w:p>
    <w:p>
      <w:pPr>
        <w:jc w:val="center"/>
      </w:pPr>
      <w:r>
        <w:rPr>
          <w:rFonts w:ascii="Times New Roman" w:hAnsi="Times New Roman" w:eastAsia="Times New Roman" w:cs="Times New Roman"/>
        </w:rPr>
        <w:drawing>
          <wp:inline xmlns:a="http://schemas.openxmlformats.org/drawingml/2006/main" xmlns:pic="http://schemas.openxmlformats.org/drawingml/2006/picture">
            <wp:extent cx="5852160" cy="26822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construct_validity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682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 w:cs="Times New Roman"/>
        </w:rPr>
        <w:t>Supplementary Figure S3. Construct-validity analyses.</w:t>
      </w:r>
    </w:p>
    <w:p>
      <w:pPr>
        <w:jc w:val="center"/>
      </w:pPr>
      <w:r>
        <w:rPr>
          <w:rFonts w:ascii="Times New Roman" w:hAnsi="Times New Roman" w:eastAsia="Times New Roman" w:cs="Times New Roman"/>
        </w:rPr>
        <w:drawing>
          <wp:inline xmlns:a="http://schemas.openxmlformats.org/drawingml/2006/main" xmlns:pic="http://schemas.openxmlformats.org/drawingml/2006/picture">
            <wp:extent cx="5852160" cy="43891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mediation_both_engine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8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 w:cs="Times New Roman"/>
        </w:rPr>
        <w:t>Supplementary Figure S4. Exploratory longitudinal mediation analyses.</w:t>
      </w:r>
    </w:p>
    <w:sectPr w:rsidR="00725F3A" w:rsidSect="008553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152" w:right="936" w:bottom="1152" w:left="936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A569A" w14:textId="77777777" w:rsidR="00D42E55" w:rsidRDefault="00D42E55">
      <w:pPr>
        <w:spacing w:after="0" w:line="240" w:lineRule="auto"/>
      </w:pPr>
      <w:r>
        <w:separator/>
      </w:r>
    </w:p>
  </w:endnote>
  <w:endnote w:type="continuationSeparator" w:id="0">
    <w:p w14:paraId="732A5AD0" w14:textId="77777777" w:rsidR="00D42E55" w:rsidRDefault="00D4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854E" w14:textId="77777777" w:rsidR="00855387" w:rsidRDefault="0085538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DA90" w14:textId="77777777" w:rsidR="00725F3A" w:rsidRDefault="00000000">
    <w:pPr>
      <w:pStyle w:val="a7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5062C4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5C07" w14:textId="77777777" w:rsidR="00855387" w:rsidRDefault="008553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30F4" w14:textId="77777777" w:rsidR="00D42E55" w:rsidRDefault="00D42E55">
      <w:pPr>
        <w:spacing w:after="0" w:line="240" w:lineRule="auto"/>
      </w:pPr>
      <w:r>
        <w:separator/>
      </w:r>
    </w:p>
  </w:footnote>
  <w:footnote w:type="continuationSeparator" w:id="0">
    <w:p w14:paraId="693CF1C8" w14:textId="77777777" w:rsidR="00D42E55" w:rsidRDefault="00D42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2C81" w14:textId="77777777" w:rsidR="00855387" w:rsidRDefault="0085538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D260" w14:textId="33CC7D18" w:rsidR="00725F3A" w:rsidRDefault="00725F3A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7D49" w14:textId="77777777" w:rsidR="00855387" w:rsidRDefault="0085538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7006094">
    <w:abstractNumId w:val="8"/>
  </w:num>
  <w:num w:numId="2" w16cid:durableId="1134446286">
    <w:abstractNumId w:val="6"/>
  </w:num>
  <w:num w:numId="3" w16cid:durableId="1230459086">
    <w:abstractNumId w:val="5"/>
  </w:num>
  <w:num w:numId="4" w16cid:durableId="445320691">
    <w:abstractNumId w:val="4"/>
  </w:num>
  <w:num w:numId="5" w16cid:durableId="776296769">
    <w:abstractNumId w:val="7"/>
  </w:num>
  <w:num w:numId="6" w16cid:durableId="795294654">
    <w:abstractNumId w:val="3"/>
  </w:num>
  <w:num w:numId="7" w16cid:durableId="450636846">
    <w:abstractNumId w:val="2"/>
  </w:num>
  <w:num w:numId="8" w16cid:durableId="772213795">
    <w:abstractNumId w:val="1"/>
  </w:num>
  <w:num w:numId="9" w16cid:durableId="49869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2C4"/>
    <w:rsid w:val="007258F0"/>
    <w:rsid w:val="00725F3A"/>
    <w:rsid w:val="00787EB1"/>
    <w:rsid w:val="00855387"/>
    <w:rsid w:val="00AA1D8D"/>
    <w:rsid w:val="00B47730"/>
    <w:rsid w:val="00CB0664"/>
    <w:rsid w:val="00D42E55"/>
    <w:rsid w:val="00FC693F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DA90F7"/>
  <w14:defaultImageDpi w14:val="300"/>
  <w15:docId w15:val="{D198DC79-7ADA-49F9-91AB-C8CFFC03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 w:cs="Times New Roman"/>
      <w:color w:val="1F29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1F4D7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1F4D78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eastAsia="Times New Roman" w:cs="Times New Roman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table" w:default="1" w:styleId="a3">
    <w:name w:val="Normal Table"/>
    <w:uiPriority w:val="99"/>
    <w:semiHidden/>
    <w:unhideWhenUsed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a6">
    <w:name w:val="页眉 字符"/>
    <w:basedOn w:val="a2"/>
    <w:link w:val="a5"/>
    <w:uiPriority w:val="99"/>
    <w:rsid w:val="00E618BF"/>
    <w:rPr>
      <w:rFonts w:ascii="Times New Roman" w:hAnsi="Times New Roman" w:eastAsia="Times New Roman" w:cs="Times New Roma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a8">
    <w:name w:val="页脚 字符"/>
    <w:basedOn w:val="a2"/>
    <w:link w:val="a7"/>
    <w:uiPriority w:val="99"/>
    <w:rsid w:val="00E618BF"/>
    <w:rPr>
      <w:rFonts w:ascii="Times New Roman" w:hAnsi="Times New Roman" w:eastAsia="Times New Roman" w:cs="Times New Roman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</w:rPr>
  </w:style>
  <w:style w:type="paragraph" w:styleId="af">
    <w:name w:val="Body Text"/>
    <w:basedOn w:val="a1"/>
    <w:link w:val="af0"/>
    <w:uiPriority w:val="99"/>
    <w:unhideWhenUsed/>
    <w:rsid w:val="00AA1D8D"/>
    <w:rPr>
      <w:rFonts w:ascii="Times New Roman" w:hAnsi="Times New Roman" w:eastAsia="Times New Roman" w:cs="Times New Roman"/>
    </w:rPr>
  </w:style>
  <w:style w:type="character" w:customStyle="1" w:styleId="af0">
    <w:name w:val="正文文本 字符"/>
    <w:basedOn w:val="a2"/>
    <w:link w:val="af"/>
    <w:uiPriority w:val="99"/>
    <w:rsid w:val="00AA1D8D"/>
    <w:rPr>
      <w:rFonts w:ascii="Times New Roman" w:hAnsi="Times New Roman" w:eastAsia="Times New Roman" w:cs="Times New Roma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  <w:rPr>
      <w:rFonts w:ascii="Times New Roman" w:hAnsi="Times New Roman" w:eastAsia="Times New Roman" w:cs="Times New Roman"/>
    </w:rPr>
  </w:style>
  <w:style w:type="character" w:customStyle="1" w:styleId="24">
    <w:name w:val="正文文本 2 字符"/>
    <w:basedOn w:val="a2"/>
    <w:link w:val="23"/>
    <w:uiPriority w:val="99"/>
    <w:rsid w:val="00AA1D8D"/>
    <w:rPr>
      <w:rFonts w:ascii="Times New Roman" w:hAnsi="Times New Roman" w:eastAsia="Times New Roman" w:cs="Times New Roman"/>
    </w:rPr>
  </w:style>
  <w:style w:type="paragraph" w:styleId="33">
    <w:name w:val="Body Text 3"/>
    <w:basedOn w:val="a1"/>
    <w:link w:val="34"/>
    <w:uiPriority w:val="99"/>
    <w:unhideWhenUsed/>
    <w:rsid w:val="00AA1D8D"/>
    <w:rPr>
      <w:rFonts w:ascii="Times New Roman" w:hAnsi="Times New Roman" w:eastAsia="Times New Roman" w:cs="Times New Roman"/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Times New Roman" w:hAnsi="Times New Roman" w:eastAsia="Times New Roman" w:cs="Times New Roman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</w:r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</w:r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</w:r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  <w:rPr>
      <w:rFonts w:ascii="Times New Roman" w:hAnsi="Times New Roman" w:eastAsia="Times New Roman" w:cs="Times New Roman"/>
    </w:r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  <w:rPr>
      <w:rFonts w:ascii="Times New Roman" w:hAnsi="Times New Roman" w:eastAsia="Times New Roman" w:cs="Times New Roman"/>
    </w:r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  <w:rPr>
      <w:rFonts w:ascii="Times New Roman" w:hAnsi="Times New Roman" w:eastAsia="Times New Roman" w:cs="Times New Roman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rFonts w:ascii="Times New Roman" w:hAnsi="Times New Roman" w:eastAsia="Times New Roman" w:cs="Times New Roman"/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Times New Roman" w:hAnsi="Times New Roman" w:eastAsia="Times New Roman" w:cs="Times New Roman"/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Times New Roman" w:hAnsi="Times New Roman" w:eastAsia="Times New Roman" w:cs="Times New Roman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Times New Roman" w:hAnsi="Times New Roman" w:eastAsia="Times New Roman" w:cs="Times New Roman"/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rFonts w:ascii="Times New Roman" w:hAnsi="Times New Roman" w:eastAsia="Times New Roman" w:cs="Times New Roman"/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rFonts w:ascii="Times New Roman" w:hAnsi="Times New Roman" w:eastAsia="Times New Roman" w:cs="Times New Roman"/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Times New Roman" w:hAnsi="Times New Roman" w:eastAsia="Times New Roman" w:cs="Times New Roman"/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hAnsi="Times New Roman" w:eastAsia="Times New Roman" w:cs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hAnsi="Times New Roman" w:eastAsia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hAnsi="Times New Roman" w:eastAsia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line number"/>
    <w:basedOn w:val="a2"/>
    <w:uiPriority w:val="99"/>
    <w:semiHidden/>
    <w:unhideWhenUsed/>
    <w:rsid w:val="005062C4"/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2968</Words>
  <Characters>16417</Characters>
  <Application>Microsoft Office Word</Application>
  <DocSecurity>0</DocSecurity>
  <Lines>2052</Lines>
  <Paragraphs>1938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suiqin zhong</cp:lastModifiedBy>
  <cp:revision>3</cp:revision>
  <dcterms:created xsi:type="dcterms:W3CDTF">2013-12-23T23:15:00Z</dcterms:created>
  <dcterms:modified xsi:type="dcterms:W3CDTF">2026-07-26T01:18:00Z</dcterms:modified>
  <cp:category/>
</cp:coreProperties>
</file>