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4734A">
      <w:pPr>
        <w:jc w:val="center"/>
        <w:outlineLvl w:val="0"/>
        <w:rPr>
          <w:rFonts w:hint="default" w:ascii="Times New Roman" w:hAnsi="Times New Roman" w:cs="Times New Roman"/>
          <w:b/>
          <w:color w:val="auto"/>
          <w:szCs w:val="21"/>
          <w:highlight w:val="none"/>
        </w:rPr>
      </w:pPr>
      <w:bookmarkStart w:id="36" w:name="_GoBack"/>
      <w:bookmarkStart w:id="0" w:name="_Toc32059"/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>Triglyceride-Glucose Normalized Creatinine-to-Cystatin C Ratio (TyG-NCCR) predicts Cardiovascular-Kidney-Metabolic syndrome (CKM）stage progression: evidence from CHARLS and UK Biobank</w:t>
      </w:r>
    </w:p>
    <w:p w14:paraId="77BBBCC2">
      <w:pPr>
        <w:jc w:val="both"/>
        <w:outlineLvl w:val="0"/>
        <w:rPr>
          <w:rFonts w:hint="default" w:ascii="Times New Roman" w:hAnsi="Times New Roman" w:cs="Times New Roman"/>
          <w:b/>
          <w:color w:val="auto"/>
          <w:szCs w:val="21"/>
          <w:highlight w:val="yellow"/>
        </w:rPr>
      </w:pPr>
    </w:p>
    <w:p w14:paraId="3C598225">
      <w:pPr>
        <w:jc w:val="center"/>
        <w:outlineLvl w:val="0"/>
        <w:rPr>
          <w:rFonts w:hint="default" w:ascii="Times New Roman" w:hAnsi="Times New Roman" w:cs="Times New Roman"/>
          <w:b/>
          <w:color w:val="auto"/>
          <w:szCs w:val="21"/>
        </w:rPr>
      </w:pPr>
      <w:bookmarkStart w:id="1" w:name="_Toc12038"/>
      <w:bookmarkStart w:id="2" w:name="_Toc28076"/>
      <w:bookmarkStart w:id="3" w:name="_Toc15579"/>
      <w:bookmarkStart w:id="4" w:name="_Toc8649"/>
      <w:bookmarkStart w:id="5" w:name="_Toc18735"/>
      <w:bookmarkStart w:id="6" w:name="_Toc28273"/>
      <w:bookmarkStart w:id="7" w:name="_Toc11499"/>
      <w:bookmarkStart w:id="8" w:name="_Toc1406"/>
      <w:bookmarkStart w:id="9" w:name="_Toc23207"/>
      <w:bookmarkStart w:id="10" w:name="_Toc9739"/>
      <w:bookmarkStart w:id="11" w:name="_Toc1458"/>
      <w:bookmarkStart w:id="12" w:name="_Toc7584"/>
      <w:bookmarkStart w:id="13" w:name="_Toc29604"/>
      <w:bookmarkStart w:id="14" w:name="_Toc2628"/>
      <w:r>
        <w:rPr>
          <w:rFonts w:hint="default" w:ascii="Times New Roman" w:hAnsi="Times New Roman" w:cs="Times New Roman"/>
          <w:b/>
          <w:color w:val="auto"/>
          <w:szCs w:val="21"/>
        </w:rPr>
        <w:t>Supplementary Files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77638572">
      <w:pPr>
        <w:rPr>
          <w:rFonts w:hint="default" w:ascii="Times New Roman" w:hAnsi="Times New Roman" w:cs="Times New Roman"/>
          <w:color w:val="auto"/>
        </w:rPr>
      </w:pPr>
    </w:p>
    <w:p w14:paraId="13423F5E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b/>
          <w:color w:val="auto"/>
          <w:sz w:val="21"/>
          <w:szCs w:val="21"/>
        </w:rPr>
        <w:instrText xml:space="preserve">TOC \o "1-1" \h \u </w:instrText>
      </w:r>
      <w:r>
        <w:rPr>
          <w:rFonts w:hint="default" w:ascii="Times New Roman" w:hAnsi="Times New Roman" w:cs="Times New Roman"/>
          <w:b/>
          <w:color w:val="auto"/>
          <w:sz w:val="21"/>
          <w:szCs w:val="21"/>
        </w:rPr>
        <w:fldChar w:fldCharType="separate"/>
      </w:r>
    </w:p>
    <w:p w14:paraId="2D05C030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_Toc29245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eastAsia="宋体" w:cs="Times New Roman"/>
          <w:color w:val="auto"/>
          <w:kern w:val="2"/>
          <w:szCs w:val="21"/>
          <w:lang w:val="en-US" w:eastAsia="zh-CN" w:bidi="ar-SA"/>
        </w:rPr>
        <w:t>Supplementary T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>able 1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pacing w:val="4"/>
          <w:szCs w:val="20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2"/>
          <w:szCs w:val="21"/>
          <w:lang w:val="en-US" w:eastAsia="zh-CN" w:bidi="ar-SA"/>
        </w:rPr>
        <w:t>Staging Criteria and Definitions for CKM Stages 0</w:t>
      </w:r>
      <w:r>
        <w:rPr>
          <w:rFonts w:hint="default" w:ascii="Times New Roman" w:hAnsi="Times New Roman" w:cs="Times New Roman"/>
          <w:color w:val="auto"/>
          <w:kern w:val="2"/>
          <w:szCs w:val="21"/>
          <w:lang w:val="en-US" w:eastAsia="zh-CN" w:bidi="ar-SA"/>
        </w:rPr>
        <w:t>-3</w:t>
      </w:r>
      <w:r>
        <w:rPr>
          <w:rFonts w:hint="default" w:ascii="Times New Roman" w:hAnsi="Times New Roman" w:eastAsia="宋体" w:cs="Times New Roman"/>
          <w:color w:val="auto"/>
          <w:kern w:val="2"/>
          <w:szCs w:val="21"/>
          <w:lang w:val="en-US" w:eastAsia="zh-CN" w:bidi="ar-SA"/>
        </w:rPr>
        <w:t>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_Toc29245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2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3B115FA0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_Toc32604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/>
          <w:color w:val="auto"/>
          <w:szCs w:val="20"/>
        </w:rPr>
        <w:t>Supplementary Table 2</w:t>
      </w:r>
      <w:r>
        <w:rPr>
          <w:rFonts w:hint="default" w:ascii="Times New Roman" w:hAnsi="Times New Roman" w:cs="Times New Roman"/>
          <w:bCs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/>
          <w:color w:val="auto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Cs w:val="20"/>
        </w:rPr>
        <w:t>Comparison of baseline characteristics across CKM stages 0</w:t>
      </w:r>
      <w:r>
        <w:rPr>
          <w:rFonts w:hint="default" w:ascii="Times New Roman" w:hAnsi="Times New Roman" w:eastAsia="宋体" w:cs="Times New Roman"/>
          <w:bCs/>
          <w:color w:val="auto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bCs/>
          <w:color w:val="auto"/>
          <w:szCs w:val="20"/>
        </w:rPr>
        <w:t>3.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_Toc32604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3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1A80AD7B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_Toc17714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/>
          <w:color w:val="auto"/>
          <w:szCs w:val="20"/>
        </w:rPr>
        <w:t>Supplementary Table 3</w:t>
      </w:r>
      <w:r>
        <w:rPr>
          <w:rFonts w:hint="default" w:ascii="Times New Roman" w:hAnsi="Times New Roman" w:cs="Times New Roman"/>
          <w:bCs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/>
          <w:color w:val="auto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Cs w:val="20"/>
          <w:highlight w:val="none"/>
          <w:lang w:val="en-US" w:eastAsia="zh-CN"/>
        </w:rPr>
        <w:t>Predictive performance of TyG‑NCCR, TyG, and TG/HDL‑C for progression from CKM stages 0–3 to stage 4</w:t>
      </w:r>
      <w:r>
        <w:rPr>
          <w:rFonts w:hint="default" w:ascii="Times New Roman" w:hAnsi="Times New Roman" w:cs="Times New Roman"/>
          <w:bCs/>
          <w:color w:val="auto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_Toc17714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5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64C4506F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_Toc29263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/>
          <w:color w:val="auto"/>
          <w:szCs w:val="20"/>
        </w:rPr>
        <w:t xml:space="preserve">Supplementary Table </w:t>
      </w:r>
      <w:r>
        <w:rPr>
          <w:rFonts w:hint="default" w:ascii="Times New Roman" w:hAnsi="Times New Roman" w:cs="Times New Roman"/>
          <w:bCs/>
          <w:color w:val="auto"/>
          <w:szCs w:val="20"/>
          <w:highlight w:val="none"/>
        </w:rPr>
        <w:t>4</w:t>
      </w:r>
      <w:r>
        <w:rPr>
          <w:rFonts w:hint="default" w:ascii="Times New Roman" w:hAnsi="Times New Roman" w:cs="Times New Roman"/>
          <w:bCs/>
          <w:color w:val="auto"/>
          <w:szCs w:val="20"/>
          <w:highlight w:val="none"/>
          <w:lang w:eastAsia="zh-CN"/>
        </w:rPr>
        <w:t>. Sensitivity analysis of the association of TyG-NCCR with the endpoint event.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_Toc29263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6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3BD633D5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_Toc16037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</w:rPr>
        <w:t>Supplementary Table 5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. </w:t>
      </w:r>
      <w:r>
        <w:rPr>
          <w:rFonts w:hint="default" w:ascii="Times New Roman" w:hAnsi="Times New Roman" w:cs="Times New Roman"/>
          <w:bCs/>
          <w:color w:val="auto"/>
          <w:szCs w:val="20"/>
          <w:lang w:eastAsia="zh-CN"/>
        </w:rPr>
        <w:t>Baseline characteristics by progression to CKM stage 4 in the UK Biobank cohort.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_Toc16037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7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2CF5587D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_Toc22479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>Supplementary Table 6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Cox regression analysis of TyG-NCCR for the risk of progression to CKM stage 4 in the UK Biobank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_Toc22479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9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7254DA73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_Toc26178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Supplementary </w:t>
      </w:r>
      <w:r>
        <w:rPr>
          <w:rFonts w:hint="default" w:ascii="Times New Roman" w:hAnsi="Times New Roman" w:cs="Times New Roman"/>
          <w:bCs w:val="0"/>
          <w:color w:val="auto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 1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Proportion of missing data for each variable.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_Toc26178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10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1DCD54F8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_Toc28615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Supplementary </w:t>
      </w:r>
      <w:r>
        <w:rPr>
          <w:rFonts w:hint="default" w:ascii="Times New Roman" w:hAnsi="Times New Roman" w:cs="Times New Roman"/>
          <w:bCs w:val="0"/>
          <w:color w:val="auto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 2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Time‑dependent ROC analysis of TyG‑NCCR, TyG, and TG/HDL‑C before and after covariate adjustment in the CHARLS cohort.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_Toc28615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11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7C970996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_Toc11408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Supplementary </w:t>
      </w:r>
      <w:r>
        <w:rPr>
          <w:rFonts w:hint="default" w:ascii="Times New Roman" w:hAnsi="Times New Roman" w:cs="Times New Roman"/>
          <w:bCs w:val="0"/>
          <w:color w:val="auto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 3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Joint association of TyG index tertiles and NCCR tertiles with the risk of progression to CKM stage 4.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_Toc11408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12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4DD2440E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_Toc16987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Supplementary </w:t>
      </w:r>
      <w:r>
        <w:rPr>
          <w:rFonts w:hint="default" w:ascii="Times New Roman" w:hAnsi="Times New Roman" w:cs="Times New Roman"/>
          <w:bCs w:val="0"/>
          <w:color w:val="auto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 4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RCS curves for TyG-NCCR, TyG, and TG/HDL-C in the UK Biobank validation cohort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_Toc16987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13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3F675C89">
      <w:pPr>
        <w:pStyle w:val="8"/>
        <w:tabs>
          <w:tab w:val="right" w:leader="dot" w:pos="10466"/>
        </w:tabs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Cs w:val="21"/>
        </w:rPr>
        <w:fldChar w:fldCharType="begin"/>
      </w:r>
      <w:r>
        <w:rPr>
          <w:rFonts w:hint="default" w:ascii="Times New Roman" w:hAnsi="Times New Roman" w:cs="Times New Roman"/>
          <w:color w:val="auto"/>
          <w:szCs w:val="21"/>
        </w:rPr>
        <w:instrText xml:space="preserve"> HYPERLINK \l _Toc21492 </w:instrText>
      </w:r>
      <w:r>
        <w:rPr>
          <w:rFonts w:hint="default" w:ascii="Times New Roman" w:hAnsi="Times New Roman" w:cs="Times New Roman"/>
          <w:color w:val="auto"/>
          <w:szCs w:val="21"/>
        </w:rPr>
        <w:fldChar w:fldCharType="separate"/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Supplementary </w:t>
      </w:r>
      <w:r>
        <w:rPr>
          <w:rFonts w:hint="default" w:ascii="Times New Roman" w:hAnsi="Times New Roman" w:cs="Times New Roman"/>
          <w:bCs w:val="0"/>
          <w:color w:val="auto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Cs w:val="0"/>
          <w:color w:val="auto"/>
          <w:szCs w:val="20"/>
        </w:rPr>
        <w:t xml:space="preserve"> 5</w:t>
      </w:r>
      <w:r>
        <w:rPr>
          <w:rFonts w:hint="default" w:ascii="Times New Roman" w:hAnsi="Times New Roman" w:cs="Times New Roman"/>
          <w:bCs w:val="0"/>
          <w:color w:val="auto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Cs w:val="0"/>
          <w:color w:val="auto"/>
          <w:szCs w:val="20"/>
          <w:highlight w:val="none"/>
          <w:lang w:eastAsia="zh-CN"/>
        </w:rPr>
        <w:t xml:space="preserve"> Time-dependent AUCs of TyG-NCCR, TyG, and TG/HDL-C at 5 and 8 years in the UK Biobank.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PAGEREF _Toc21492 \h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Fonts w:hint="default" w:ascii="Times New Roman" w:hAnsi="Times New Roman" w:cs="Times New Roman"/>
          <w:color w:val="auto"/>
        </w:rPr>
        <w:t>14</w:t>
      </w:r>
      <w:r>
        <w:rPr>
          <w:rFonts w:hint="default" w:ascii="Times New Roman" w:hAnsi="Times New Roman" w:cs="Times New Roman"/>
          <w:color w:val="auto"/>
        </w:rPr>
        <w:fldChar w:fldCharType="end"/>
      </w: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084CB7A9">
      <w:pPr>
        <w:tabs>
          <w:tab w:val="right" w:leader="dot" w:pos="10466"/>
        </w:tabs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cs="Times New Roman"/>
          <w:color w:val="auto"/>
          <w:szCs w:val="21"/>
        </w:rPr>
        <w:fldChar w:fldCharType="end"/>
      </w:r>
    </w:p>
    <w:p w14:paraId="6E86A2A6">
      <w:pPr>
        <w:jc w:val="center"/>
        <w:outlineLvl w:val="0"/>
        <w:rPr>
          <w:rFonts w:hint="default" w:ascii="Times New Roman" w:hAnsi="Times New Roman" w:eastAsia="宋体" w:cs="Times New Roman"/>
          <w:b/>
          <w:color w:val="auto"/>
          <w:kern w:val="2"/>
          <w:sz w:val="21"/>
          <w:szCs w:val="21"/>
          <w:lang w:val="en-US" w:eastAsia="zh-CN" w:bidi="ar-SA"/>
        </w:rPr>
      </w:pPr>
      <w:bookmarkStart w:id="15" w:name="_Toc29245"/>
      <w:bookmarkStart w:id="16" w:name="_Toc23561"/>
      <w:r>
        <w:rPr>
          <w:rFonts w:hint="default" w:ascii="Times New Roman" w:hAnsi="Times New Roman" w:eastAsia="宋体" w:cs="Times New Roman"/>
          <w:b/>
          <w:color w:val="auto"/>
          <w:kern w:val="2"/>
          <w:sz w:val="21"/>
          <w:szCs w:val="21"/>
          <w:lang w:val="en-US" w:eastAsia="zh-CN" w:bidi="ar-SA"/>
        </w:rPr>
        <w:t>Supplementary T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able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1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pacing w:val="4"/>
          <w:sz w:val="20"/>
          <w:szCs w:val="20"/>
        </w:rPr>
        <w:t xml:space="preserve"> </w:t>
      </w:r>
      <w:r>
        <w:rPr>
          <w:rFonts w:hint="default" w:ascii="Times New Roman" w:hAnsi="Times New Roman" w:eastAsia="宋体" w:cs="Times New Roman"/>
          <w:b/>
          <w:color w:val="auto"/>
          <w:kern w:val="2"/>
          <w:sz w:val="21"/>
          <w:szCs w:val="21"/>
          <w:lang w:val="en-US" w:eastAsia="zh-CN" w:bidi="ar-SA"/>
        </w:rPr>
        <w:t>Staging Criteria and Definitions for CKM Stages 0</w:t>
      </w:r>
      <w:r>
        <w:rPr>
          <w:rFonts w:hint="default" w:ascii="Times New Roman" w:hAnsi="Times New Roman" w:cs="Times New Roman"/>
          <w:b/>
          <w:color w:val="auto"/>
          <w:kern w:val="2"/>
          <w:sz w:val="21"/>
          <w:szCs w:val="21"/>
          <w:lang w:val="en-US" w:eastAsia="zh-CN" w:bidi="ar-SA"/>
        </w:rPr>
        <w:t>-3</w:t>
      </w:r>
      <w:r>
        <w:rPr>
          <w:rFonts w:hint="default" w:ascii="Times New Roman" w:hAnsi="Times New Roman" w:eastAsia="宋体" w:cs="Times New Roman"/>
          <w:b/>
          <w:color w:val="auto"/>
          <w:kern w:val="2"/>
          <w:sz w:val="21"/>
          <w:szCs w:val="21"/>
          <w:lang w:val="en-US" w:eastAsia="zh-CN" w:bidi="ar-SA"/>
        </w:rPr>
        <w:t>.</w:t>
      </w:r>
      <w:bookmarkEnd w:id="15"/>
    </w:p>
    <w:tbl>
      <w:tblPr>
        <w:tblStyle w:val="19"/>
        <w:tblW w:w="5000" w:type="pct"/>
        <w:jc w:val="center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4634"/>
        <w:gridCol w:w="4626"/>
      </w:tblGrid>
      <w:tr w14:paraId="4B7AFFD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57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FE4EC">
            <w:pPr>
              <w:pStyle w:val="18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sz w:val="20"/>
                <w:szCs w:val="20"/>
              </w:rPr>
              <w:t>CKM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2"/>
                <w:sz w:val="20"/>
                <w:szCs w:val="20"/>
              </w:rPr>
              <w:t>stages</w:t>
            </w:r>
          </w:p>
        </w:tc>
        <w:tc>
          <w:tcPr>
            <w:tcW w:w="221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4E351">
            <w:pPr>
              <w:pStyle w:val="18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3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3"/>
                <w:sz w:val="20"/>
                <w:szCs w:val="20"/>
              </w:rPr>
              <w:t>CHARLS</w:t>
            </w:r>
          </w:p>
        </w:tc>
        <w:tc>
          <w:tcPr>
            <w:tcW w:w="220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18C71">
            <w:pPr>
              <w:pStyle w:val="18"/>
              <w:snapToGrid w:val="0"/>
              <w:spacing w:before="5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3"/>
                <w:sz w:val="20"/>
                <w:szCs w:val="20"/>
              </w:rPr>
              <w:t>UK Biobank</w:t>
            </w:r>
          </w:p>
        </w:tc>
      </w:tr>
      <w:tr w14:paraId="02BD0A6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118EF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Stage 0</w:t>
            </w:r>
          </w:p>
        </w:tc>
        <w:tc>
          <w:tcPr>
            <w:tcW w:w="221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57C30D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&lt; 23 kg/m²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Waist circumference &lt;80/90 cm (female/male)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Fasting blood glucose &lt; 100 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HbA1c &lt; 5.7%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diabetes diagnosis or medication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SBP &lt;130 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DBP &lt;80 mmHg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hypertension diagnosis or medication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HDL-C ≥50/40 mg/dL (female/male)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TG &lt; 150 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≥ 60 ml/min/1.73m²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CKD diagnosis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subclinical CVD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clinical CVD</w:t>
            </w:r>
          </w:p>
        </w:tc>
        <w:tc>
          <w:tcPr>
            <w:tcW w:w="220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6870F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Normal BMI (&lt;25 kg/m2 or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 kg/m2 if Asian ethnicity )</w:t>
            </w:r>
          </w:p>
          <w:p w14:paraId="6B68FBC6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waist circumference (&lt;88/102 cm in women/men)</w:t>
            </w:r>
          </w:p>
          <w:p w14:paraId="06B21CFB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Normoglycemia</w:t>
            </w:r>
          </w:p>
          <w:p w14:paraId="015F892E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Normotension</w:t>
            </w:r>
          </w:p>
          <w:p w14:paraId="2D6900C6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 lipid status</w:t>
            </w:r>
          </w:p>
          <w:p w14:paraId="60755A2A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evidence of CKD</w:t>
            </w:r>
          </w:p>
          <w:p w14:paraId="04BD3A30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evidence of CVD</w:t>
            </w:r>
          </w:p>
        </w:tc>
      </w:tr>
      <w:tr w14:paraId="017494D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233BD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Stage 1</w:t>
            </w:r>
          </w:p>
        </w:tc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0C85F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Overweight/obesity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Abdominal obesity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Prediabetes</w:t>
            </w:r>
          </w:p>
        </w:tc>
        <w:tc>
          <w:tcPr>
            <w:tcW w:w="220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C154F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Elevated BMI (≥25 kg/m2 or ≥23 kg/m2 if Asian ethnicity);</w:t>
            </w:r>
          </w:p>
          <w:p w14:paraId="12DE0B54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Elevated waist circumference (≥88/102 cm in women/men or ≥80/90 cm in women/men if Asian ethnicity);</w:t>
            </w:r>
          </w:p>
          <w:p w14:paraId="44FBF8B8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Prediabetes (fasting blood glucose between 100 mg/dL and 126 mg/dL or glycated hemoglobin between 5.7% and 6.4%).</w:t>
            </w:r>
          </w:p>
        </w:tc>
      </w:tr>
      <w:tr w14:paraId="46FFB68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906FB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Stage 2</w:t>
            </w:r>
          </w:p>
        </w:tc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E2F5F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Clinical (any one):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Hypertriglyceridemia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Metabolic syndrome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30-60 ml/min/1.73m² and/or CKD diagnosis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Other (all required):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subclinical CVD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clinical CVD</w:t>
            </w:r>
          </w:p>
        </w:tc>
        <w:tc>
          <w:tcPr>
            <w:tcW w:w="220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E9C67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Elevated fasting serum triglycerides (≥135 mg/dL);</w:t>
            </w:r>
          </w:p>
          <w:p w14:paraId="1F9A63D0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 (blood pressure ≥140/90 mmHg, self-reported history of  hypertension, or current antihypertensive treatment);</w:t>
            </w:r>
          </w:p>
          <w:p w14:paraId="2CCAA176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Diabetes (fasting blood glucose ≥126 mg/dL, glycated hemoglobin ≥ 6.5%, self-reported history of diabetes, or current hypoglycemic treatment);</w:t>
            </w:r>
          </w:p>
          <w:p w14:paraId="534FA9FD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Metabolic syndrome (≥3 of the following: elevated waist circumference,</w:t>
            </w:r>
          </w:p>
          <w:p w14:paraId="4FC865A9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density lipoprotein cholesterol &lt;40 mg/dL for men and &lt;50 mg/dL for women,</w:t>
            </w:r>
          </w:p>
          <w:p w14:paraId="185AE469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fasting serum triglycerides ≥ 150 mg/dL, blood pressure  ≥ 130/80 mmHg and/or current antihypertensive treatment, fasting blood glucose ≥100 mg/dL);</w:t>
            </w:r>
          </w:p>
          <w:p w14:paraId="105E1559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Moderate-to-high-risk CKD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</w:t>
            </w:r>
          </w:p>
        </w:tc>
      </w:tr>
      <w:tr w14:paraId="56CD1AF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7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6CBA0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Stage 3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95831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Advanced (any one):</w:t>
            </w:r>
          </w:p>
          <w:p w14:paraId="6354D7D4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&lt;30 ml/min/1.73m²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Subclinical CVD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Metabolic/clinical (any one):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Overweight/obesity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Abdominal obesity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Prediabetes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Hypertriglyceridemia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Hypertension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Diabetes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Metabolic syndrome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eGFR 30-60 ml/min/1.73m² and/or CKD diagnosis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Other (required):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clinical CVD</w:t>
            </w:r>
          </w:p>
        </w:tc>
        <w:tc>
          <w:tcPr>
            <w:tcW w:w="220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BCF5C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Very-high-risk CKD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;</w:t>
            </w:r>
          </w:p>
          <w:p w14:paraId="74CE54EA">
            <w:pPr>
              <w:pStyle w:val="18"/>
              <w:snapToGrid w:val="0"/>
              <w:spacing w:before="17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predicted 10-year CVD risk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</w:t>
            </w:r>
          </w:p>
        </w:tc>
      </w:tr>
    </w:tbl>
    <w:p w14:paraId="15624ED3">
      <w:pPr>
        <w:jc w:val="both"/>
        <w:outlineLvl w:val="0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  <w:bookmarkStart w:id="17" w:name="_Toc21219"/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 xml:space="preserve">Abbreviations: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 xml:space="preserve">BMI, Body Mass Index;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 xml:space="preserve">CKM: Cardio-Kidney-Metabolic Syndrome; CKD: chronic kidney disease;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>CVD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>: cardiovascular diseases; SBP: systolic blood pressure; DBP: diastolic blood pressure; HDL-C: high-density lipoprotein cholesterol; LDL-C: low-density lipoprotein cholesterol; eGFR: estimated glomerular filtration rate; TG: triglyceride; BMI: body mass index; HbA1c: glycated hemoglobin.</w:t>
      </w:r>
      <w:bookmarkEnd w:id="17"/>
    </w:p>
    <w:p w14:paraId="4EF2C53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9" w:line="240" w:lineRule="auto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eastAsia="宋体" w:cs="Times New Roman"/>
          <w:color w:val="auto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pacing w:val="4"/>
          <w:sz w:val="20"/>
          <w:szCs w:val="20"/>
        </w:rPr>
        <w:t>CKD stages were identified based on GFR and urinary</w:t>
      </w:r>
      <w:r>
        <w:rPr>
          <w:rFonts w:hint="default" w:ascii="Times New Roman" w:hAnsi="Times New Roman" w:cs="Times New Roman"/>
          <w:color w:val="auto"/>
          <w:spacing w:val="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4"/>
          <w:sz w:val="20"/>
          <w:szCs w:val="20"/>
        </w:rPr>
        <w:t>albumin-to</w:t>
      </w:r>
      <w:r>
        <w:rPr>
          <w:rFonts w:hint="default" w:ascii="Times New Roman" w:hAnsi="Times New Roman" w:cs="Times New Roman"/>
          <w:color w:val="auto"/>
          <w:spacing w:val="1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3"/>
          <w:sz w:val="20"/>
          <w:szCs w:val="20"/>
        </w:rPr>
        <w:t>creatinine ratio.</w:t>
      </w:r>
    </w:p>
    <w:p w14:paraId="1CA906D2">
      <w:pPr>
        <w:jc w:val="both"/>
        <w:outlineLvl w:val="0"/>
        <w:rPr>
          <w:rFonts w:hint="default" w:ascii="Times New Roman" w:hAnsi="Times New Roman" w:eastAsia="宋体" w:cs="Times New Roman"/>
          <w:b/>
          <w:color w:val="auto"/>
          <w:kern w:val="2"/>
          <w:sz w:val="21"/>
          <w:szCs w:val="21"/>
          <w:lang w:val="en-US" w:eastAsia="zh-CN" w:bidi="ar-SA"/>
        </w:rPr>
      </w:pPr>
      <w:bookmarkStart w:id="18" w:name="_Toc24477"/>
      <w:r>
        <w:rPr>
          <w:rFonts w:hint="default" w:ascii="Times New Roman" w:hAnsi="Times New Roman" w:eastAsia="宋体" w:cs="Times New Roman"/>
          <w:color w:val="auto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pacing w:val="4"/>
          <w:sz w:val="20"/>
          <w:szCs w:val="20"/>
        </w:rPr>
        <w:t>The</w:t>
      </w:r>
      <w:r>
        <w:rPr>
          <w:rFonts w:hint="default" w:ascii="Times New Roman" w:hAnsi="Times New Roman" w:cs="Times New Roman"/>
          <w:color w:val="auto"/>
          <w:spacing w:val="2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4"/>
          <w:sz w:val="20"/>
          <w:szCs w:val="20"/>
        </w:rPr>
        <w:t>10-year CVD risk was calculated using the Framingham risk calculati</w:t>
      </w:r>
      <w:r>
        <w:rPr>
          <w:rFonts w:hint="default" w:ascii="Times New Roman" w:hAnsi="Times New Roman" w:cs="Times New Roman"/>
          <w:color w:val="auto"/>
          <w:spacing w:val="3"/>
          <w:sz w:val="20"/>
          <w:szCs w:val="20"/>
        </w:rPr>
        <w:t>on based on</w:t>
      </w:r>
      <w:r>
        <w:rPr>
          <w:rFonts w:hint="default" w:ascii="Times New Roman" w:hAnsi="Times New Roman" w:eastAsia="宋体" w:cs="Times New Roman"/>
          <w:color w:val="auto"/>
          <w:spacing w:val="3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3"/>
          <w:sz w:val="20"/>
          <w:szCs w:val="20"/>
        </w:rPr>
        <w:t>the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pacing w:val="4"/>
          <w:sz w:val="20"/>
          <w:szCs w:val="20"/>
        </w:rPr>
        <w:t>Framingham risk score.</w:t>
      </w:r>
      <w:bookmarkEnd w:id="18"/>
    </w:p>
    <w:p w14:paraId="4CF5329E">
      <w:pPr>
        <w:pStyle w:val="2"/>
        <w:bidi w:val="0"/>
        <w:jc w:val="center"/>
        <w:rPr>
          <w:rFonts w:hint="default" w:ascii="Times New Roman" w:hAnsi="Times New Roman" w:eastAsia="宋体" w:cs="Times New Roman"/>
          <w:bCs/>
          <w:color w:val="auto"/>
          <w:sz w:val="20"/>
          <w:szCs w:val="20"/>
          <w:lang w:val="en-US" w:eastAsia="zh-CN"/>
        </w:rPr>
      </w:pPr>
      <w:bookmarkStart w:id="19" w:name="_Toc32604"/>
      <w:r>
        <w:rPr>
          <w:rFonts w:hint="default" w:ascii="Times New Roman" w:hAnsi="Times New Roman" w:cs="Times New Roman"/>
          <w:bCs/>
          <w:color w:val="auto"/>
          <w:sz w:val="20"/>
          <w:szCs w:val="20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color w:val="auto"/>
          <w:sz w:val="20"/>
          <w:szCs w:val="20"/>
        </w:rPr>
        <w:t>Comparison of baseline characteristics across CKM stages 0</w:t>
      </w:r>
      <w:r>
        <w:rPr>
          <w:rFonts w:hint="default" w:ascii="Times New Roman" w:hAnsi="Times New Roman" w:eastAsia="宋体" w:cs="Times New Roman"/>
          <w:bCs/>
          <w:color w:val="auto"/>
          <w:sz w:val="20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bCs/>
          <w:color w:val="auto"/>
          <w:sz w:val="20"/>
          <w:szCs w:val="20"/>
        </w:rPr>
        <w:t>3.</w:t>
      </w:r>
      <w:bookmarkEnd w:id="19"/>
    </w:p>
    <w:p w14:paraId="20C5E91B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tbl>
      <w:tblPr>
        <w:tblStyle w:val="9"/>
        <w:tblW w:w="4998" w:type="pct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1939"/>
        <w:gridCol w:w="1269"/>
        <w:gridCol w:w="1375"/>
        <w:gridCol w:w="1478"/>
        <w:gridCol w:w="1195"/>
        <w:gridCol w:w="834"/>
      </w:tblGrid>
      <w:tr w14:paraId="01DFB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4DA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</w:rPr>
              <w:t>Variables</w:t>
            </w:r>
          </w:p>
        </w:tc>
        <w:tc>
          <w:tcPr>
            <w:tcW w:w="926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F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</w:rPr>
              <w:t>Overall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=5474)</w:t>
            </w:r>
          </w:p>
        </w:tc>
        <w:tc>
          <w:tcPr>
            <w:tcW w:w="606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F7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Stage 0</w:t>
            </w:r>
          </w:p>
          <w:p w14:paraId="657F8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=743)</w:t>
            </w:r>
          </w:p>
        </w:tc>
        <w:tc>
          <w:tcPr>
            <w:tcW w:w="657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449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Stage 1 </w:t>
            </w:r>
          </w:p>
          <w:p w14:paraId="612D5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=937)</w:t>
            </w:r>
          </w:p>
        </w:tc>
        <w:tc>
          <w:tcPr>
            <w:tcW w:w="706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7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Stage 2</w:t>
            </w:r>
          </w:p>
          <w:p w14:paraId="4EDBC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=3576)</w:t>
            </w:r>
          </w:p>
        </w:tc>
        <w:tc>
          <w:tcPr>
            <w:tcW w:w="571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F3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Stage 3 </w:t>
            </w:r>
          </w:p>
          <w:p w14:paraId="76728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=218)</w:t>
            </w:r>
          </w:p>
        </w:tc>
        <w:tc>
          <w:tcPr>
            <w:tcW w:w="398" w:type="pct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AF4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value</w:t>
            </w:r>
          </w:p>
        </w:tc>
      </w:tr>
      <w:tr w14:paraId="5D7E2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0F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 xml:space="preserve">Age,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6E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60.06 (9.91)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533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58.82 (9.39)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F8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56.41 (8.40)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14B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60.59 (9.90)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C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71.27 (7.96)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6F8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395A0EA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26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Sex,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01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FD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E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6C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A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A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0.001</w:t>
            </w:r>
          </w:p>
        </w:tc>
      </w:tr>
      <w:tr w14:paraId="609C7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EE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Female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E0E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2859 (52.2)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FF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311 (41.9)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3D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571 (60.9)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8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1910 (53.4)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4E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67 (30.7)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4C2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144C931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D1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Male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57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2615 (47.8)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D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432 (58.1)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A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366 (39.1)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9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1666 (46.6)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3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151 (69.3)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CD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07C20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45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Place,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39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34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EB7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1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9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8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023</w:t>
            </w:r>
          </w:p>
        </w:tc>
      </w:tr>
      <w:tr w14:paraId="6FE3C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DB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Agricultual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01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4670 (85.3)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54E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660 (88.8)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04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802 (85.6)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FC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3027 (84.6)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02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181 (83.0)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A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6D952B6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F1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Non-Agricultural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C8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804 (14.7)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35F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83 (11.2)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B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135 (14.4)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C1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549 (15.4)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DC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37 (17.0)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1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30CDC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5F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Education,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43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0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A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E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77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3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0.044</w:t>
            </w:r>
          </w:p>
        </w:tc>
      </w:tr>
      <w:tr w14:paraId="70754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BD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Below high school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50E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4966 (90.7)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41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670 (90.2)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BE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835 (89.1)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9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3254 (91.0)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E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207 (95.0)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3D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3566E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7B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High school or above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0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508 (9.3)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B2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73 (9.8)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25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102 (10.9)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26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322 (9.0)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70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11 (5.0)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C0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1C684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D4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Marriage,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6F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3BD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98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1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95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31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5FEEB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E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E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746 (13.6)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4C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75 (10.1)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12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88 (9.4)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A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535 (15.0)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5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48 (22.0)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E7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21BB5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D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Yes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CF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4728 (86.4)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3E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668 (89.9)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8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849 (90.6)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A47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3041 (85.0)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E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170 (78.0)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FD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7CE3548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4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Smok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ing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2D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8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AE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B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7D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73E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05DC0F6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D7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9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3310 (60.5)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3AE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393 (52.9)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9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632 (67.4)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18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2229 (62.3)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E15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56 (25.7)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26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4085E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869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Yes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D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2164 (39.5)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D8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350 (47.1)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9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305 (32.6)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7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1347 (37.7)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A73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162 (74.3)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B4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3A888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F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Drink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ing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C7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39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193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4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52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3C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01</w:t>
            </w:r>
          </w:p>
        </w:tc>
      </w:tr>
      <w:tr w14:paraId="30CFD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E49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A3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4033 (73.7)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71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510 (68.6)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8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728 (77.7)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2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2633 (73.6)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7C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162 (74.3)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2A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2136C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9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Yes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8D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1441 (26.3)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2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233 (31.4)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7D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209 (22.3)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ADE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943 (26.4)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08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56 (25.7)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37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48BC1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79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Hypertension,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2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90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ED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9E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BE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43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536F4EC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5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CC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3411 (62.3)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972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743 (100.0)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DC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937 (100.0)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7B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1708 (47.8)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A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23 (10.6)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0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28962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90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Yes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18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2063 (37.7)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69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 (0.0)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DF4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 (0.0)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EB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1868 (52.2)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9AD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195 (89.4)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C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2849B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D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Diabetes, n (%)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F1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41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55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2E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0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C71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0.001</w:t>
            </w:r>
          </w:p>
        </w:tc>
      </w:tr>
      <w:tr w14:paraId="25EDB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F3E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56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4587 (83.8)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94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743 (100.0)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F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937 (100.0)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6F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2833 (79.2)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6D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74 (33.9)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5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1DFE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DCB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Yes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B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887 (16.2)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A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 (0.0)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23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 (0.0)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243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743 (20.8)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2EB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144 (66.1)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51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</w:p>
        </w:tc>
      </w:tr>
      <w:tr w14:paraId="3601F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4C3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Cholesterol,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 xml:space="preserve">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47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193.72 (38.85)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2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184.69 (31.99)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2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185.06 (36.83)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27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196.71 (38.95)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3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212.65 (51.22)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9E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32379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D2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Triglycerides, median (IQR)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E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104.43 [74.34, 152.22]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8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77.00 [60.18, 98.24]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30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89.39 [69.03, 113.28]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4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120.36 [81.20, 177.88]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E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143.81 [102.00, 212.84]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C2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752A2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9F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HbA1c, median (IQR)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F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5.10 [4.90, 5.40]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878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5.00 [4.80, 5.30]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F6E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5.10 [4.80, 5.40]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A6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5.20 [4.90, 5.50]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76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5.40 [5.10, 5.90]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DF2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3B2F2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FF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TyG,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 xml:space="preserve">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F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8.67 (0.66)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804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8.18 (0.36)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46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8.37 (0.37)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B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8.81 (0.67)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A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9.29 (0.86)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95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70693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F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NCCR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, median (IQR)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3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0.14 [0.12, 0.16]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45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0.15 [0.13, 0.18]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AC1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0.13 [0.11, 0.15]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2E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0.13 [0.11, 0.16]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DF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0.13 [0.11, 0.16]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4F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648C2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171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TyG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-NCCR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 xml:space="preserve">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459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10.67 (0.71)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F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10.07 (0.42)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F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10.39 (0.44)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A0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10.82 (0.70)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D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11.32 (0.95)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0B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  <w:tr w14:paraId="5E662A9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3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98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TG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HDL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-C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ratio, median (IQR)</w:t>
            </w:r>
          </w:p>
        </w:tc>
        <w:tc>
          <w:tcPr>
            <w:tcW w:w="926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8C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2.06 [1.30, 3.48]</w:t>
            </w:r>
          </w:p>
        </w:tc>
        <w:tc>
          <w:tcPr>
            <w:tcW w:w="606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0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1.31 [0.96, 1.77]</w:t>
            </w:r>
          </w:p>
        </w:tc>
        <w:tc>
          <w:tcPr>
            <w:tcW w:w="657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94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1.76 [1.23, 2.51]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B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2.46 [1.47, 4.28]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CF9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3.56 [2.21, 6.40]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BC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</w:rPr>
              <w:t>&lt;0.001</w:t>
            </w:r>
          </w:p>
        </w:tc>
      </w:tr>
    </w:tbl>
    <w:p w14:paraId="052F98DA">
      <w:pPr>
        <w:pStyle w:val="2"/>
        <w:bidi w:val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20" w:name="_Toc6282"/>
      <w:bookmarkStart w:id="21" w:name="_Toc3435"/>
      <w:bookmarkStart w:id="22" w:name="_Toc17716"/>
      <w:bookmarkStart w:id="23" w:name="_Toc14345"/>
      <w:bookmarkStart w:id="24" w:name="_Toc32740"/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 xml:space="preserve">Abbreviations: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CKM, Cardiovascular-Kidney-Metabolic Syndrome;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HbA1c, glycated hemoglobin; HDL-C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High-Density Lipoprotein Cholesterol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IQR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interquartile range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SD, standard deviation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 xml:space="preserve">TG, triglycerides; TyG, triglyceride-glucose;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NCCR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</w:rPr>
        <w:t>, Normalized Creatinine-to-Cystatin C Ratio.</w:t>
      </w:r>
      <w:bookmarkEnd w:id="20"/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 </w:t>
      </w:r>
      <w:bookmarkEnd w:id="21"/>
      <w:bookmarkEnd w:id="22"/>
      <w:bookmarkEnd w:id="23"/>
      <w:bookmarkEnd w:id="24"/>
    </w:p>
    <w:p w14:paraId="6E29DBAA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5001EE0F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607E63A7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48AD725B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3EDE12BE">
      <w:pPr>
        <w:pStyle w:val="2"/>
        <w:bidi w:val="0"/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1E0EC678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4C7D2A6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2F7BA659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3A01A498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5D222963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10A1392C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60221582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7838C91E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6BBE9910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615F4724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FE87E7A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5F97077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5229E503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390735BC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D8F642C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41C47BDA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69DA3E87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FC5CB41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04312AF1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25BB2199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4DE5FF02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58C50170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5AB5E280">
      <w:pPr>
        <w:rPr>
          <w:rFonts w:hint="default" w:ascii="Times New Roman" w:hAnsi="Times New Roman" w:cs="Times New Roman"/>
          <w:bCs/>
          <w:color w:val="auto"/>
          <w:sz w:val="20"/>
          <w:szCs w:val="20"/>
        </w:rPr>
      </w:pPr>
    </w:p>
    <w:p w14:paraId="1B0D7F7F">
      <w:pPr>
        <w:pStyle w:val="2"/>
        <w:bidi w:val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</w:pPr>
      <w:bookmarkStart w:id="25" w:name="_Toc17714"/>
      <w:r>
        <w:rPr>
          <w:rFonts w:hint="default" w:ascii="Times New Roman" w:hAnsi="Times New Roman" w:cs="Times New Roman"/>
          <w:bCs/>
          <w:color w:val="auto"/>
          <w:sz w:val="20"/>
          <w:szCs w:val="20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  <w:t>Predictive performance of TyG‑NCCR, TyG, and TG/HDL‑C for progression from CKM stages 0–3 to stage 4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val="en-US" w:eastAsia="zh-CN"/>
        </w:rPr>
        <w:t>.</w:t>
      </w:r>
      <w:bookmarkEnd w:id="16"/>
      <w:bookmarkEnd w:id="25"/>
    </w:p>
    <w:tbl>
      <w:tblPr>
        <w:tblStyle w:val="10"/>
        <w:tblpPr w:leftFromText="180" w:rightFromText="180" w:vertAnchor="text" w:horzAnchor="page" w:tblpXSpec="center" w:tblpY="309"/>
        <w:tblOverlap w:val="never"/>
        <w:tblW w:w="8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100"/>
        <w:gridCol w:w="1004"/>
        <w:gridCol w:w="2037"/>
        <w:gridCol w:w="954"/>
      </w:tblGrid>
      <w:tr w14:paraId="73A2C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C6B2978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Characteristic</w:t>
            </w:r>
          </w:p>
        </w:tc>
        <w:tc>
          <w:tcPr>
            <w:tcW w:w="21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</w:tcPr>
          <w:p w14:paraId="5B2FED95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IDI (95%CI)</w:t>
            </w:r>
          </w:p>
        </w:tc>
        <w:tc>
          <w:tcPr>
            <w:tcW w:w="10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top"/>
          </w:tcPr>
          <w:p w14:paraId="68BC12C6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20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</w:tcPr>
          <w:p w14:paraId="3B260A86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NRI (95%CI)</w:t>
            </w:r>
          </w:p>
        </w:tc>
        <w:tc>
          <w:tcPr>
            <w:tcW w:w="9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</w:tcPr>
          <w:p w14:paraId="1DA07963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3234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A4EE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linical model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57AF7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6E96A2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C014F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</w:tcPr>
          <w:p w14:paraId="47357F9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9116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619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Clinical model + TyG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AC5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003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D7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A6B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159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085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227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018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3A261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11B3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Clinical model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NCCR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2F27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88F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6C36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101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6, 0.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162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4A6C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400B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1082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Clinical model + TyG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NCCR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35A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014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F89E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172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096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244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44F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2EC58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9C636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Clinical model + TG/HDL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C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95B685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(0.00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00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5666A8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0.524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2450E6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055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, 0.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5350B3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0.4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56</w:t>
            </w:r>
          </w:p>
        </w:tc>
      </w:tr>
    </w:tbl>
    <w:p w14:paraId="1463CFD1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30734C91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7AEF8DD4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4099FA11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57FEECF2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33222FBA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62111784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14:paraId="7B5DBA80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 xml:space="preserve">Abbreviation: CI, confidence interval; CKM, Cardiovascular-Kidney-Metabolic Syndrome; HDL-C, High-Density Lipoprotein Cholesterol; IDI, integrated discrimination improvement; NRI, net reclassification improvement;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TG, triglycerides; TyG, triglyceride-glucose; NCCR, Normalized Creatinine-to-Cystatin C Ratio.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  </w:t>
      </w:r>
    </w:p>
    <w:p w14:paraId="0A0A97C2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ab/>
      </w:r>
    </w:p>
    <w:p w14:paraId="3B590D00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ab/>
      </w:r>
    </w:p>
    <w:p w14:paraId="77D0BEA6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ab/>
      </w:r>
    </w:p>
    <w:p w14:paraId="7FC39E93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4F25ADBE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A8212C0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38B0162A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50C9405C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12F7D1B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1BC4D9C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86C14FC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77A03ADC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57854408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B9A7992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480524F1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7FE31C18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136DBF37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22BC66B0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790DBCCE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7D110280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48340338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1815710F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28A055D4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BD9A52E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468E7AA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FC529AB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3B6C1C4F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659A1BA5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2F2573A8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9515A0C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462D4A48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278AFD97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385D1CE6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13C94FCC">
      <w:pPr>
        <w:pStyle w:val="2"/>
        <w:bidi w:val="0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val="en-US" w:eastAsia="zh-CN"/>
        </w:rPr>
      </w:pPr>
      <w:bookmarkStart w:id="26" w:name="_Toc11069"/>
      <w:bookmarkStart w:id="27" w:name="_Toc29263"/>
      <w:r>
        <w:rPr>
          <w:rFonts w:hint="default" w:ascii="Times New Roman" w:hAnsi="Times New Roman" w:cs="Times New Roman"/>
          <w:bCs/>
          <w:color w:val="auto"/>
          <w:sz w:val="20"/>
          <w:szCs w:val="20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  <w:fldChar w:fldCharType="begin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  <w:fldChar w:fldCharType="separate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highlight w:val="none"/>
          <w:lang w:eastAsia="zh-CN"/>
        </w:rPr>
        <w:t>. Sensitivity analysis of the association of TyG-NCCR with the endpoint event.</w:t>
      </w:r>
      <w:bookmarkEnd w:id="26"/>
      <w:bookmarkEnd w:id="27"/>
    </w:p>
    <w:p w14:paraId="6463BC1D">
      <w:pP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tbl>
      <w:tblPr>
        <w:tblStyle w:val="10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783"/>
        <w:gridCol w:w="879"/>
        <w:gridCol w:w="783"/>
        <w:gridCol w:w="772"/>
        <w:gridCol w:w="783"/>
        <w:gridCol w:w="879"/>
        <w:gridCol w:w="783"/>
        <w:gridCol w:w="880"/>
        <w:gridCol w:w="1429"/>
        <w:gridCol w:w="1267"/>
      </w:tblGrid>
      <w:tr w14:paraId="6C17F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09738D2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bookmarkStart w:id="28" w:name="_Toc28801"/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Characteristic</w:t>
            </w:r>
          </w:p>
        </w:tc>
        <w:tc>
          <w:tcPr>
            <w:tcW w:w="778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D823B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Sensitivity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</w:t>
            </w:r>
          </w:p>
        </w:tc>
        <w:tc>
          <w:tcPr>
            <w:tcW w:w="728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090A59"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Sensitivity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</w:t>
            </w:r>
          </w:p>
        </w:tc>
        <w:tc>
          <w:tcPr>
            <w:tcW w:w="778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E1D0BF"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Sensitivity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</w:t>
            </w:r>
          </w:p>
        </w:tc>
        <w:tc>
          <w:tcPr>
            <w:tcW w:w="778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C09BB"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Sensitivity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</w:t>
            </w:r>
          </w:p>
        </w:tc>
        <w:tc>
          <w:tcPr>
            <w:tcW w:w="1262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78C89"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Sensitivity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perscript"/>
                <w:lang w:val="en-US" w:eastAsia="zh-CN"/>
              </w:rPr>
              <w:t>###</w:t>
            </w:r>
          </w:p>
        </w:tc>
      </w:tr>
      <w:tr w14:paraId="5B5F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00180203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530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EDAD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D07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4E0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AB2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7EBE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AAEC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41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DBD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A03C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95% CI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CF4B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</w:tr>
      <w:tr w14:paraId="482E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3DD1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TyG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eastAsia="zh-CN"/>
              </w:rPr>
              <w:t>NCCR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DFA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</w:tcPr>
          <w:p w14:paraId="527E2293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D59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07753C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AF6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48614D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06D626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96FB03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2233CA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93485B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999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C2D8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Q1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071C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 (Ref)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C25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210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 (Ref)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75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A232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 (Ref)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3E55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4ADE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 (Ref)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ABA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823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 (Ref)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C3D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CE79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172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Q2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DF17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1.44 (1.18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1.76)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208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1411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2.73 (0.72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10.3)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EE2F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7030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1, 1.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9868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0D6E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1, 1.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E94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96F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974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608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2D6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Q3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3B28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1.61 (1.32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1.96)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2054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EBD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3.36 (0.92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12.3)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089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819F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67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2.06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71A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0E7F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66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2.05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D7F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825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44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1.79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679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3279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ADD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Q4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97AF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1.66 (1.35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2.04)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8A1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AA5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4.89 (1.35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17.7)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EB5E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639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2.11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70E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EEDD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2.12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0CD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59A0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1.89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198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8AE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291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/>
                <w:iCs/>
                <w:strike w:val="0"/>
                <w:color w:val="auto"/>
                <w:sz w:val="20"/>
                <w:szCs w:val="20"/>
                <w:u w:val="none"/>
              </w:rPr>
              <w:t>P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for trend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D252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0137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6E51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137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0.011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68EA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221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24D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B330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D14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B195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tr w14:paraId="2537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927C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TyG-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eastAsia="zh-CN"/>
              </w:rPr>
              <w:t>NCCR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(per SD)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CEB3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19 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1.12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1.26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2627D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0CB6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1.64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1.20, 2.25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E1BCB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C90F2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1.1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1.2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F277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88F4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1.2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4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2CC7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05190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(1.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1.2</w:t>
            </w: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2613A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right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bookmarkEnd w:id="28"/>
    </w:tbl>
    <w:p w14:paraId="0F00FF81">
      <w:pP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 xml:space="preserve">Abbreviation: 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CI, confidence interval; CKM, Cardiovascular-Kidney-Metabolic Syndrome; HR, hazard ratio; SD, standard deviation; TyG, triglyceride-glucose; NCCR, Normalized Creatinine-to-Cystatin C Ratio. 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</w:t>
      </w:r>
    </w:p>
    <w:p w14:paraId="584A1562">
      <w:pP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  <w:t>Competing risk analysis.</w:t>
      </w:r>
    </w:p>
    <w:p w14:paraId="37797890">
      <w:pPr>
        <w:rPr>
          <w:rFonts w:hint="default" w:ascii="Times New Roman" w:hAnsi="Times New Roman" w:cs="Times New Roman"/>
          <w:color w:val="auto"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##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baseline"/>
          <w:lang w:val="en-US" w:eastAsia="zh-CN"/>
        </w:rPr>
        <w:t xml:space="preserve">Lag-time analysis after excluding individuals who progressed to CKM stage 4 within 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baseline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baseline"/>
          <w:lang w:val="en-US" w:eastAsia="zh-CN"/>
        </w:rPr>
        <w:t xml:space="preserve"> year of follow-up.</w:t>
      </w:r>
    </w:p>
    <w:p w14:paraId="33ACC4FD">
      <w:pP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##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  <w:t>Based on Model 3, further adjustment was made for history of glucose-lowering and lipid-lowering medication use.</w:t>
      </w:r>
    </w:p>
    <w:p w14:paraId="4BCE7E2B">
      <w:pP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###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  <w:t>Complete-case sensitivity analysis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 w14:paraId="242C1DD9">
      <w:pP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##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superscript"/>
          <w:lang w:val="en-US" w:eastAsia="zh-CN"/>
        </w:rPr>
        <w:t>###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/>
        </w:rPr>
        <w:t>Further adjustment for baseline CKM stages based on the fully adjusted model.</w:t>
      </w:r>
    </w:p>
    <w:p w14:paraId="1AB384C0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38F81B10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6532736B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583DBEBE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585D013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18897C91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46CD6057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358C58BD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0CD95402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00C230D3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025D527B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558F8785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24BC9EE6">
      <w:pPr>
        <w:pStyle w:val="2"/>
        <w:bidi w:val="0"/>
        <w:jc w:val="both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47E1A05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6800D33B">
      <w:pPr>
        <w:rPr>
          <w:rFonts w:hint="default" w:ascii="Times New Roman" w:hAnsi="Times New Roman" w:cs="Times New Roman"/>
          <w:color w:val="auto"/>
        </w:rPr>
      </w:pPr>
    </w:p>
    <w:p w14:paraId="09E866EC">
      <w:pPr>
        <w:pStyle w:val="2"/>
        <w:bidi w:val="0"/>
        <w:jc w:val="both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</w:pPr>
    </w:p>
    <w:p w14:paraId="4C7AB0E4">
      <w:pPr>
        <w:pStyle w:val="2"/>
        <w:bidi w:val="0"/>
        <w:jc w:val="center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/>
        </w:rPr>
      </w:pPr>
      <w:bookmarkStart w:id="29" w:name="_Toc16037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t xml:space="preserve">Supplementary Table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t>5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/>
        </w:rPr>
        <w:t>Baseline characteristics by progression to CKM stage 4 in the UK Biobank cohort.</w:t>
      </w:r>
      <w:bookmarkEnd w:id="29"/>
    </w:p>
    <w:p w14:paraId="75A4D858">
      <w:pPr>
        <w:rPr>
          <w:rFonts w:hint="default" w:ascii="Times New Roman" w:hAnsi="Times New Roman" w:cs="Times New Roman"/>
          <w:color w:val="auto"/>
          <w:lang w:eastAsia="zh-CN"/>
        </w:rPr>
      </w:pPr>
    </w:p>
    <w:tbl>
      <w:tblPr>
        <w:tblStyle w:val="9"/>
        <w:tblW w:w="5034" w:type="pct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2028"/>
        <w:gridCol w:w="2809"/>
        <w:gridCol w:w="2486"/>
        <w:gridCol w:w="795"/>
      </w:tblGrid>
      <w:tr w14:paraId="14989C9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25" w:type="pct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48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Variables</w:t>
            </w:r>
          </w:p>
        </w:tc>
        <w:tc>
          <w:tcPr>
            <w:tcW w:w="942" w:type="pct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6FA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Overall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=315391)</w:t>
            </w:r>
          </w:p>
        </w:tc>
        <w:tc>
          <w:tcPr>
            <w:tcW w:w="1305" w:type="pct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5B8A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CKM Stage 0-3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=259792)</w:t>
            </w:r>
          </w:p>
        </w:tc>
        <w:tc>
          <w:tcPr>
            <w:tcW w:w="1155" w:type="pct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64E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CKM Stage 4 (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=55599)</w:t>
            </w:r>
          </w:p>
        </w:tc>
        <w:tc>
          <w:tcPr>
            <w:tcW w:w="369" w:type="pct"/>
            <w:tcBorders>
              <w:top w:val="single" w:color="000000" w:themeColor="text1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BD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</w:tr>
      <w:tr w14:paraId="05543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08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Age,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CF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57.78 (6.83)</w:t>
            </w:r>
          </w:p>
        </w:tc>
        <w:tc>
          <w:tcPr>
            <w:tcW w:w="13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47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57.15 (6.79)</w:t>
            </w:r>
          </w:p>
        </w:tc>
        <w:tc>
          <w:tcPr>
            <w:tcW w:w="11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57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60.74 (6.23)</w:t>
            </w:r>
          </w:p>
        </w:tc>
        <w:tc>
          <w:tcPr>
            <w:tcW w:w="3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1C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7569544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20BE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Sex,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096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D6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422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FAF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238C386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70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Female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63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178049 (56.5)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3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152904 (58.9)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92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25145 (45.2)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C0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6EAC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017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Male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432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137342 (43.5)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A51B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106888 (41.1)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B0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30454 (54.8)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1D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46AF1EA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516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Ethnic background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7C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283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5AA8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F4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0D08A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FC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White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69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299301 (95.0)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AD7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246262 (94.9)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D1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53039 (95.5)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94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0E825A1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18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Others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B8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14678 (4.7)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55C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12434 (4.8)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116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2244 (4.0)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D3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2191F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F5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Prefer not to answer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11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1008 (0.3)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0F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783 (0.3)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06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225 (0.4)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794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7B49F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B4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Do not know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A88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116 (0.0)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46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94 (0.0)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7D6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22 (0.0)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B8A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08B69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6B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Education,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5D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BD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70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C7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296A2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B8B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University degree or above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A1D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101545 (32.2)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C8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86908 (33.5)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98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14637 (26.4)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03D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E547DB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41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Other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D4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210288 (66.7)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5F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170151 (65.5)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35E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40137 (72.3)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C6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3EE6A97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19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Prefer not to answer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DD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3272 (1.0)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92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2516 (1.0)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A6B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756 (1.4)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E02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DCCD2C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DB3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Household income,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553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34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0DF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4A3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0F116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71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High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45D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68131 (21.7)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3E1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60132 (23.2)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D3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7999 (14.5)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95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2664735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F1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Low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28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59828 (19.0)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4B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45372 (17.5)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809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14456 (26.2)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6AA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38D2AA6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0D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Medium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C1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140643 (44.7)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331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116914 (45.1)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29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23729 (42.9)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EF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142BC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798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Do not know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39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13409 (4.3)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A6F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10579 (4.1)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D5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2830 (5.1)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5C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2CF8F4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216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Prefer not to answer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A10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32358 (10.3)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9BD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26102 (10.1)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7C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6256 (11.3)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84C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2644890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4D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Smok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ing status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6FE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12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6F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A0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24D5237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0F7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Current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E53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30667 (9.7)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BE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23362 (9.0)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F58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7305 (13.2)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E9D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4B4A1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B3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Never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19A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173848 (55.2)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188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147741 (56.9)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8CF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26107 (47.0)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FE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4BE7E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95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Previous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9C6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109375 (34.7)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2F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87560 (33.7)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0DF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21815 (39.3)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9B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1E6E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C19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Prefer not to answer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34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1214 (0.4)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E8C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911 (0.4)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E2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303 (0.5)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056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5A96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044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Drink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ing status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F6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1B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BF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9D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10858F9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98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Current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45D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291140 (92.4)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83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240711 (92.7)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0E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50429 (90.8)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5EC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1D9A0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C93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Never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837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13088 (4.2)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72D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10551 (4.1)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172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2537 (4.6)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F0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EB58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E16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Previous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3C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10485 (3.3)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B7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8011 (3.1)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499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2474 (4.5)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60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3E46FEE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AEE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Prefer not to answer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AC3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390 (0.1)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783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300 (0.1)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84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90 (0.2)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133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60FDE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23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Hypertension,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32A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A3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190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89D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65B5C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94A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No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C0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138166 (43.8)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5E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121769 (46.9)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EE5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16397 (29.5)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9E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11443C2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5FC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5A8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177225 (56.2)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31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138023 (53.1)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D15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39202 (70.5)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B13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481D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95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Diabetes, n (%)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4DB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3CE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A3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42A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0.001</w:t>
            </w:r>
          </w:p>
        </w:tc>
      </w:tr>
      <w:tr w14:paraId="0478C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EC6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No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FF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297665 (94.4)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756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247454 (95.3)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E01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50211 (90.3)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A4F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79942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A09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Yes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08E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17726 (5.6)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DE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12338 (4.7)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90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5388 (9.7)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A4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0E993C0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86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Cholesterol,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49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5.82 (1.11)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5E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5.84 (1.10)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14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5.74 (1.17)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8B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4E9E6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69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Triglycerides, median (IQR)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2D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1.50 [1.06, 2.15]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D1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1.47 [1.04, 2.11]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6F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1.64 [1.16, 2.34]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AD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46867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76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Glucose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, median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IQR)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09A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4.94 [4.61, 5.32]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5DA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4.93 [4.61, 5.30]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44C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4.99 [4.65, 5.42]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7F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2ACF35B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A6E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HbA1c, median (IQR)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12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35.30 [33.00, 37.90]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07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35.20 [32.80, 37.60]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8F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36.10 [33.50, 39.00]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DF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08044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5F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TyG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-NCCR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84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3.50 (0.68)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08F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3.46 (0.67)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83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3.67 (0.68)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E38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27083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94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TyG,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3D5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1.35 (0.56)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12E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1.33 (0.55)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1E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1.45 (0.56)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E4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4E084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68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NCCR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, mean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(SD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95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0.12 (0.03)</w:t>
            </w:r>
          </w:p>
        </w:tc>
        <w:tc>
          <w:tcPr>
            <w:tcW w:w="1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058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0.12 (0.03)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F34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0.11 (0.03)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55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3B364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C3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TG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HDL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ratio, median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IQR)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D6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1.05 [0.66, 1.70]</w:t>
            </w:r>
          </w:p>
        </w:tc>
        <w:tc>
          <w:tcPr>
            <w:tcW w:w="1305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782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1.02 [0.64, 1.65]</w:t>
            </w:r>
          </w:p>
        </w:tc>
        <w:tc>
          <w:tcPr>
            <w:tcW w:w="1155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350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1.22 [0.76, 1.95]</w:t>
            </w:r>
          </w:p>
        </w:tc>
        <w:tc>
          <w:tcPr>
            <w:tcW w:w="369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E9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</w:tbl>
    <w:p w14:paraId="689488F4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Abbreviations: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CKM, Cardiovascular-Kidney-Metabolic Syndrome;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HbA1c, glycated hemoglobin; HDL-C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High-Density Lipoprotein Cholesterol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IQR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interquartile range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SD, standard deviation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TG, triglycerides; TyG, triglyceride-glucose;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NCCR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, Normalized Creatinine-to-Cystatin C Ratio.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 </w:t>
      </w:r>
    </w:p>
    <w:p w14:paraId="34FAB9E7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424981A2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3A329963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2EAE16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CB3394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19733F1B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3840FCC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5F8586D1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316C13F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18F95EBA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6C82329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11EA0335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1B31B01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5E0B3547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63C2A43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18FE0C0C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4C635805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B22C4EA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32F057DD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0659851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FCFAA3C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FF0DC59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7480517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85444BD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46DE1D8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3F98E251">
      <w:pPr>
        <w:rPr>
          <w:rFonts w:hint="default" w:ascii="Times New Roman" w:hAnsi="Times New Roman" w:cs="Times New Roman"/>
          <w:color w:val="auto"/>
        </w:rPr>
      </w:pPr>
    </w:p>
    <w:p w14:paraId="51D23362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72122F2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  <w:bookmarkStart w:id="30" w:name="_Toc22479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Table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Supplementary_Table \* ARABIC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6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Cox regression analysis of TyG-NCCR for the risk of progression to CKM stage 4 in the UK Biobank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  <w:t>.</w:t>
      </w:r>
      <w:bookmarkEnd w:id="30"/>
    </w:p>
    <w:tbl>
      <w:tblPr>
        <w:tblStyle w:val="9"/>
        <w:tblW w:w="91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01"/>
        <w:gridCol w:w="892"/>
        <w:gridCol w:w="1596"/>
        <w:gridCol w:w="58"/>
        <w:gridCol w:w="852"/>
        <w:gridCol w:w="1144"/>
        <w:gridCol w:w="559"/>
        <w:gridCol w:w="846"/>
      </w:tblGrid>
      <w:tr w14:paraId="683E1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8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97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Characteristic</w:t>
            </w:r>
          </w:p>
        </w:tc>
        <w:tc>
          <w:tcPr>
            <w:tcW w:w="160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D7E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Model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0"/>
                <w:szCs w:val="20"/>
                <w:highlight w:val="none"/>
                <w:vertAlign w:val="superscript"/>
                <w:lang w:val="en-US" w:eastAsia="zh-CN"/>
              </w:rPr>
              <w:t>#</w:t>
            </w:r>
          </w:p>
        </w:tc>
        <w:tc>
          <w:tcPr>
            <w:tcW w:w="89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3C8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654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C77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Model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0"/>
                <w:szCs w:val="20"/>
                <w:highlight w:val="none"/>
                <w:vertAlign w:val="superscript"/>
                <w:lang w:val="en-US" w:eastAsia="zh-CN"/>
              </w:rPr>
              <w:t>##</w:t>
            </w:r>
          </w:p>
        </w:tc>
        <w:tc>
          <w:tcPr>
            <w:tcW w:w="85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D28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8BA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Model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0"/>
                <w:szCs w:val="20"/>
                <w:highlight w:val="none"/>
                <w:vertAlign w:val="superscript"/>
                <w:lang w:val="en-US" w:eastAsia="zh-CN"/>
              </w:rPr>
              <w:t>###</w:t>
            </w:r>
          </w:p>
        </w:tc>
        <w:tc>
          <w:tcPr>
            <w:tcW w:w="1405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3E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1A2A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8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BA4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B39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95%CI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5C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A5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95%CI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F90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DD5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HR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95%CI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F0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strike w:val="0"/>
                <w:color w:val="auto"/>
                <w:sz w:val="20"/>
                <w:szCs w:val="20"/>
                <w:u w:val="none"/>
              </w:rPr>
              <w:t>value</w:t>
            </w:r>
          </w:p>
        </w:tc>
      </w:tr>
      <w:tr w14:paraId="2A9DF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20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TyG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strike w:val="0"/>
                <w:color w:val="auto"/>
                <w:sz w:val="20"/>
                <w:szCs w:val="20"/>
                <w:u w:val="none"/>
              </w:rPr>
              <w:t>NCCR</w:t>
            </w:r>
          </w:p>
        </w:tc>
        <w:tc>
          <w:tcPr>
            <w:tcW w:w="16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146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544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8B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01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92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B42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224C4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912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  <w:t>Q1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CD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1EF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A6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FD7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4FE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B5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</w:tr>
      <w:tr w14:paraId="78C12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614FD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  <w:t>Q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8683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1.40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1.36, 1.44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C7C7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60DF8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1.13, 1.20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CA7B8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43E62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1.07, 1.13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38D45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43E83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9CD0E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  <w:t>Q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33AD6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1.70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1.66, 1.75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DAB6D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9DC8EF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1.30, 1.37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7535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FC2F6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1.21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1.18, 1.24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A7B1A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1322A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7A2FD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  <w:t>Q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EFAC9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2.14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2.09, 2.19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A09F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8B743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1.66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1.62, 1.70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481D5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73E4C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1.33, 1.41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5C824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2B11A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F0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/>
                <w:iCs/>
                <w:strike w:val="0"/>
                <w:color w:val="auto"/>
                <w:sz w:val="20"/>
                <w:szCs w:val="20"/>
                <w:u w:val="none"/>
              </w:rPr>
              <w:t>P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strike w:val="0"/>
                <w:color w:val="auto"/>
                <w:sz w:val="20"/>
                <w:szCs w:val="20"/>
                <w:u w:val="none"/>
              </w:rPr>
              <w:t xml:space="preserve"> for trend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C87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16E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45D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1E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270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D87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100" w:after="10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strike w:val="0"/>
                <w:color w:val="auto"/>
                <w:sz w:val="20"/>
                <w:szCs w:val="20"/>
                <w:u w:val="none"/>
              </w:rPr>
              <w:t>&lt;0.001</w:t>
            </w:r>
          </w:p>
        </w:tc>
      </w:tr>
      <w:tr w14:paraId="4F421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6692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TyG-NCCR std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625F7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1.32, 1.34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C7A73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29634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1.23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1.22, 1.25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DBF06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D7081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1.13, 1.15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E8E8D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0" w:after="10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</w:tbl>
    <w:p w14:paraId="7C414A06">
      <w:pPr>
        <w:tabs>
          <w:tab w:val="left" w:pos="2283"/>
        </w:tabs>
        <w:bidi w:val="0"/>
        <w:jc w:val="left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Abbreviation: CI, confidence interval; HR, hazard ratio; SD, standard deviation; TyG, triglyceride-glucose; NCCR, Normalized Creatinine-to-Cystatin C Ratio.</w:t>
      </w:r>
    </w:p>
    <w:p w14:paraId="2C5A0412">
      <w:pP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vertAlign w:val="superscript"/>
          <w:lang w:val="en-US" w:eastAsia="zh-CN"/>
        </w:rPr>
        <w:t>#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Model 1: unadjusted. 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vertAlign w:val="superscript"/>
          <w:lang w:val="en-US" w:eastAsia="zh-CN"/>
        </w:rPr>
        <w:t>##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Model 2: adjusted for sex, age. 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vertAlign w:val="superscript"/>
          <w:lang w:val="en-US" w:eastAsia="zh-CN"/>
        </w:rPr>
        <w:t>###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Model 3: adjusted for age, sex, 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e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thnic background, education, income, smoking, drinking, hypertension, diabetes.</w:t>
      </w:r>
    </w:p>
    <w:p w14:paraId="79B5489D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516D33A4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3BF3E81E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559DE109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77C0F03E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288E847A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04E4B802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</w:p>
    <w:p w14:paraId="57E20E5F">
      <w:pPr>
        <w:jc w:val="center"/>
        <w:rPr>
          <w:rFonts w:hint="default" w:ascii="Times New Roman" w:hAnsi="Times New Roman" w:cs="Times New Roman"/>
          <w:color w:val="auto"/>
        </w:rPr>
      </w:pPr>
    </w:p>
    <w:p w14:paraId="3B637412">
      <w:pPr>
        <w:jc w:val="center"/>
        <w:rPr>
          <w:rFonts w:hint="default" w:ascii="Times New Roman" w:hAnsi="Times New Roman" w:cs="Times New Roman"/>
          <w:color w:val="auto"/>
          <w:lang w:eastAsia="zh-CN"/>
        </w:rPr>
      </w:pPr>
    </w:p>
    <w:p w14:paraId="597527D3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4FF60956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41ADFE4D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5F253B35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1EA83568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250DBCDB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</w:p>
    <w:p w14:paraId="150870EA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</w:pPr>
      <w:bookmarkStart w:id="31" w:name="_Toc26178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Supplementary_Fig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1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Proportion of missing data for each variable.</w:t>
      </w:r>
      <w:bookmarkEnd w:id="31"/>
    </w:p>
    <w:p w14:paraId="5724B0C1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pict>
          <v:shape id="_x0000_i1025" o:spt="75" type="#_x0000_t75" style="height:245.8pt;width:268.3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</w:p>
    <w:p w14:paraId="24950649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Abbreviation: HbA1c, glycated hemoglobin; HDL-C,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igh-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ensity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l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ipoprotein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holesterol;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LDL, low-density lipoprotein;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TG, triglycerides; TyG, triglyceride-glucose; NCCR,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n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ormalized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reatinine-to-Cystatin C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atio.</w:t>
      </w:r>
    </w:p>
    <w:p w14:paraId="16EB6ECB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42D2CC40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2BF21E2A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7132BFE2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4E782E05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2B32A615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1146010C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5E6A044A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3C054D9F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189F5246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56725EAA">
      <w:pPr>
        <w:jc w:val="left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15799313">
      <w:pPr>
        <w:jc w:val="center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8319794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</w:pPr>
      <w:bookmarkStart w:id="32" w:name="_Toc28615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Supplementary_Fig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2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Time‑dependent ROC analysis of TyG‑NCCR, TyG, and TG/HDL‑C before and after covariate adjustment in the CHARLS cohort.</w:t>
      </w:r>
      <w:bookmarkEnd w:id="32"/>
    </w:p>
    <w:p w14:paraId="5C6A4BF8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pict>
          <v:shape id="_x0000_i1026" o:spt="75" type="#_x0000_t75" style="height:238.35pt;width:450.2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</w:p>
    <w:p w14:paraId="3A607499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(A) 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Unadjusted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; (B) A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djusted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Abbreviation: AUC, area under the curve; HDL-C, high-density lipoprotein cholesterol; TG, triglycerides; TyG, triglyceride-glucose; NCCR, normalized creatinine-to-Cystatin C ratio.</w:t>
      </w:r>
    </w:p>
    <w:p w14:paraId="4375AE6A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4482030A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FB693F6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36CE83F3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DB3C333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4238EE14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3A21026B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8F5CB2C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5D0623BA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504DC62A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7561D55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D7DB980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9E686B6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7A982D29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7B21413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6D79C83C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0F47B609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0982EC7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250B92A0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7BD2705F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44C06779">
      <w:pP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</w:pPr>
    </w:p>
    <w:p w14:paraId="1A722A41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</w:pPr>
      <w:bookmarkStart w:id="33" w:name="_Toc11408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Supplementary_Fig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3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Joint association of TyG index tertiles and NCCR tertiles with the risk of progression to CKM stage 4.</w:t>
      </w:r>
      <w:bookmarkEnd w:id="33"/>
    </w:p>
    <w:p w14:paraId="1FCA2E29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pict>
          <v:shape id="_x0000_i1027" o:spt="75" type="#_x0000_t75" style="height:275.7pt;width:309.8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</w:p>
    <w:p w14:paraId="6FAB496C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Abbreviation: TyG, triglyceride-glucose; NCCR, normalized creatinine-to-Cystatin C ratio.</w:t>
      </w:r>
    </w:p>
    <w:p w14:paraId="5E931F04">
      <w:pPr>
        <w:jc w:val="both"/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>*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0"/>
          <w:szCs w:val="20"/>
        </w:rPr>
        <w:t>P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&lt; 0.05, **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0"/>
          <w:szCs w:val="20"/>
        </w:rPr>
        <w:t>P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&lt; 0.01.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 </w:t>
      </w:r>
    </w:p>
    <w:p w14:paraId="2CC44C78">
      <w:pPr>
        <w:jc w:val="center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498D4CB5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  <w:bookmarkStart w:id="34" w:name="_Toc16987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Supplementary_Fig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4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RCS curves for TyG-NCCR, TyG, and TG/HDL-C in the UK Biobank validation cohort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  <w:t>.</w:t>
      </w:r>
      <w:bookmarkEnd w:id="34"/>
    </w:p>
    <w:p w14:paraId="060A76C7">
      <w:pPr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</w:rPr>
        <w:pict>
          <v:shape id="_x0000_i1028" o:spt="75" type="#_x0000_t75" style="height:385.85pt;width:446.95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</w:p>
    <w:p w14:paraId="5867FB1A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TyG-NCCR. (B) TyG. (C) TG/HDL-C. Abbreviation: CI, confidence interval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.</w:t>
      </w:r>
    </w:p>
    <w:p w14:paraId="6DFFFB4D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</w:p>
    <w:p w14:paraId="2C026F32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</w:p>
    <w:p w14:paraId="61BC1396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</w:p>
    <w:p w14:paraId="1F4DD305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</w:p>
    <w:p w14:paraId="7D766C7F">
      <w:pPr>
        <w:pStyle w:val="2"/>
        <w:bidi w:val="0"/>
        <w:jc w:val="center"/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</w:pPr>
      <w:bookmarkStart w:id="35" w:name="_Toc21492"/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val="en-US" w:eastAsia="zh-CN"/>
        </w:rPr>
        <w:t>Fig.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instrText xml:space="preserve"> SEQ Supplementary_Fig </w:instrTex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t>5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lang w:eastAsia="zh-CN"/>
        </w:rPr>
        <w:t>.</w:t>
      </w:r>
      <w:r>
        <w:rPr>
          <w:rFonts w:hint="default" w:ascii="Times New Roman" w:hAnsi="Times New Roman" w:cs="Times New Roman"/>
          <w:b/>
          <w:bCs w:val="0"/>
          <w:color w:val="auto"/>
          <w:sz w:val="20"/>
          <w:szCs w:val="20"/>
          <w:highlight w:val="none"/>
          <w:lang w:eastAsia="zh-CN"/>
        </w:rPr>
        <w:t xml:space="preserve"> Time-dependent AUCs of TyG-NCCR, TyG, and TG/HDL-C at 5 and 8 years in the UK Biobank.</w:t>
      </w:r>
      <w:bookmarkEnd w:id="35"/>
    </w:p>
    <w:p w14:paraId="1E1684A6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pict>
          <v:shape id="_x0000_i1029" o:spt="75" type="#_x0000_t75" style="height:249.6pt;width:489.1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</w:p>
    <w:p w14:paraId="377D7813">
      <w:pPr>
        <w:jc w:val="left"/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(A) Time-dependent ROC curves at 5 years. (B) Time-dependent ROC curves at 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 years.</w:t>
      </w:r>
      <w:r>
        <w:rPr>
          <w:rFonts w:hint="default" w:ascii="Times New Roman" w:hAnsi="Times New Roman" w:cs="Times New Roman"/>
          <w:b w:val="0"/>
          <w:bCs/>
          <w:color w:val="auto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Abbreviation: AUC, area under the curve; HDL-C, high-density lipoprotein cholesterol; TG, triglycerides; TyG, triglyceride-glucose; NCCR, normalized creatinine-to-Cystatin C ratio.</w:t>
      </w:r>
    </w:p>
    <w:p w14:paraId="6F6B699A">
      <w:pPr>
        <w:jc w:val="both"/>
        <w:rPr>
          <w:rFonts w:hint="default" w:ascii="Times New Roman" w:hAnsi="Times New Roman" w:cs="Times New Roman"/>
          <w:color w:val="auto"/>
          <w:lang w:val="en-US" w:eastAsia="zh-CN"/>
        </w:rPr>
      </w:pPr>
    </w:p>
    <w:bookmarkEnd w:id="36"/>
    <w:sectPr>
      <w:headerReference r:id="rId5" w:type="default"/>
      <w:footerReference r:id="rId6" w:type="default"/>
      <w:pgSz w:w="11906" w:h="16838"/>
      <w:pgMar w:top="720" w:right="720" w:bottom="777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2D3CE">
    <w:pPr>
      <w:pStyle w:val="6"/>
      <w:jc w:val="center"/>
    </w:pPr>
    <w:r>
      <w:pict>
        <v:shape id="文本框 12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C5354F9">
                <w:pPr>
                  <w:pStyle w:val="6"/>
                  <w:jc w:val="center"/>
                </w:pPr>
                <w:r>
                  <w:fldChar w:fldCharType="begin"/>
                </w:r>
                <w:r>
                  <w:instrText xml:space="preserve">PAGE   \* MERGEFORMAT</w:instrText>
                </w:r>
                <w:r>
                  <w:fldChar w:fldCharType="separate"/>
                </w:r>
                <w:r>
                  <w:rPr>
                    <w:lang w:val="zh-CN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  <w:p w14:paraId="67F7E91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F5596">
    <w:pPr>
      <w:pStyle w:val="6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B0DDD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44709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6028C2"/>
    <w:multiLevelType w:val="singleLevel"/>
    <w:tmpl w:val="A86028C2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3C330F0F"/>
    <w:rsid w:val="001C1AAE"/>
    <w:rsid w:val="002440C8"/>
    <w:rsid w:val="00450BD1"/>
    <w:rsid w:val="007E5C8D"/>
    <w:rsid w:val="00827B90"/>
    <w:rsid w:val="00901194"/>
    <w:rsid w:val="009F5826"/>
    <w:rsid w:val="00AA243F"/>
    <w:rsid w:val="00CF24C5"/>
    <w:rsid w:val="01617211"/>
    <w:rsid w:val="01C25065"/>
    <w:rsid w:val="024D47FC"/>
    <w:rsid w:val="02C1537F"/>
    <w:rsid w:val="03F37B09"/>
    <w:rsid w:val="04096FAB"/>
    <w:rsid w:val="04275653"/>
    <w:rsid w:val="04C90CFF"/>
    <w:rsid w:val="04DE4D01"/>
    <w:rsid w:val="05107E95"/>
    <w:rsid w:val="0511650D"/>
    <w:rsid w:val="061C0467"/>
    <w:rsid w:val="06EF3425"/>
    <w:rsid w:val="071D2997"/>
    <w:rsid w:val="072E0AA7"/>
    <w:rsid w:val="073E518E"/>
    <w:rsid w:val="07946601"/>
    <w:rsid w:val="08513C0E"/>
    <w:rsid w:val="09412287"/>
    <w:rsid w:val="09483E00"/>
    <w:rsid w:val="09D43A05"/>
    <w:rsid w:val="0A0C4F72"/>
    <w:rsid w:val="0A3C4D9D"/>
    <w:rsid w:val="0A7113D6"/>
    <w:rsid w:val="0A7F4FF6"/>
    <w:rsid w:val="0AA10745"/>
    <w:rsid w:val="0AA550FC"/>
    <w:rsid w:val="0AA95618"/>
    <w:rsid w:val="0ABD1E8E"/>
    <w:rsid w:val="0AC56AF3"/>
    <w:rsid w:val="0AF85654"/>
    <w:rsid w:val="0B344CE4"/>
    <w:rsid w:val="0B34681E"/>
    <w:rsid w:val="0BDF6813"/>
    <w:rsid w:val="0C476893"/>
    <w:rsid w:val="0C5A3087"/>
    <w:rsid w:val="0CD4630D"/>
    <w:rsid w:val="0D9A1924"/>
    <w:rsid w:val="0FB73C74"/>
    <w:rsid w:val="101A598B"/>
    <w:rsid w:val="10E03BB5"/>
    <w:rsid w:val="110D3A00"/>
    <w:rsid w:val="11393F6C"/>
    <w:rsid w:val="11B97A1A"/>
    <w:rsid w:val="11D010D8"/>
    <w:rsid w:val="1312127D"/>
    <w:rsid w:val="13C01002"/>
    <w:rsid w:val="148368D6"/>
    <w:rsid w:val="152A02FC"/>
    <w:rsid w:val="15DA3CC3"/>
    <w:rsid w:val="160E7A0D"/>
    <w:rsid w:val="169B4545"/>
    <w:rsid w:val="17345C65"/>
    <w:rsid w:val="17E0069A"/>
    <w:rsid w:val="18E65825"/>
    <w:rsid w:val="195048CF"/>
    <w:rsid w:val="1959257F"/>
    <w:rsid w:val="19607342"/>
    <w:rsid w:val="19DB686C"/>
    <w:rsid w:val="1A4C32C6"/>
    <w:rsid w:val="1A672B43"/>
    <w:rsid w:val="1AA22C32"/>
    <w:rsid w:val="1AC64482"/>
    <w:rsid w:val="1B214C6B"/>
    <w:rsid w:val="1B2D6022"/>
    <w:rsid w:val="1B6A5BC3"/>
    <w:rsid w:val="1C305E9A"/>
    <w:rsid w:val="1CC45CDD"/>
    <w:rsid w:val="1D34223E"/>
    <w:rsid w:val="1D660B43"/>
    <w:rsid w:val="1DF34775"/>
    <w:rsid w:val="1E206F43"/>
    <w:rsid w:val="1F505606"/>
    <w:rsid w:val="2129610F"/>
    <w:rsid w:val="214B2A3F"/>
    <w:rsid w:val="2163669C"/>
    <w:rsid w:val="216703B6"/>
    <w:rsid w:val="21D5750C"/>
    <w:rsid w:val="21E64000"/>
    <w:rsid w:val="21E862D2"/>
    <w:rsid w:val="21F62D8F"/>
    <w:rsid w:val="220365F9"/>
    <w:rsid w:val="22293736"/>
    <w:rsid w:val="224A3694"/>
    <w:rsid w:val="225673D8"/>
    <w:rsid w:val="23B65E2E"/>
    <w:rsid w:val="23C16AD3"/>
    <w:rsid w:val="24BF26D3"/>
    <w:rsid w:val="24DB2419"/>
    <w:rsid w:val="24F47825"/>
    <w:rsid w:val="255676EF"/>
    <w:rsid w:val="25E665E2"/>
    <w:rsid w:val="261844CC"/>
    <w:rsid w:val="264B3D4A"/>
    <w:rsid w:val="265E685B"/>
    <w:rsid w:val="269C29D2"/>
    <w:rsid w:val="26C03072"/>
    <w:rsid w:val="26EE5CC2"/>
    <w:rsid w:val="271D2839"/>
    <w:rsid w:val="27663BDC"/>
    <w:rsid w:val="29865462"/>
    <w:rsid w:val="2997243A"/>
    <w:rsid w:val="29A824A8"/>
    <w:rsid w:val="2A171647"/>
    <w:rsid w:val="2A2B739C"/>
    <w:rsid w:val="2A8645D2"/>
    <w:rsid w:val="2AC50D88"/>
    <w:rsid w:val="2AFF3AFB"/>
    <w:rsid w:val="2B5B6CD2"/>
    <w:rsid w:val="2BC510BF"/>
    <w:rsid w:val="2C274113"/>
    <w:rsid w:val="2C2D7454"/>
    <w:rsid w:val="2C4D7967"/>
    <w:rsid w:val="2CC3566A"/>
    <w:rsid w:val="2D07103F"/>
    <w:rsid w:val="2DAB4B9E"/>
    <w:rsid w:val="2E3730C7"/>
    <w:rsid w:val="2EE854F4"/>
    <w:rsid w:val="2F2B5753"/>
    <w:rsid w:val="2F966BD5"/>
    <w:rsid w:val="3011493E"/>
    <w:rsid w:val="308333A6"/>
    <w:rsid w:val="30B40550"/>
    <w:rsid w:val="30E7123C"/>
    <w:rsid w:val="314D7BF8"/>
    <w:rsid w:val="318813ED"/>
    <w:rsid w:val="31E44152"/>
    <w:rsid w:val="324D56CC"/>
    <w:rsid w:val="326C0660"/>
    <w:rsid w:val="326F0DEC"/>
    <w:rsid w:val="3272294A"/>
    <w:rsid w:val="32D21971"/>
    <w:rsid w:val="32D21D23"/>
    <w:rsid w:val="335D799A"/>
    <w:rsid w:val="337C29D9"/>
    <w:rsid w:val="338B4C95"/>
    <w:rsid w:val="34012F1B"/>
    <w:rsid w:val="343449E4"/>
    <w:rsid w:val="345F4891"/>
    <w:rsid w:val="345F6EB0"/>
    <w:rsid w:val="34A83C95"/>
    <w:rsid w:val="34AA2E6F"/>
    <w:rsid w:val="355D255E"/>
    <w:rsid w:val="358D46C0"/>
    <w:rsid w:val="35AF0E81"/>
    <w:rsid w:val="35B44F21"/>
    <w:rsid w:val="35C62B8C"/>
    <w:rsid w:val="36714543"/>
    <w:rsid w:val="36B424C7"/>
    <w:rsid w:val="36C41E85"/>
    <w:rsid w:val="36FE65A8"/>
    <w:rsid w:val="37543CB0"/>
    <w:rsid w:val="37B87D95"/>
    <w:rsid w:val="37BA6572"/>
    <w:rsid w:val="38222B9A"/>
    <w:rsid w:val="38430A0E"/>
    <w:rsid w:val="38747BC2"/>
    <w:rsid w:val="38D91DC5"/>
    <w:rsid w:val="38E452E6"/>
    <w:rsid w:val="3A842CC8"/>
    <w:rsid w:val="3A9D5259"/>
    <w:rsid w:val="3BBD1E1E"/>
    <w:rsid w:val="3BE21409"/>
    <w:rsid w:val="3C101F4E"/>
    <w:rsid w:val="3C221C81"/>
    <w:rsid w:val="3C26744A"/>
    <w:rsid w:val="3C330F0F"/>
    <w:rsid w:val="3CF7310E"/>
    <w:rsid w:val="3E7B5CA0"/>
    <w:rsid w:val="3F085069"/>
    <w:rsid w:val="3F1F5BD6"/>
    <w:rsid w:val="3F337BA2"/>
    <w:rsid w:val="405A7C3B"/>
    <w:rsid w:val="406301E0"/>
    <w:rsid w:val="40802F5B"/>
    <w:rsid w:val="408829FA"/>
    <w:rsid w:val="409322AE"/>
    <w:rsid w:val="411261EF"/>
    <w:rsid w:val="415D3E87"/>
    <w:rsid w:val="41D15ECA"/>
    <w:rsid w:val="420274C6"/>
    <w:rsid w:val="423D5A66"/>
    <w:rsid w:val="42671BB1"/>
    <w:rsid w:val="42A744D3"/>
    <w:rsid w:val="42D0249F"/>
    <w:rsid w:val="43FA0EF8"/>
    <w:rsid w:val="453246A8"/>
    <w:rsid w:val="476B0980"/>
    <w:rsid w:val="485C76DE"/>
    <w:rsid w:val="48A83CB2"/>
    <w:rsid w:val="48CA7928"/>
    <w:rsid w:val="48D73AF0"/>
    <w:rsid w:val="49066BB2"/>
    <w:rsid w:val="498557F6"/>
    <w:rsid w:val="49971591"/>
    <w:rsid w:val="49BF754D"/>
    <w:rsid w:val="4A0C1777"/>
    <w:rsid w:val="4A6A3171"/>
    <w:rsid w:val="4A782DD9"/>
    <w:rsid w:val="4BCF668C"/>
    <w:rsid w:val="4C0473C6"/>
    <w:rsid w:val="4C0B4A4E"/>
    <w:rsid w:val="4C60771E"/>
    <w:rsid w:val="4C7357F0"/>
    <w:rsid w:val="4D0A290F"/>
    <w:rsid w:val="4D9E6EB1"/>
    <w:rsid w:val="4DEB281B"/>
    <w:rsid w:val="4ED50D56"/>
    <w:rsid w:val="4F3C0B64"/>
    <w:rsid w:val="4F61532D"/>
    <w:rsid w:val="50296092"/>
    <w:rsid w:val="504601DC"/>
    <w:rsid w:val="5050100E"/>
    <w:rsid w:val="506765BF"/>
    <w:rsid w:val="50E9657C"/>
    <w:rsid w:val="510A55DB"/>
    <w:rsid w:val="51E27E6A"/>
    <w:rsid w:val="522B2E3B"/>
    <w:rsid w:val="537F5F13"/>
    <w:rsid w:val="53976FE6"/>
    <w:rsid w:val="53E31309"/>
    <w:rsid w:val="544278CB"/>
    <w:rsid w:val="54D9161F"/>
    <w:rsid w:val="54F226E1"/>
    <w:rsid w:val="555B2034"/>
    <w:rsid w:val="55A44A45"/>
    <w:rsid w:val="55B720FB"/>
    <w:rsid w:val="55BC0649"/>
    <w:rsid w:val="55BD257E"/>
    <w:rsid w:val="561D19DF"/>
    <w:rsid w:val="56872837"/>
    <w:rsid w:val="57BE7EF7"/>
    <w:rsid w:val="590E31C8"/>
    <w:rsid w:val="5932777F"/>
    <w:rsid w:val="59413C36"/>
    <w:rsid w:val="594C04DF"/>
    <w:rsid w:val="595417B1"/>
    <w:rsid w:val="5A0802B0"/>
    <w:rsid w:val="5A783688"/>
    <w:rsid w:val="5B1250D9"/>
    <w:rsid w:val="5B751975"/>
    <w:rsid w:val="5C437540"/>
    <w:rsid w:val="5C8B4D9F"/>
    <w:rsid w:val="5CD54DC2"/>
    <w:rsid w:val="5D9276FC"/>
    <w:rsid w:val="5DDB3583"/>
    <w:rsid w:val="5DF66A37"/>
    <w:rsid w:val="5E537F90"/>
    <w:rsid w:val="5ED2780B"/>
    <w:rsid w:val="5F276374"/>
    <w:rsid w:val="5F590333"/>
    <w:rsid w:val="5FF937CA"/>
    <w:rsid w:val="61521F2D"/>
    <w:rsid w:val="6155202D"/>
    <w:rsid w:val="64074337"/>
    <w:rsid w:val="640A650D"/>
    <w:rsid w:val="641F7851"/>
    <w:rsid w:val="64831167"/>
    <w:rsid w:val="65DC1E77"/>
    <w:rsid w:val="667630C7"/>
    <w:rsid w:val="67144D2B"/>
    <w:rsid w:val="676254A4"/>
    <w:rsid w:val="67EC1211"/>
    <w:rsid w:val="68D53EE5"/>
    <w:rsid w:val="69A1039F"/>
    <w:rsid w:val="69A30E1A"/>
    <w:rsid w:val="6A7B7546"/>
    <w:rsid w:val="6BB564B9"/>
    <w:rsid w:val="6BB60439"/>
    <w:rsid w:val="6BC009EB"/>
    <w:rsid w:val="6D2B75E2"/>
    <w:rsid w:val="6D8D6129"/>
    <w:rsid w:val="6DBA0FC4"/>
    <w:rsid w:val="6DBE5EBD"/>
    <w:rsid w:val="6DC87E48"/>
    <w:rsid w:val="6E0214E2"/>
    <w:rsid w:val="6F380483"/>
    <w:rsid w:val="6F444AAC"/>
    <w:rsid w:val="6FAC5256"/>
    <w:rsid w:val="707504BC"/>
    <w:rsid w:val="70805400"/>
    <w:rsid w:val="70EB02B8"/>
    <w:rsid w:val="719B7F30"/>
    <w:rsid w:val="71B40211"/>
    <w:rsid w:val="721F7D28"/>
    <w:rsid w:val="72966949"/>
    <w:rsid w:val="72D77DB8"/>
    <w:rsid w:val="72F1073A"/>
    <w:rsid w:val="732E2302"/>
    <w:rsid w:val="743F7103"/>
    <w:rsid w:val="74890D32"/>
    <w:rsid w:val="750556C0"/>
    <w:rsid w:val="761042DB"/>
    <w:rsid w:val="76350BF9"/>
    <w:rsid w:val="769530A5"/>
    <w:rsid w:val="76B37ACA"/>
    <w:rsid w:val="76E83A54"/>
    <w:rsid w:val="76FE2720"/>
    <w:rsid w:val="772A02AD"/>
    <w:rsid w:val="772D02D8"/>
    <w:rsid w:val="774B0FD3"/>
    <w:rsid w:val="77C07548"/>
    <w:rsid w:val="78183C24"/>
    <w:rsid w:val="791F1F0F"/>
    <w:rsid w:val="7B4E50F2"/>
    <w:rsid w:val="7B88289C"/>
    <w:rsid w:val="7B974337"/>
    <w:rsid w:val="7BB61CFF"/>
    <w:rsid w:val="7BC167E5"/>
    <w:rsid w:val="7BD1564E"/>
    <w:rsid w:val="7C2B3C5E"/>
    <w:rsid w:val="7C2B6088"/>
    <w:rsid w:val="7D0532C6"/>
    <w:rsid w:val="7DFB58B2"/>
    <w:rsid w:val="7E620B11"/>
    <w:rsid w:val="7EBD5668"/>
    <w:rsid w:val="7EED5B43"/>
    <w:rsid w:val="7F4C3C33"/>
    <w:rsid w:val="7F5065CF"/>
    <w:rsid w:val="7F647FD1"/>
    <w:rsid w:val="7FA960A8"/>
    <w:rsid w:val="7FF826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4"/>
    <w:qFormat/>
    <w:uiPriority w:val="9"/>
    <w:pPr>
      <w:keepNext/>
      <w:keepLines/>
      <w:widowControl w:val="0"/>
      <w:adjustRightInd w:val="0"/>
      <w:snapToGrid w:val="0"/>
      <w:jc w:val="center"/>
      <w:outlineLvl w:val="0"/>
    </w:pPr>
    <w:rPr>
      <w:rFonts w:ascii="Times New Roman" w:hAnsi="Times New Roman" w:eastAsia="Times New Roman" w:cs="Times New Roman"/>
      <w:b/>
      <w:bCs/>
      <w:color w:val="000000"/>
      <w:kern w:val="44"/>
      <w:sz w:val="21"/>
      <w:szCs w:val="4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5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type="paragraph" w:styleId="6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8">
    <w:name w:val="toc 1"/>
    <w:next w:val="1"/>
    <w:unhideWhenUsed/>
    <w:qFormat/>
    <w:uiPriority w:val="3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10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2">
    <w:name w:val="Strong"/>
    <w:qFormat/>
    <w:uiPriority w:val="0"/>
    <w:rPr>
      <w:b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标题 1 字符"/>
    <w:link w:val="2"/>
    <w:qFormat/>
    <w:uiPriority w:val="9"/>
    <w:rPr>
      <w:rFonts w:ascii="Times New Roman" w:hAnsi="Times New Roman" w:eastAsia="Times New Roman" w:cs="Times New Roman"/>
      <w:b/>
      <w:bCs/>
      <w:color w:val="000000"/>
      <w:kern w:val="44"/>
      <w:sz w:val="21"/>
      <w:szCs w:val="44"/>
      <w:lang w:val="en-US" w:eastAsia="zh-CN" w:bidi="ar-SA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等线" w:cs="Calibri"/>
      <w:color w:val="000000"/>
      <w:sz w:val="24"/>
      <w:szCs w:val="24"/>
      <w:lang w:val="en-CA" w:eastAsia="en-CA" w:bidi="ar-SA"/>
    </w:rPr>
  </w:style>
  <w:style w:type="character" w:customStyle="1" w:styleId="16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31"/>
    <w:basedOn w:val="11"/>
    <w:qFormat/>
    <w:uiPriority w:val="0"/>
    <w:rPr>
      <w:rFonts w:hint="default" w:ascii="Arial" w:hAnsi="Arial" w:cs="Arial"/>
      <w:color w:val="1F1F1F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1336</Words>
  <Characters>7768</Characters>
  <Lines>107</Lines>
  <Paragraphs>30</Paragraphs>
  <TotalTime>0</TotalTime>
  <ScaleCrop>false</ScaleCrop>
  <LinksUpToDate>false</LinksUpToDate>
  <CharactersWithSpaces>8745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2025-04-15T10:51:00Z</dcterms:created>
  <dc:creator>杨硕</dc:creator>
  <cp:lastModifiedBy>努力呀</cp:lastModifiedBy>
  <dcterms:modified xsi:type="dcterms:W3CDTF">2026-10-08T07:42:30Z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58C1426994F44C34B81344231D0B0217_13</vt:lpwstr>
  </property>
  <property fmtid="{D5CDD505-2E9C-101B-9397-08002B2CF9AE}" pid="4" name="KSOTemplateDocerSaveRecord">
    <vt:lpwstr>eyJoZGlkIjoiMzEwNTM5NzYwMDRjMzkwZTVkZjY2ODkwMGIxNGU0OTUiLCJ1c2VySWQiOiI0OTU0OTM4MjEifQ==</vt:lpwstr>
  </property>
</Properties>
</file>