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416F5" w14:textId="096CD3E4" w:rsidR="00674943" w:rsidRDefault="00674943" w:rsidP="00674943">
      <w:pPr>
        <w:rPr>
          <w:rFonts w:cs="Arial"/>
          <w:color w:val="0D0D0D" w:themeColor="text1" w:themeTint="F2"/>
          <w:sz w:val="22"/>
          <w:szCs w:val="22"/>
          <w:lang w:val="en-GB"/>
        </w:rPr>
      </w:pPr>
      <w:bookmarkStart w:id="0" w:name="_GoBack"/>
      <w:bookmarkEnd w:id="0"/>
    </w:p>
    <w:tbl>
      <w:tblPr>
        <w:tblStyle w:val="Tablaclsica1"/>
        <w:tblW w:w="9747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7"/>
        <w:gridCol w:w="1512"/>
        <w:gridCol w:w="1418"/>
        <w:gridCol w:w="1984"/>
        <w:gridCol w:w="2126"/>
      </w:tblGrid>
      <w:tr w:rsidR="00674943" w:rsidRPr="00302BC4" w14:paraId="2BA68D74" w14:textId="77777777" w:rsidTr="00E34E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top w:val="single" w:sz="12" w:space="0" w:color="auto"/>
              <w:bottom w:val="single" w:sz="12" w:space="0" w:color="auto"/>
              <w:right w:val="none" w:sz="0" w:space="0" w:color="auto"/>
            </w:tcBorders>
            <w:vAlign w:val="center"/>
          </w:tcPr>
          <w:p w14:paraId="21618674" w14:textId="77777777" w:rsidR="00674943" w:rsidRPr="00302BC4" w:rsidRDefault="00674943" w:rsidP="00F42071">
            <w:pPr>
              <w:jc w:val="center"/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</w:pPr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  <w:t>Mutant strains</w:t>
            </w:r>
          </w:p>
        </w:tc>
        <w:tc>
          <w:tcPr>
            <w:tcW w:w="1512" w:type="dxa"/>
            <w:tcBorders>
              <w:top w:val="single" w:sz="12" w:space="0" w:color="auto"/>
              <w:bottom w:val="single" w:sz="12" w:space="0" w:color="auto"/>
            </w:tcBorders>
          </w:tcPr>
          <w:p w14:paraId="356FD4A0" w14:textId="77777777" w:rsidR="00674943" w:rsidRPr="00302BC4" w:rsidRDefault="00674943" w:rsidP="00F42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</w:pPr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  <w:t xml:space="preserve">Relative hydrogen </w:t>
            </w:r>
            <w:proofErr w:type="spellStart"/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  <w:t>production</w:t>
            </w:r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vertAlign w:val="superscript"/>
                <w:lang w:val="en-GB"/>
              </w:rPr>
              <w:t>c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E3CD8B7" w14:textId="77777777" w:rsidR="00674943" w:rsidRPr="00302BC4" w:rsidRDefault="00674943" w:rsidP="00F42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</w:pPr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  <w:t xml:space="preserve">Relative ethanol </w:t>
            </w:r>
            <w:proofErr w:type="spellStart"/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  <w:t>production</w:t>
            </w:r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vertAlign w:val="superscript"/>
                <w:lang w:val="en-GB"/>
              </w:rPr>
              <w:t>c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52AF1D" w14:textId="77777777" w:rsidR="00674943" w:rsidRPr="00302BC4" w:rsidRDefault="00674943" w:rsidP="00F42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</w:pPr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  <w:t>Carbon source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149BB7" w14:textId="77777777" w:rsidR="00674943" w:rsidRPr="00302BC4" w:rsidRDefault="00674943" w:rsidP="00F420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</w:pPr>
            <w:r w:rsidRPr="00302BC4">
              <w:rPr>
                <w:rFonts w:ascii="Arial" w:hAnsi="Arial" w:cs="Arial"/>
                <w:b/>
                <w:i w:val="0"/>
                <w:color w:val="0D0D0D" w:themeColor="text1" w:themeTint="F2"/>
                <w:szCs w:val="20"/>
                <w:lang w:val="en-GB"/>
              </w:rPr>
              <w:t>Reference</w:t>
            </w:r>
          </w:p>
        </w:tc>
      </w:tr>
      <w:tr w:rsidR="00F42071" w:rsidRPr="00D41A9F" w14:paraId="38816D09" w14:textId="77777777" w:rsidTr="00EC2A3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top w:val="single" w:sz="12" w:space="0" w:color="auto"/>
              <w:right w:val="none" w:sz="0" w:space="0" w:color="auto"/>
            </w:tcBorders>
            <w:vAlign w:val="center"/>
          </w:tcPr>
          <w:p w14:paraId="2F8D6A0B" w14:textId="0C0A3E3A" w:rsidR="00F42071" w:rsidRPr="00F42071" w:rsidRDefault="00F42071" w:rsidP="00EC2A3B">
            <w:pPr>
              <w:tabs>
                <w:tab w:val="left" w:pos="220"/>
                <w:tab w:val="left" w:pos="567"/>
              </w:tabs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Times" w:eastAsiaTheme="minorEastAsia" w:hAnsi="Times" w:cs="Times"/>
                <w:sz w:val="18"/>
                <w:szCs w:val="18"/>
                <w:lang w:eastAsia="ja-JP"/>
              </w:rPr>
            </w:pPr>
            <w:r w:rsidRPr="00BA0C6D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MG1655 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r w:rsidRPr="00BA0C6D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frdA</w:t>
            </w:r>
            <w:proofErr w:type="gramStart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::</w:t>
            </w:r>
            <w:proofErr w:type="gramEnd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FRT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proofErr w:type="spellStart"/>
            <w:r w:rsidRPr="00BA0C6D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ptA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::</w:t>
            </w:r>
            <w:proofErr w:type="spellStart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tet</w:t>
            </w:r>
            <w:r w:rsidRPr="00BA0C6D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tcBorders>
              <w:top w:val="single" w:sz="12" w:space="0" w:color="auto"/>
            </w:tcBorders>
            <w:vAlign w:val="center"/>
          </w:tcPr>
          <w:p w14:paraId="5F29E5BC" w14:textId="77777777" w:rsidR="00F42071" w:rsidRPr="00302BC4" w:rsidRDefault="00F42071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1.06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655F50E9" w14:textId="533D7C13" w:rsidR="00F42071" w:rsidRPr="00302BC4" w:rsidRDefault="00BA0C6D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1.11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14AFDEE7" w14:textId="3ECE35E9" w:rsidR="00F42071" w:rsidRPr="00302BC4" w:rsidRDefault="00CE6576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Glycerol, tryptone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3A06F8BE" w14:textId="0001E262" w:rsidR="00F42071" w:rsidRPr="00302BC4" w:rsidRDefault="00F42071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Yazdani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 and Gonzalez</w:t>
            </w:r>
            <w:r w:rsidR="003B644D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, 2008</w:t>
            </w:r>
            <w:r w:rsidR="003B644D" w:rsidRPr="003B644D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b</w:t>
            </w:r>
          </w:p>
        </w:tc>
      </w:tr>
      <w:tr w:rsidR="00BA0C6D" w:rsidRPr="00D41A9F" w14:paraId="3EE2A817" w14:textId="77777777" w:rsidTr="00E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4157045F" w14:textId="640DAF60" w:rsidR="00BA0C6D" w:rsidRPr="00302BC4" w:rsidRDefault="00BA0C6D" w:rsidP="00E34E3C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BW25113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frd</w:t>
            </w:r>
            <w:r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A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57"/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kan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424F94B1" w14:textId="6745B4B0" w:rsidR="00BA0C6D" w:rsidRPr="00302BC4" w:rsidRDefault="00BA0C6D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1.15</w:t>
            </w:r>
          </w:p>
        </w:tc>
        <w:tc>
          <w:tcPr>
            <w:tcW w:w="1418" w:type="dxa"/>
            <w:vAlign w:val="center"/>
          </w:tcPr>
          <w:p w14:paraId="02081E86" w14:textId="6C786871" w:rsidR="00BA0C6D" w:rsidRPr="00302BC4" w:rsidRDefault="00BA0C6D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1.17</w:t>
            </w:r>
          </w:p>
        </w:tc>
        <w:tc>
          <w:tcPr>
            <w:tcW w:w="1984" w:type="dxa"/>
            <w:vAlign w:val="center"/>
          </w:tcPr>
          <w:p w14:paraId="0C87B474" w14:textId="783EC903" w:rsidR="00BA0C6D" w:rsidRPr="00302BC4" w:rsidRDefault="00535717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Glycerol, peptone</w:t>
            </w:r>
          </w:p>
        </w:tc>
        <w:tc>
          <w:tcPr>
            <w:tcW w:w="2126" w:type="dxa"/>
            <w:vAlign w:val="center"/>
          </w:tcPr>
          <w:p w14:paraId="4D227B57" w14:textId="5120C87C" w:rsidR="00BA0C6D" w:rsidRPr="00302BC4" w:rsidRDefault="00BA0C6D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This </w:t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work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</w:p>
        </w:tc>
      </w:tr>
      <w:tr w:rsidR="00674943" w:rsidRPr="00D41A9F" w14:paraId="6974CC4E" w14:textId="77777777" w:rsidTr="00E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5840CE35" w14:textId="77777777" w:rsidR="00674943" w:rsidRPr="00302BC4" w:rsidRDefault="00674943" w:rsidP="00E34E3C">
            <w:pPr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BW25113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frdC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57"/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kan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49339C39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1.8</w:t>
            </w:r>
          </w:p>
        </w:tc>
        <w:tc>
          <w:tcPr>
            <w:tcW w:w="1418" w:type="dxa"/>
            <w:vAlign w:val="center"/>
          </w:tcPr>
          <w:p w14:paraId="5BFD0FCC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-</w:t>
            </w:r>
          </w:p>
        </w:tc>
        <w:tc>
          <w:tcPr>
            <w:tcW w:w="1984" w:type="dxa"/>
            <w:vAlign w:val="center"/>
          </w:tcPr>
          <w:p w14:paraId="1653DDD4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Glycerol</w:t>
            </w:r>
          </w:p>
        </w:tc>
        <w:tc>
          <w:tcPr>
            <w:tcW w:w="2126" w:type="dxa"/>
            <w:vAlign w:val="center"/>
          </w:tcPr>
          <w:p w14:paraId="2A71C3E4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Tran et al., 2014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674943" w:rsidRPr="00D41A9F" w14:paraId="3EF08C48" w14:textId="77777777" w:rsidTr="00E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40CEBB4E" w14:textId="77777777" w:rsidR="00674943" w:rsidRPr="00302BC4" w:rsidRDefault="00674943" w:rsidP="00E34E3C">
            <w:pPr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BW25113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frdC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57"/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kan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55F4798C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1.4</w:t>
            </w:r>
          </w:p>
        </w:tc>
        <w:tc>
          <w:tcPr>
            <w:tcW w:w="1418" w:type="dxa"/>
            <w:vAlign w:val="center"/>
          </w:tcPr>
          <w:p w14:paraId="1EE7E460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1.3</w:t>
            </w:r>
          </w:p>
        </w:tc>
        <w:tc>
          <w:tcPr>
            <w:tcW w:w="1984" w:type="dxa"/>
            <w:vAlign w:val="center"/>
          </w:tcPr>
          <w:p w14:paraId="4130FBA9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Glycerol, peptone</w:t>
            </w:r>
          </w:p>
        </w:tc>
        <w:tc>
          <w:tcPr>
            <w:tcW w:w="2126" w:type="dxa"/>
            <w:vAlign w:val="center"/>
          </w:tcPr>
          <w:p w14:paraId="0F33527F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This </w:t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work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</w:p>
        </w:tc>
      </w:tr>
      <w:tr w:rsidR="00674943" w:rsidRPr="00D41A9F" w14:paraId="7CEDDC36" w14:textId="77777777" w:rsidTr="00E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2D427E33" w14:textId="77777777" w:rsidR="00674943" w:rsidRPr="00302BC4" w:rsidRDefault="00674943" w:rsidP="00E34E3C">
            <w:pPr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BW25113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ldhA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57"/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kan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6AF02E69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1.1</w:t>
            </w:r>
          </w:p>
        </w:tc>
        <w:tc>
          <w:tcPr>
            <w:tcW w:w="1418" w:type="dxa"/>
            <w:vAlign w:val="center"/>
          </w:tcPr>
          <w:p w14:paraId="1B3161B7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-</w:t>
            </w:r>
          </w:p>
        </w:tc>
        <w:tc>
          <w:tcPr>
            <w:tcW w:w="1984" w:type="dxa"/>
            <w:vAlign w:val="center"/>
          </w:tcPr>
          <w:p w14:paraId="507E6ECA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Glycerol</w:t>
            </w:r>
          </w:p>
        </w:tc>
        <w:tc>
          <w:tcPr>
            <w:tcW w:w="2126" w:type="dxa"/>
            <w:vAlign w:val="center"/>
          </w:tcPr>
          <w:p w14:paraId="1D6D15E6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Tran et al., 2014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674943" w:rsidRPr="00D41A9F" w14:paraId="5BBE4520" w14:textId="77777777" w:rsidTr="00E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4C2604A5" w14:textId="77777777" w:rsidR="00674943" w:rsidRPr="00302BC4" w:rsidRDefault="00674943" w:rsidP="00E34E3C">
            <w:pPr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BW25113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ldhA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57"/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kan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698CFFB0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1.15</w:t>
            </w:r>
          </w:p>
        </w:tc>
        <w:tc>
          <w:tcPr>
            <w:tcW w:w="1418" w:type="dxa"/>
            <w:vAlign w:val="center"/>
          </w:tcPr>
          <w:p w14:paraId="6139E34B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1.2</w:t>
            </w:r>
          </w:p>
        </w:tc>
        <w:tc>
          <w:tcPr>
            <w:tcW w:w="1984" w:type="dxa"/>
            <w:vAlign w:val="center"/>
          </w:tcPr>
          <w:p w14:paraId="04D1A4B8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Glycerol, peptone</w:t>
            </w:r>
          </w:p>
        </w:tc>
        <w:tc>
          <w:tcPr>
            <w:tcW w:w="2126" w:type="dxa"/>
            <w:vAlign w:val="center"/>
          </w:tcPr>
          <w:p w14:paraId="79A8CC9B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This </w:t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work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</w:p>
        </w:tc>
      </w:tr>
      <w:tr w:rsidR="00ED7C91" w:rsidRPr="00D41A9F" w14:paraId="7B3B2658" w14:textId="77777777" w:rsidTr="00E34E3C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661A4C49" w14:textId="5663F098" w:rsidR="00ED7C91" w:rsidRPr="00535717" w:rsidRDefault="00535717" w:rsidP="00E34E3C">
            <w:pPr>
              <w:autoSpaceDE w:val="0"/>
              <w:autoSpaceDN w:val="0"/>
              <w:adjustRightInd w:val="0"/>
              <w:spacing w:after="240" w:line="240" w:lineRule="auto"/>
              <w:rPr>
                <w:rFonts w:ascii="Times" w:eastAsiaTheme="minorEastAsia" w:hAnsi="Times" w:cs="Times"/>
                <w:sz w:val="24"/>
                <w:lang w:eastAsia="ja-JP"/>
              </w:rPr>
            </w:pPr>
            <w:r>
              <w:rPr>
                <w:rFonts w:ascii="Times" w:eastAsiaTheme="minorEastAsia" w:hAnsi="Times" w:cs="Times"/>
                <w:sz w:val="18"/>
                <w:szCs w:val="18"/>
                <w:lang w:eastAsia="ja-JP"/>
              </w:rPr>
              <w:t xml:space="preserve">K1060 </w:t>
            </w:r>
            <w:r w:rsidR="00ED7C91"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r w:rsidR="00ED7C91" w:rsidRPr="00ED7C91">
              <w:rPr>
                <w:rFonts w:ascii="Times" w:eastAsiaTheme="minorEastAsia" w:hAnsi="Times" w:cs="Times"/>
                <w:i/>
                <w:sz w:val="18"/>
                <w:szCs w:val="18"/>
                <w:lang w:eastAsia="ja-JP"/>
              </w:rPr>
              <w:t>ldhA</w:t>
            </w:r>
            <w:r w:rsidR="00ED7C91"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57"/>
            </w:r>
            <w:proofErr w:type="spellStart"/>
            <w:r w:rsidR="00ED7C91"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kan</w:t>
            </w:r>
            <w:r w:rsidR="00ED7C91"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19ED8382" w14:textId="737064FA" w:rsidR="00ED7C91" w:rsidRPr="00302BC4" w:rsidRDefault="00535717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vAlign w:val="center"/>
          </w:tcPr>
          <w:p w14:paraId="47DAD6C9" w14:textId="5F5FA601" w:rsidR="00ED7C91" w:rsidRPr="00302BC4" w:rsidRDefault="00535717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1.5</w:t>
            </w:r>
          </w:p>
        </w:tc>
        <w:tc>
          <w:tcPr>
            <w:tcW w:w="1984" w:type="dxa"/>
            <w:vAlign w:val="center"/>
          </w:tcPr>
          <w:p w14:paraId="316EBE94" w14:textId="672F7E99" w:rsidR="00ED7C91" w:rsidRPr="00E34E3C" w:rsidRDefault="00535717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Glycerol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yeast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extract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, amino </w:t>
            </w:r>
            <w:proofErr w:type="spellStart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acids</w:t>
            </w:r>
            <w:proofErr w:type="spellEnd"/>
          </w:p>
        </w:tc>
        <w:tc>
          <w:tcPr>
            <w:tcW w:w="2126" w:type="dxa"/>
            <w:vAlign w:val="center"/>
          </w:tcPr>
          <w:p w14:paraId="0091FA47" w14:textId="23F86000" w:rsidR="00ED7C91" w:rsidRPr="00302BC4" w:rsidRDefault="00535717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Nikel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 et al., 2010</w:t>
            </w:r>
            <w:r w:rsidRPr="00535717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674943" w:rsidRPr="00D41A9F" w14:paraId="5B5B0A2F" w14:textId="77777777" w:rsidTr="00E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2D6ECF57" w14:textId="77777777" w:rsidR="00674943" w:rsidRPr="00302BC4" w:rsidRDefault="00674943" w:rsidP="00E34E3C">
            <w:pPr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W3110 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ldhA</w:t>
            </w:r>
            <w:proofErr w:type="gram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::</w:t>
            </w:r>
            <w:proofErr w:type="spellStart"/>
            <w:proofErr w:type="gramEnd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Cm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frdBC</w:t>
            </w:r>
            <w:proofErr w:type="spellEnd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::</w:t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Km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0F1519F8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1.4</w:t>
            </w:r>
          </w:p>
        </w:tc>
        <w:tc>
          <w:tcPr>
            <w:tcW w:w="1418" w:type="dxa"/>
            <w:vAlign w:val="center"/>
          </w:tcPr>
          <w:p w14:paraId="3791FF02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1.5</w:t>
            </w:r>
          </w:p>
        </w:tc>
        <w:tc>
          <w:tcPr>
            <w:tcW w:w="1984" w:type="dxa"/>
            <w:vAlign w:val="center"/>
          </w:tcPr>
          <w:p w14:paraId="76F0C73D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Glucose, </w:t>
            </w:r>
            <w:r w:rsidRPr="00302BC4">
              <w:rPr>
                <w:rFonts w:ascii="Arial" w:hAnsi="Arial" w:cs="Arial"/>
                <w:sz w:val="18"/>
                <w:szCs w:val="18"/>
                <w:lang w:val="en-GB"/>
              </w:rPr>
              <w:t>yeast extract, tryptone peptone</w:t>
            </w:r>
          </w:p>
        </w:tc>
        <w:tc>
          <w:tcPr>
            <w:tcW w:w="2126" w:type="dxa"/>
            <w:vAlign w:val="center"/>
          </w:tcPr>
          <w:p w14:paraId="0E18755C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Yoshida et al., 2006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b</w:t>
            </w:r>
          </w:p>
        </w:tc>
      </w:tr>
      <w:tr w:rsidR="00674943" w:rsidRPr="00D41A9F" w14:paraId="0FC9CD0A" w14:textId="77777777" w:rsidTr="00E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4EA29D04" w14:textId="77777777" w:rsidR="00674943" w:rsidRPr="00302BC4" w:rsidRDefault="00674943" w:rsidP="00E34E3C">
            <w:pPr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BW25113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proofErr w:type="spellStart"/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gnd</w:t>
            </w:r>
            <w:proofErr w:type="spellEnd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57"/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kan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4F6E8A87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1.3</w:t>
            </w:r>
          </w:p>
        </w:tc>
        <w:tc>
          <w:tcPr>
            <w:tcW w:w="1418" w:type="dxa"/>
            <w:vAlign w:val="center"/>
          </w:tcPr>
          <w:p w14:paraId="5EC54258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1.33</w:t>
            </w:r>
          </w:p>
        </w:tc>
        <w:tc>
          <w:tcPr>
            <w:tcW w:w="1984" w:type="dxa"/>
            <w:vAlign w:val="center"/>
          </w:tcPr>
          <w:p w14:paraId="508F19FC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Glycerol, peptone</w:t>
            </w:r>
          </w:p>
        </w:tc>
        <w:tc>
          <w:tcPr>
            <w:tcW w:w="2126" w:type="dxa"/>
            <w:vAlign w:val="center"/>
          </w:tcPr>
          <w:p w14:paraId="1CE4C798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This </w:t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work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</w:p>
        </w:tc>
      </w:tr>
      <w:tr w:rsidR="00674943" w:rsidRPr="00D41A9F" w14:paraId="529385C4" w14:textId="77777777" w:rsidTr="00E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right w:val="none" w:sz="0" w:space="0" w:color="auto"/>
            </w:tcBorders>
            <w:vAlign w:val="center"/>
          </w:tcPr>
          <w:p w14:paraId="4BCBC2A9" w14:textId="77777777" w:rsidR="00674943" w:rsidRPr="00302BC4" w:rsidRDefault="00674943" w:rsidP="00E34E3C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BW25113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44"/>
            </w:r>
            <w:proofErr w:type="spellStart"/>
            <w:r w:rsidRPr="00302BC4">
              <w:rPr>
                <w:rFonts w:ascii="Arial" w:hAnsi="Arial" w:cs="Arial"/>
                <w:i/>
                <w:color w:val="0D0D0D" w:themeColor="text1" w:themeTint="F2"/>
                <w:sz w:val="18"/>
                <w:szCs w:val="18"/>
                <w:lang w:val="en-GB"/>
              </w:rPr>
              <w:t>tdcE</w:t>
            </w:r>
            <w:proofErr w:type="spellEnd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sym w:font="Symbol" w:char="F057"/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kan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R</w:t>
            </w:r>
            <w:proofErr w:type="spellEnd"/>
          </w:p>
        </w:tc>
        <w:tc>
          <w:tcPr>
            <w:tcW w:w="1512" w:type="dxa"/>
            <w:vAlign w:val="center"/>
          </w:tcPr>
          <w:p w14:paraId="62F7B8EA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1.1</w:t>
            </w:r>
          </w:p>
        </w:tc>
        <w:tc>
          <w:tcPr>
            <w:tcW w:w="1418" w:type="dxa"/>
            <w:vAlign w:val="center"/>
          </w:tcPr>
          <w:p w14:paraId="547DDBF2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1.15</w:t>
            </w:r>
          </w:p>
        </w:tc>
        <w:tc>
          <w:tcPr>
            <w:tcW w:w="1984" w:type="dxa"/>
            <w:vAlign w:val="center"/>
          </w:tcPr>
          <w:p w14:paraId="7B6BC52D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Glycerol, peptone</w:t>
            </w:r>
          </w:p>
        </w:tc>
        <w:tc>
          <w:tcPr>
            <w:tcW w:w="2126" w:type="dxa"/>
            <w:vAlign w:val="center"/>
          </w:tcPr>
          <w:p w14:paraId="70784F9F" w14:textId="77777777" w:rsidR="00674943" w:rsidRPr="00302BC4" w:rsidRDefault="00674943" w:rsidP="00E34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</w:pP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 xml:space="preserve">This </w:t>
            </w:r>
            <w:proofErr w:type="spellStart"/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n-GB"/>
              </w:rPr>
              <w:t>work</w:t>
            </w:r>
            <w:r w:rsidRPr="00302BC4">
              <w:rPr>
                <w:rFonts w:ascii="Arial" w:hAnsi="Arial" w:cs="Arial"/>
                <w:color w:val="0D0D0D" w:themeColor="text1" w:themeTint="F2"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</w:p>
        </w:tc>
      </w:tr>
    </w:tbl>
    <w:p w14:paraId="007F858D" w14:textId="77777777" w:rsidR="00674943" w:rsidRPr="00D41A9F" w:rsidRDefault="00674943" w:rsidP="00674943">
      <w:pPr>
        <w:rPr>
          <w:color w:val="FF6600"/>
          <w:szCs w:val="20"/>
          <w:vertAlign w:val="superscript"/>
          <w:lang w:val="en-GB"/>
        </w:rPr>
      </w:pPr>
    </w:p>
    <w:p w14:paraId="3733216E" w14:textId="77777777" w:rsidR="00674943" w:rsidRPr="00674943" w:rsidRDefault="00674943" w:rsidP="00674943">
      <w:pPr>
        <w:rPr>
          <w:sz w:val="16"/>
          <w:szCs w:val="16"/>
          <w:lang w:val="en-GB"/>
        </w:rPr>
      </w:pPr>
      <w:proofErr w:type="spellStart"/>
      <w:proofErr w:type="gramStart"/>
      <w:r w:rsidRPr="00674943">
        <w:rPr>
          <w:sz w:val="16"/>
          <w:szCs w:val="16"/>
          <w:vertAlign w:val="superscript"/>
          <w:lang w:val="en-GB"/>
        </w:rPr>
        <w:t>a</w:t>
      </w:r>
      <w:r w:rsidRPr="00674943">
        <w:rPr>
          <w:sz w:val="16"/>
          <w:szCs w:val="16"/>
          <w:lang w:val="en-GB"/>
        </w:rPr>
        <w:t>Experiments</w:t>
      </w:r>
      <w:proofErr w:type="spellEnd"/>
      <w:proofErr w:type="gramEnd"/>
      <w:r w:rsidRPr="00674943">
        <w:rPr>
          <w:sz w:val="16"/>
          <w:szCs w:val="16"/>
          <w:lang w:val="en-GB"/>
        </w:rPr>
        <w:t xml:space="preserve"> were conducted at pH 7.5 and samples were taken at 24 h.</w:t>
      </w:r>
    </w:p>
    <w:p w14:paraId="3F963D13" w14:textId="77777777" w:rsidR="00674943" w:rsidRPr="00674943" w:rsidRDefault="00674943" w:rsidP="00674943">
      <w:pPr>
        <w:rPr>
          <w:sz w:val="16"/>
          <w:szCs w:val="16"/>
          <w:lang w:val="en-GB"/>
        </w:rPr>
      </w:pPr>
      <w:proofErr w:type="spellStart"/>
      <w:proofErr w:type="gramStart"/>
      <w:r w:rsidRPr="00674943">
        <w:rPr>
          <w:sz w:val="16"/>
          <w:szCs w:val="16"/>
          <w:vertAlign w:val="superscript"/>
          <w:lang w:val="en-GB"/>
        </w:rPr>
        <w:t>b</w:t>
      </w:r>
      <w:r w:rsidRPr="00674943">
        <w:rPr>
          <w:sz w:val="16"/>
          <w:szCs w:val="16"/>
          <w:lang w:val="en-GB"/>
        </w:rPr>
        <w:t>Experiments</w:t>
      </w:r>
      <w:proofErr w:type="spellEnd"/>
      <w:proofErr w:type="gramEnd"/>
      <w:r w:rsidRPr="00674943">
        <w:rPr>
          <w:sz w:val="16"/>
          <w:szCs w:val="16"/>
          <w:lang w:val="en-GB"/>
        </w:rPr>
        <w:t xml:space="preserve"> were conducted at pH 6.25</w:t>
      </w:r>
      <w:r w:rsidR="003B644D">
        <w:rPr>
          <w:sz w:val="16"/>
          <w:szCs w:val="16"/>
          <w:lang w:val="en-GB"/>
        </w:rPr>
        <w:t>-6.3</w:t>
      </w:r>
      <w:r w:rsidRPr="00674943">
        <w:rPr>
          <w:sz w:val="16"/>
          <w:szCs w:val="16"/>
          <w:lang w:val="en-GB"/>
        </w:rPr>
        <w:t xml:space="preserve"> and samples were withdrawn at 22 h. </w:t>
      </w:r>
    </w:p>
    <w:p w14:paraId="01B1C51E" w14:textId="77777777" w:rsidR="00674943" w:rsidRPr="00674943" w:rsidRDefault="00674943" w:rsidP="00674943">
      <w:pPr>
        <w:rPr>
          <w:sz w:val="16"/>
          <w:szCs w:val="16"/>
          <w:lang w:val="en-GB"/>
        </w:rPr>
      </w:pPr>
      <w:proofErr w:type="spellStart"/>
      <w:proofErr w:type="gramStart"/>
      <w:r w:rsidRPr="00674943">
        <w:rPr>
          <w:sz w:val="16"/>
          <w:szCs w:val="16"/>
          <w:vertAlign w:val="superscript"/>
          <w:lang w:val="en-GB"/>
        </w:rPr>
        <w:t>a</w:t>
      </w:r>
      <w:proofErr w:type="gramEnd"/>
      <w:r w:rsidRPr="00674943">
        <w:rPr>
          <w:sz w:val="16"/>
          <w:szCs w:val="16"/>
          <w:vertAlign w:val="superscript"/>
          <w:lang w:val="en-GB"/>
        </w:rPr>
        <w:t>,b</w:t>
      </w:r>
      <w:r w:rsidRPr="00674943">
        <w:rPr>
          <w:sz w:val="16"/>
          <w:szCs w:val="16"/>
          <w:lang w:val="en-GB"/>
        </w:rPr>
        <w:t>Both</w:t>
      </w:r>
      <w:proofErr w:type="spellEnd"/>
      <w:r w:rsidRPr="00674943">
        <w:rPr>
          <w:sz w:val="16"/>
          <w:szCs w:val="16"/>
          <w:lang w:val="en-GB"/>
        </w:rPr>
        <w:t xml:space="preserve"> experiments were carried anaerobically with normal pressure. </w:t>
      </w:r>
    </w:p>
    <w:p w14:paraId="1BE3C0C1" w14:textId="77777777" w:rsidR="00674943" w:rsidRPr="00674943" w:rsidRDefault="00674943" w:rsidP="00674943">
      <w:pPr>
        <w:rPr>
          <w:sz w:val="16"/>
          <w:szCs w:val="16"/>
          <w:lang w:val="en-GB"/>
        </w:rPr>
      </w:pPr>
      <w:proofErr w:type="spellStart"/>
      <w:proofErr w:type="gramStart"/>
      <w:r w:rsidRPr="00674943">
        <w:rPr>
          <w:sz w:val="16"/>
          <w:szCs w:val="16"/>
          <w:vertAlign w:val="superscript"/>
          <w:lang w:val="en-GB"/>
        </w:rPr>
        <w:t>c</w:t>
      </w:r>
      <w:r w:rsidRPr="00674943">
        <w:rPr>
          <w:sz w:val="16"/>
          <w:szCs w:val="16"/>
          <w:lang w:val="en-GB"/>
        </w:rPr>
        <w:t>Parameters</w:t>
      </w:r>
      <w:proofErr w:type="spellEnd"/>
      <w:proofErr w:type="gramEnd"/>
      <w:r w:rsidRPr="00674943">
        <w:rPr>
          <w:sz w:val="16"/>
          <w:szCs w:val="16"/>
          <w:lang w:val="en-GB"/>
        </w:rPr>
        <w:t xml:space="preserve"> of hydrogen and ethanol production values expressed in different ways (µ</w:t>
      </w:r>
      <w:proofErr w:type="spellStart"/>
      <w:r w:rsidRPr="00674943">
        <w:rPr>
          <w:sz w:val="16"/>
          <w:szCs w:val="16"/>
          <w:lang w:val="en-GB"/>
        </w:rPr>
        <w:t>mol</w:t>
      </w:r>
      <w:proofErr w:type="spellEnd"/>
      <w:r w:rsidRPr="00674943">
        <w:rPr>
          <w:sz w:val="16"/>
          <w:szCs w:val="16"/>
          <w:lang w:val="en-GB"/>
        </w:rPr>
        <w:t xml:space="preserve">/mg protein; mmol/ g of CDW; mmol/ g CDW/h) are relativized with the wild type ones. </w:t>
      </w:r>
    </w:p>
    <w:p w14:paraId="0B667014" w14:textId="77777777" w:rsidR="002C4DA2" w:rsidRDefault="002C4DA2"/>
    <w:sectPr w:rsidR="002C4DA2" w:rsidSect="00EB434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3D35594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43"/>
    <w:rsid w:val="0011056F"/>
    <w:rsid w:val="002C4DA2"/>
    <w:rsid w:val="003B182B"/>
    <w:rsid w:val="003B644D"/>
    <w:rsid w:val="00511408"/>
    <w:rsid w:val="00535717"/>
    <w:rsid w:val="00674943"/>
    <w:rsid w:val="00BA0C6D"/>
    <w:rsid w:val="00CE6576"/>
    <w:rsid w:val="00E34E3C"/>
    <w:rsid w:val="00EB4342"/>
    <w:rsid w:val="00EC2A3B"/>
    <w:rsid w:val="00ED7C91"/>
    <w:rsid w:val="00F145D4"/>
    <w:rsid w:val="00F4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A668D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="Times New Roman"/>
        <w:color w:val="000000" w:themeColor="text1"/>
        <w:sz w:val="18"/>
        <w:szCs w:val="18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943"/>
    <w:pPr>
      <w:widowControl w:val="0"/>
      <w:spacing w:line="312" w:lineRule="auto"/>
    </w:pPr>
    <w:rPr>
      <w:rFonts w:ascii="Garamond" w:eastAsia="Times New Roman" w:hAnsi="Garamond"/>
      <w:color w:val="auto"/>
      <w:sz w:val="20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3B182B"/>
    <w:pPr>
      <w:keepNext/>
      <w:keepLines/>
      <w:widowControl/>
      <w:numPr>
        <w:ilvl w:val="2"/>
        <w:numId w:val="2"/>
      </w:numPr>
      <w:spacing w:before="200" w:line="240" w:lineRule="auto"/>
      <w:ind w:left="1428" w:hanging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B182B"/>
    <w:rPr>
      <w:rFonts w:eastAsiaTheme="majorEastAsia" w:cstheme="majorBidi"/>
      <w:b/>
      <w:bCs/>
      <w:sz w:val="22"/>
    </w:rPr>
  </w:style>
  <w:style w:type="paragraph" w:styleId="Epgrafe">
    <w:name w:val="caption"/>
    <w:aliases w:val="Pie de figura"/>
    <w:basedOn w:val="Normal"/>
    <w:next w:val="Normal"/>
    <w:uiPriority w:val="35"/>
    <w:unhideWhenUsed/>
    <w:qFormat/>
    <w:rsid w:val="00511408"/>
    <w:pPr>
      <w:widowControl/>
      <w:spacing w:after="200" w:line="240" w:lineRule="auto"/>
      <w:jc w:val="both"/>
    </w:pPr>
    <w:rPr>
      <w:rFonts w:asciiTheme="majorHAnsi" w:hAnsiTheme="majorHAnsi"/>
      <w:bCs/>
      <w:color w:val="000000" w:themeColor="text1"/>
      <w:szCs w:val="18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056F"/>
    <w:pPr>
      <w:widowControl/>
      <w:spacing w:line="240" w:lineRule="auto"/>
    </w:pPr>
    <w:rPr>
      <w:rFonts w:ascii="Lucida Grande" w:hAnsi="Lucida Grande" w:cs="Lucida Grande"/>
      <w:color w:val="000000" w:themeColor="text1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56F"/>
    <w:rPr>
      <w:rFonts w:ascii="Lucida Grande" w:eastAsia="Times New Roman" w:hAnsi="Lucida Grande" w:cs="Lucida Grande"/>
      <w:lang w:eastAsia="es-ES"/>
    </w:rPr>
  </w:style>
  <w:style w:type="table" w:styleId="Tablaclsica1">
    <w:name w:val="Table Classic 1"/>
    <w:basedOn w:val="Tablanormal"/>
    <w:rsid w:val="00674943"/>
    <w:pPr>
      <w:widowControl w:val="0"/>
      <w:spacing w:line="312" w:lineRule="auto"/>
    </w:pPr>
    <w:rPr>
      <w:rFonts w:ascii="Times New Roman" w:eastAsia="Times New Roman" w:hAnsi="Times New Roman"/>
      <w:color w:val="auto"/>
      <w:sz w:val="20"/>
      <w:szCs w:val="20"/>
      <w:lang w:eastAsia="es-E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="Times New Roman"/>
        <w:color w:val="000000" w:themeColor="text1"/>
        <w:sz w:val="18"/>
        <w:szCs w:val="18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943"/>
    <w:pPr>
      <w:widowControl w:val="0"/>
      <w:spacing w:line="312" w:lineRule="auto"/>
    </w:pPr>
    <w:rPr>
      <w:rFonts w:ascii="Garamond" w:eastAsia="Times New Roman" w:hAnsi="Garamond"/>
      <w:color w:val="auto"/>
      <w:sz w:val="20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3B182B"/>
    <w:pPr>
      <w:keepNext/>
      <w:keepLines/>
      <w:widowControl/>
      <w:numPr>
        <w:ilvl w:val="2"/>
        <w:numId w:val="2"/>
      </w:numPr>
      <w:spacing w:before="200" w:line="240" w:lineRule="auto"/>
      <w:ind w:left="1428" w:hanging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B182B"/>
    <w:rPr>
      <w:rFonts w:eastAsiaTheme="majorEastAsia" w:cstheme="majorBidi"/>
      <w:b/>
      <w:bCs/>
      <w:sz w:val="22"/>
    </w:rPr>
  </w:style>
  <w:style w:type="paragraph" w:styleId="Epgrafe">
    <w:name w:val="caption"/>
    <w:aliases w:val="Pie de figura"/>
    <w:basedOn w:val="Normal"/>
    <w:next w:val="Normal"/>
    <w:uiPriority w:val="35"/>
    <w:unhideWhenUsed/>
    <w:qFormat/>
    <w:rsid w:val="00511408"/>
    <w:pPr>
      <w:widowControl/>
      <w:spacing w:after="200" w:line="240" w:lineRule="auto"/>
      <w:jc w:val="both"/>
    </w:pPr>
    <w:rPr>
      <w:rFonts w:asciiTheme="majorHAnsi" w:hAnsiTheme="majorHAnsi"/>
      <w:bCs/>
      <w:color w:val="000000" w:themeColor="text1"/>
      <w:szCs w:val="18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056F"/>
    <w:pPr>
      <w:widowControl/>
      <w:spacing w:line="240" w:lineRule="auto"/>
    </w:pPr>
    <w:rPr>
      <w:rFonts w:ascii="Lucida Grande" w:hAnsi="Lucida Grande" w:cs="Lucida Grande"/>
      <w:color w:val="000000" w:themeColor="text1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56F"/>
    <w:rPr>
      <w:rFonts w:ascii="Lucida Grande" w:eastAsia="Times New Roman" w:hAnsi="Lucida Grande" w:cs="Lucida Grande"/>
      <w:lang w:eastAsia="es-ES"/>
    </w:rPr>
  </w:style>
  <w:style w:type="table" w:styleId="Tablaclsica1">
    <w:name w:val="Table Classic 1"/>
    <w:basedOn w:val="Tablanormal"/>
    <w:rsid w:val="00674943"/>
    <w:pPr>
      <w:widowControl w:val="0"/>
      <w:spacing w:line="312" w:lineRule="auto"/>
    </w:pPr>
    <w:rPr>
      <w:rFonts w:ascii="Times New Roman" w:eastAsia="Times New Roman" w:hAnsi="Times New Roman"/>
      <w:color w:val="auto"/>
      <w:sz w:val="20"/>
      <w:szCs w:val="20"/>
      <w:lang w:eastAsia="es-E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177</Words>
  <Characters>976</Characters>
  <Application>Microsoft Macintosh Word</Application>
  <DocSecurity>0</DocSecurity>
  <Lines>8</Lines>
  <Paragraphs>2</Paragraphs>
  <ScaleCrop>false</ScaleCrop>
  <Company>CASA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 Valle Gallardo</dc:creator>
  <cp:keywords/>
  <dc:description/>
  <cp:lastModifiedBy>Antonio  Valle Gallardo</cp:lastModifiedBy>
  <cp:revision>9</cp:revision>
  <dcterms:created xsi:type="dcterms:W3CDTF">2015-06-12T09:56:00Z</dcterms:created>
  <dcterms:modified xsi:type="dcterms:W3CDTF">2015-06-12T23:25:00Z</dcterms:modified>
</cp:coreProperties>
</file>