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747" w:rsidRPr="00A6490E" w:rsidRDefault="00A41747" w:rsidP="00A6490E">
      <w:pPr>
        <w:jc w:val="center"/>
        <w:rPr>
          <w:rFonts w:ascii="Times New Roman" w:hAnsi="Times New Roman" w:cs="Times New Roman"/>
          <w:noProof/>
          <w:sz w:val="24"/>
        </w:rPr>
      </w:pPr>
      <w:bookmarkStart w:id="0" w:name="OLE_LINK1"/>
      <w:bookmarkStart w:id="1" w:name="_GoBack"/>
      <w:r w:rsidRPr="00A6490E">
        <w:rPr>
          <w:rFonts w:ascii="Times New Roman" w:hAnsi="Times New Roman" w:cs="Times New Roman"/>
          <w:noProof/>
          <w:sz w:val="24"/>
        </w:rPr>
        <w:t xml:space="preserve">Mass spectrum </w:t>
      </w:r>
      <w:r w:rsidR="00F73F4F">
        <w:rPr>
          <w:rFonts w:ascii="Times New Roman" w:hAnsi="Times New Roman" w:cs="Times New Roman" w:hint="eastAsia"/>
          <w:noProof/>
          <w:sz w:val="24"/>
        </w:rPr>
        <w:t>profiles</w:t>
      </w:r>
      <w:r w:rsidRPr="00A6490E">
        <w:rPr>
          <w:rFonts w:ascii="Times New Roman" w:hAnsi="Times New Roman" w:cs="Times New Roman"/>
          <w:noProof/>
          <w:sz w:val="24"/>
        </w:rPr>
        <w:t xml:space="preserve"> of A</w:t>
      </w:r>
      <w:r w:rsidR="002425BD">
        <w:rPr>
          <w:rFonts w:ascii="Times New Roman" w:hAnsi="Times New Roman" w:cs="Times New Roman" w:hint="eastAsia"/>
          <w:noProof/>
          <w:sz w:val="24"/>
        </w:rPr>
        <w:t>XP</w:t>
      </w:r>
      <w:r w:rsidRPr="00A6490E">
        <w:rPr>
          <w:rFonts w:ascii="Times New Roman" w:hAnsi="Times New Roman" w:cs="Times New Roman"/>
          <w:noProof/>
          <w:sz w:val="24"/>
        </w:rPr>
        <w:t xml:space="preserve"> for two strains</w:t>
      </w:r>
    </w:p>
    <w:bookmarkEnd w:id="0"/>
    <w:bookmarkEnd w:id="1"/>
    <w:p w:rsidR="00B06397" w:rsidRDefault="00A41747" w:rsidP="00A41747">
      <w:pPr>
        <w:rPr>
          <w:rFonts w:ascii="Times New Roman" w:hAnsi="Times New Roman" w:cs="Times New Roman"/>
          <w:noProof/>
          <w:sz w:val="24"/>
        </w:rPr>
      </w:pPr>
      <w:r w:rsidRPr="00A6490E">
        <w:rPr>
          <w:rFonts w:ascii="Times New Roman" w:hAnsi="Times New Roman" w:cs="Times New Roman"/>
          <w:i/>
          <w:noProof/>
          <w:sz w:val="24"/>
        </w:rPr>
        <w:t>A.niger</w:t>
      </w:r>
      <w:r w:rsidRPr="00A6490E">
        <w:rPr>
          <w:rFonts w:ascii="Times New Roman" w:hAnsi="Times New Roman" w:cs="Times New Roman"/>
          <w:noProof/>
          <w:sz w:val="24"/>
        </w:rPr>
        <w:t xml:space="preserve"> DS03043</w:t>
      </w:r>
    </w:p>
    <w:p w:rsidR="00D51ECE" w:rsidRDefault="00F73F4F" w:rsidP="00F73F4F">
      <w:pPr>
        <w:jc w:val="center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8B4F797">
            <wp:extent cx="5414400" cy="3254400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400" cy="32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757E" w:rsidRDefault="00A41747" w:rsidP="00BB71EA">
      <w:pPr>
        <w:rPr>
          <w:rFonts w:ascii="Times New Roman" w:hAnsi="Times New Roman" w:cs="Times New Roman"/>
          <w:sz w:val="24"/>
        </w:rPr>
      </w:pPr>
      <w:r w:rsidRPr="00A6490E">
        <w:rPr>
          <w:rFonts w:ascii="Times New Roman" w:hAnsi="Times New Roman" w:cs="Times New Roman"/>
          <w:i/>
          <w:sz w:val="24"/>
        </w:rPr>
        <w:t xml:space="preserve">A.niger </w:t>
      </w:r>
      <w:r w:rsidRPr="00A6490E">
        <w:rPr>
          <w:rFonts w:ascii="Times New Roman" w:hAnsi="Times New Roman" w:cs="Times New Roman"/>
          <w:sz w:val="24"/>
        </w:rPr>
        <w:t>CBS513.88</w:t>
      </w:r>
    </w:p>
    <w:p w:rsidR="00D51ECE" w:rsidRDefault="00F73F4F" w:rsidP="00F73F4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42CE8C7">
            <wp:extent cx="5348068" cy="3176514"/>
            <wp:effectExtent l="0" t="0" r="508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111" cy="318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3F4F" w:rsidRPr="00A6490E" w:rsidRDefault="00F73F4F" w:rsidP="00BB71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No</w:t>
      </w:r>
      <w:r>
        <w:rPr>
          <w:rFonts w:ascii="Times New Roman" w:hAnsi="Times New Roman" w:cs="Times New Roman"/>
          <w:sz w:val="24"/>
        </w:rPr>
        <w:t>te: AA-area; SN-</w:t>
      </w:r>
      <w:r w:rsidRPr="00F73F4F">
        <w:rPr>
          <w:rFonts w:ascii="Times New Roman" w:hAnsi="Times New Roman" w:cs="Times New Roman"/>
          <w:sz w:val="24"/>
        </w:rPr>
        <w:t>signal to noise ratio</w:t>
      </w:r>
    </w:p>
    <w:p w:rsidR="0027757E" w:rsidRPr="00D51ECE" w:rsidRDefault="0027757E" w:rsidP="00D51ECE">
      <w:pPr>
        <w:jc w:val="center"/>
        <w:rPr>
          <w:rFonts w:ascii="Times New Roman" w:hAnsi="Times New Roman" w:cs="Times New Roman"/>
          <w:sz w:val="24"/>
        </w:rPr>
      </w:pPr>
      <w:r w:rsidRPr="00A6490E">
        <w:rPr>
          <w:rFonts w:ascii="Times New Roman" w:hAnsi="Times New Roman" w:cs="Times New Roman"/>
          <w:sz w:val="24"/>
        </w:rPr>
        <w:lastRenderedPageBreak/>
        <w:t xml:space="preserve">Standard curves of AMP, </w:t>
      </w:r>
      <w:r w:rsidR="00F73F4F" w:rsidRPr="00A6490E">
        <w:rPr>
          <w:rFonts w:ascii="Times New Roman" w:hAnsi="Times New Roman" w:cs="Times New Roman"/>
          <w:sz w:val="24"/>
        </w:rPr>
        <w:t>ADP,</w:t>
      </w:r>
      <w:r w:rsidR="00F73F4F">
        <w:rPr>
          <w:rFonts w:ascii="Times New Roman" w:hAnsi="Times New Roman" w:cs="Times New Roman"/>
          <w:sz w:val="24"/>
        </w:rPr>
        <w:t xml:space="preserve"> </w:t>
      </w:r>
      <w:r w:rsidRPr="00A6490E">
        <w:rPr>
          <w:rFonts w:ascii="Times New Roman" w:hAnsi="Times New Roman" w:cs="Times New Roman"/>
          <w:sz w:val="24"/>
        </w:rPr>
        <w:t xml:space="preserve">ATP with </w:t>
      </w:r>
      <w:r w:rsidRPr="00A6490E">
        <w:rPr>
          <w:rFonts w:ascii="Times New Roman" w:hAnsi="Times New Roman" w:cs="Times New Roman"/>
          <w:sz w:val="24"/>
          <w:vertAlign w:val="superscript"/>
        </w:rPr>
        <w:t>13</w:t>
      </w:r>
      <w:r w:rsidRPr="00A6490E">
        <w:rPr>
          <w:rFonts w:ascii="Times New Roman" w:hAnsi="Times New Roman" w:cs="Times New Roman"/>
          <w:sz w:val="24"/>
        </w:rPr>
        <w:t>C labelled metabolites as internal standard</w:t>
      </w:r>
      <w:r w:rsidR="00B61151">
        <w:rPr>
          <w:rFonts w:ascii="Times New Roman" w:hAnsi="Times New Roman" w:cs="Times New Roman"/>
          <w:sz w:val="24"/>
        </w:rPr>
        <w:t>s</w:t>
      </w:r>
    </w:p>
    <w:p w:rsidR="0027757E" w:rsidRDefault="0027757E" w:rsidP="0027757E">
      <w:pPr>
        <w:jc w:val="center"/>
        <w:rPr>
          <w:rFonts w:ascii="Times New Roman" w:hAnsi="Times New Roman" w:cs="Times New Roman"/>
          <w:sz w:val="24"/>
        </w:rPr>
      </w:pPr>
      <w:r w:rsidRPr="00A6490E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A34A71F" wp14:editId="00FC357E">
            <wp:extent cx="3467100" cy="2600325"/>
            <wp:effectExtent l="0" t="0" r="0" b="952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51ECE" w:rsidRPr="00A6490E" w:rsidRDefault="00D51ECE" w:rsidP="0027757E">
      <w:pPr>
        <w:jc w:val="center"/>
        <w:rPr>
          <w:rFonts w:ascii="Times New Roman" w:hAnsi="Times New Roman" w:cs="Times New Roman"/>
          <w:sz w:val="24"/>
        </w:rPr>
      </w:pPr>
      <w:r w:rsidRPr="00A6490E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FD13CEC" wp14:editId="091AF5F1">
            <wp:extent cx="3476625" cy="2714625"/>
            <wp:effectExtent l="0" t="0" r="9525" b="952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7757E" w:rsidRPr="00A6490E" w:rsidRDefault="0027757E" w:rsidP="0027757E">
      <w:pPr>
        <w:jc w:val="center"/>
        <w:rPr>
          <w:rFonts w:ascii="Times New Roman" w:hAnsi="Times New Roman" w:cs="Times New Roman"/>
          <w:sz w:val="24"/>
        </w:rPr>
      </w:pPr>
      <w:r w:rsidRPr="00A6490E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35C68A1" wp14:editId="6B26CE77">
            <wp:extent cx="3448050" cy="2238375"/>
            <wp:effectExtent l="0" t="0" r="0" b="9525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27757E" w:rsidRPr="00A64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30E" w:rsidRDefault="00D2330E" w:rsidP="002425BD">
      <w:pPr>
        <w:spacing w:after="0" w:line="240" w:lineRule="auto"/>
      </w:pPr>
      <w:r>
        <w:separator/>
      </w:r>
    </w:p>
  </w:endnote>
  <w:endnote w:type="continuationSeparator" w:id="0">
    <w:p w:rsidR="00D2330E" w:rsidRDefault="00D2330E" w:rsidP="0024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30E" w:rsidRDefault="00D2330E" w:rsidP="002425BD">
      <w:pPr>
        <w:spacing w:after="0" w:line="240" w:lineRule="auto"/>
      </w:pPr>
      <w:r>
        <w:separator/>
      </w:r>
    </w:p>
  </w:footnote>
  <w:footnote w:type="continuationSeparator" w:id="0">
    <w:p w:rsidR="00D2330E" w:rsidRDefault="00D2330E" w:rsidP="00242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D34B0"/>
    <w:multiLevelType w:val="hybridMultilevel"/>
    <w:tmpl w:val="77F68756"/>
    <w:lvl w:ilvl="0" w:tplc="23468CD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DE6334"/>
    <w:multiLevelType w:val="hybridMultilevel"/>
    <w:tmpl w:val="6EB6C1C8"/>
    <w:lvl w:ilvl="0" w:tplc="1DAA651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D5"/>
    <w:rsid w:val="001369EC"/>
    <w:rsid w:val="00150027"/>
    <w:rsid w:val="00177E0C"/>
    <w:rsid w:val="001B22DA"/>
    <w:rsid w:val="001E0D21"/>
    <w:rsid w:val="002425BD"/>
    <w:rsid w:val="0027757E"/>
    <w:rsid w:val="002868FB"/>
    <w:rsid w:val="003911A3"/>
    <w:rsid w:val="0064062B"/>
    <w:rsid w:val="00701866"/>
    <w:rsid w:val="00716694"/>
    <w:rsid w:val="008B2800"/>
    <w:rsid w:val="00A228D5"/>
    <w:rsid w:val="00A41747"/>
    <w:rsid w:val="00A6490E"/>
    <w:rsid w:val="00AC56C9"/>
    <w:rsid w:val="00AF1FE8"/>
    <w:rsid w:val="00B06397"/>
    <w:rsid w:val="00B61151"/>
    <w:rsid w:val="00BB71EA"/>
    <w:rsid w:val="00C92652"/>
    <w:rsid w:val="00CE7F5D"/>
    <w:rsid w:val="00D2330E"/>
    <w:rsid w:val="00D51ECE"/>
    <w:rsid w:val="00E72C1D"/>
    <w:rsid w:val="00EB0C28"/>
    <w:rsid w:val="00EB5D6A"/>
    <w:rsid w:val="00EC78D5"/>
    <w:rsid w:val="00F7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396B8D-9DB2-4C61-B2E2-69BE5E3D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0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B0639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41747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242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425B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425B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425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81473012594737"/>
          <c:y val="8.7136415640352655E-2"/>
          <c:w val="0.79221654985434509"/>
          <c:h val="0.69912953188543736"/>
        </c:manualLayout>
      </c:layout>
      <c:scatterChart>
        <c:scatterStyle val="lineMarker"/>
        <c:varyColors val="0"/>
        <c:ser>
          <c:idx val="0"/>
          <c:order val="0"/>
          <c:tx>
            <c:strRef>
              <c:f>标曲!$F$1</c:f>
              <c:strCache>
                <c:ptCount val="1"/>
                <c:pt idx="0">
                  <c:v>amp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dk1">
                    <a:tint val="88500"/>
                  </a:schemeClr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0834616826742811"/>
                  <c:y val="-8.9923374962745037E-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标曲!$C$2:$C$11</c:f>
              <c:numCache>
                <c:formatCode>General</c:formatCode>
                <c:ptCount val="10"/>
                <c:pt idx="0">
                  <c:v>0.05</c:v>
                </c:pt>
                <c:pt idx="1">
                  <c:v>0.1</c:v>
                </c:pt>
                <c:pt idx="2">
                  <c:v>0.2</c:v>
                </c:pt>
                <c:pt idx="3">
                  <c:v>0.5</c:v>
                </c:pt>
                <c:pt idx="4">
                  <c:v>1</c:v>
                </c:pt>
                <c:pt idx="5">
                  <c:v>2</c:v>
                </c:pt>
                <c:pt idx="6">
                  <c:v>5</c:v>
                </c:pt>
                <c:pt idx="7">
                  <c:v>10</c:v>
                </c:pt>
                <c:pt idx="8">
                  <c:v>20</c:v>
                </c:pt>
                <c:pt idx="9">
                  <c:v>50</c:v>
                </c:pt>
              </c:numCache>
            </c:numRef>
          </c:xVal>
          <c:yVal>
            <c:numRef>
              <c:f>标曲!$F$2:$F$11</c:f>
              <c:numCache>
                <c:formatCode>General</c:formatCode>
                <c:ptCount val="10"/>
                <c:pt idx="0">
                  <c:v>4.3800790278088423E-3</c:v>
                </c:pt>
                <c:pt idx="1">
                  <c:v>9.0526497811614214E-3</c:v>
                </c:pt>
                <c:pt idx="2">
                  <c:v>5.0943566875474343E-3</c:v>
                </c:pt>
                <c:pt idx="3">
                  <c:v>2.0506806475349523E-2</c:v>
                </c:pt>
                <c:pt idx="4">
                  <c:v>5.1679431032697801E-2</c:v>
                </c:pt>
                <c:pt idx="5">
                  <c:v>0.11152332942243587</c:v>
                </c:pt>
                <c:pt idx="6">
                  <c:v>0.37823855584143978</c:v>
                </c:pt>
                <c:pt idx="7">
                  <c:v>0.7419849886665314</c:v>
                </c:pt>
                <c:pt idx="8">
                  <c:v>1.4977490603983559</c:v>
                </c:pt>
                <c:pt idx="9">
                  <c:v>3.4612304739445734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0651504"/>
        <c:axId val="300650944"/>
      </c:scatterChart>
      <c:valAx>
        <c:axId val="300651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AMP</a:t>
                </a:r>
                <a:r>
                  <a:rPr lang="en-US" altLang="zh-CN" baseline="0"/>
                  <a:t> concentration(μmol)</a:t>
                </a:r>
                <a:endParaRPr lang="zh-CN" altLang="en-US"/>
              </a:p>
            </c:rich>
          </c:tx>
          <c:layout>
            <c:manualLayout>
              <c:xMode val="edge"/>
              <c:yMode val="edge"/>
              <c:x val="0.41108902012248472"/>
              <c:y val="0.883310002916302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00650944"/>
        <c:crosses val="autoZero"/>
        <c:crossBetween val="midCat"/>
      </c:valAx>
      <c:valAx>
        <c:axId val="30065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Ratio of </a:t>
                </a:r>
                <a:r>
                  <a:rPr lang="en-US" altLang="zh-CN" baseline="30000"/>
                  <a:t>12</a:t>
                </a:r>
                <a:r>
                  <a:rPr lang="en-US" altLang="zh-CN"/>
                  <a:t>C/</a:t>
                </a:r>
                <a:r>
                  <a:rPr lang="en-US" altLang="zh-CN" baseline="30000"/>
                  <a:t>13</a:t>
                </a:r>
                <a:r>
                  <a:rPr lang="en-US" altLang="zh-CN"/>
                  <a:t>C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006515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72099377988711"/>
          <c:y val="0.10226851851851854"/>
          <c:w val="0.81550124042713834"/>
          <c:h val="0.71162839020122481"/>
        </c:manualLayout>
      </c:layout>
      <c:scatterChart>
        <c:scatterStyle val="lineMarker"/>
        <c:varyColors val="0"/>
        <c:ser>
          <c:idx val="0"/>
          <c:order val="0"/>
          <c:tx>
            <c:strRef>
              <c:f>标曲!$D$1</c:f>
              <c:strCache>
                <c:ptCount val="1"/>
                <c:pt idx="0">
                  <c:v>adp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9.1232445259411071E-2"/>
                  <c:y val="3.340387714693558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标曲!$C$2:$C$11</c:f>
              <c:numCache>
                <c:formatCode>General</c:formatCode>
                <c:ptCount val="10"/>
                <c:pt idx="0">
                  <c:v>0.05</c:v>
                </c:pt>
                <c:pt idx="1">
                  <c:v>0.1</c:v>
                </c:pt>
                <c:pt idx="2">
                  <c:v>0.2</c:v>
                </c:pt>
                <c:pt idx="3">
                  <c:v>0.5</c:v>
                </c:pt>
                <c:pt idx="4">
                  <c:v>1</c:v>
                </c:pt>
                <c:pt idx="5">
                  <c:v>2</c:v>
                </c:pt>
                <c:pt idx="6">
                  <c:v>5</c:v>
                </c:pt>
                <c:pt idx="7">
                  <c:v>10</c:v>
                </c:pt>
                <c:pt idx="8">
                  <c:v>20</c:v>
                </c:pt>
                <c:pt idx="9">
                  <c:v>50</c:v>
                </c:pt>
              </c:numCache>
            </c:numRef>
          </c:xVal>
          <c:yVal>
            <c:numRef>
              <c:f>标曲!$D$2:$D$11</c:f>
              <c:numCache>
                <c:formatCode>General</c:formatCode>
                <c:ptCount val="10"/>
                <c:pt idx="1">
                  <c:v>0.32318339100346022</c:v>
                </c:pt>
                <c:pt idx="3">
                  <c:v>2.9539249146757678</c:v>
                </c:pt>
                <c:pt idx="5">
                  <c:v>3.7503045066991474</c:v>
                </c:pt>
                <c:pt idx="6">
                  <c:v>2.994312796208531</c:v>
                </c:pt>
                <c:pt idx="7">
                  <c:v>8.0157724810783151</c:v>
                </c:pt>
                <c:pt idx="8">
                  <c:v>14.54380626906258</c:v>
                </c:pt>
                <c:pt idx="9">
                  <c:v>37.751216315127273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9748272"/>
        <c:axId val="439748832"/>
      </c:scatterChart>
      <c:valAx>
        <c:axId val="439748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ADP</a:t>
                </a:r>
                <a:r>
                  <a:rPr lang="en-US" altLang="zh-CN" baseline="0"/>
                  <a:t> concentration(μmol/L)</a:t>
                </a:r>
                <a:endParaRPr lang="zh-CN" altLang="en-US"/>
              </a:p>
            </c:rich>
          </c:tx>
          <c:layout>
            <c:manualLayout>
              <c:xMode val="edge"/>
              <c:yMode val="edge"/>
              <c:x val="0.33589457567804026"/>
              <c:y val="0.912037037037037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39748832"/>
        <c:crosses val="autoZero"/>
        <c:crossBetween val="midCat"/>
      </c:valAx>
      <c:valAx>
        <c:axId val="439748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Ratio</a:t>
                </a:r>
                <a:r>
                  <a:rPr lang="en-US" altLang="zh-CN" baseline="0"/>
                  <a:t> of </a:t>
                </a:r>
                <a:r>
                  <a:rPr lang="en-US" altLang="zh-CN" baseline="30000"/>
                  <a:t>12</a:t>
                </a:r>
                <a:r>
                  <a:rPr lang="en-US" altLang="zh-CN" baseline="0"/>
                  <a:t>C /</a:t>
                </a:r>
                <a:r>
                  <a:rPr lang="en-US" altLang="zh-CN" baseline="30000"/>
                  <a:t>13</a:t>
                </a:r>
                <a:r>
                  <a:rPr lang="en-US" altLang="zh-CN" baseline="0"/>
                  <a:t>C</a:t>
                </a:r>
                <a:endParaRPr lang="zh-CN" altLang="en-US"/>
              </a:p>
            </c:rich>
          </c:tx>
          <c:layout>
            <c:manualLayout>
              <c:xMode val="edge"/>
              <c:yMode val="edge"/>
              <c:x val="7.7637795275590548E-3"/>
              <c:y val="0.339923082531350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397482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08529458679544"/>
          <c:y val="9.200022337633329E-2"/>
          <c:w val="0.80380765940169085"/>
          <c:h val="0.71843547216172443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Sheet3!$E$5</c:f>
              <c:strCache>
                <c:ptCount val="1"/>
                <c:pt idx="0">
                  <c:v>atp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4.4702077986108091E-2"/>
                  <c:y val="1.012743619813480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Sheet3!$B$6:$B$15</c:f>
              <c:numCache>
                <c:formatCode>General</c:formatCode>
                <c:ptCount val="10"/>
                <c:pt idx="0">
                  <c:v>0.05</c:v>
                </c:pt>
                <c:pt idx="1">
                  <c:v>0.1</c:v>
                </c:pt>
                <c:pt idx="2">
                  <c:v>0.2</c:v>
                </c:pt>
                <c:pt idx="3">
                  <c:v>0.5</c:v>
                </c:pt>
                <c:pt idx="4">
                  <c:v>1</c:v>
                </c:pt>
                <c:pt idx="5">
                  <c:v>2</c:v>
                </c:pt>
                <c:pt idx="6">
                  <c:v>5</c:v>
                </c:pt>
                <c:pt idx="7">
                  <c:v>10</c:v>
                </c:pt>
                <c:pt idx="8">
                  <c:v>20</c:v>
                </c:pt>
                <c:pt idx="9">
                  <c:v>50</c:v>
                </c:pt>
              </c:numCache>
            </c:numRef>
          </c:xVal>
          <c:yVal>
            <c:numRef>
              <c:f>Sheet3!$E$6:$E$15</c:f>
              <c:numCache>
                <c:formatCode>General</c:formatCode>
                <c:ptCount val="10"/>
                <c:pt idx="0">
                  <c:v>0.3</c:v>
                </c:pt>
                <c:pt idx="1">
                  <c:v>0.5</c:v>
                </c:pt>
                <c:pt idx="2">
                  <c:v>0.4</c:v>
                </c:pt>
                <c:pt idx="3">
                  <c:v>0.7</c:v>
                </c:pt>
                <c:pt idx="4">
                  <c:v>1.2</c:v>
                </c:pt>
                <c:pt idx="5">
                  <c:v>3</c:v>
                </c:pt>
                <c:pt idx="6">
                  <c:v>5</c:v>
                </c:pt>
                <c:pt idx="7">
                  <c:v>7.7809136010483932</c:v>
                </c:pt>
                <c:pt idx="8">
                  <c:v>15.682614677855859</c:v>
                </c:pt>
                <c:pt idx="9">
                  <c:v>38.672598625227714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4806800"/>
        <c:axId val="434807360"/>
      </c:scatterChart>
      <c:valAx>
        <c:axId val="434806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ATP concentration</a:t>
                </a:r>
                <a:r>
                  <a:rPr lang="en-US" altLang="zh-CN" baseline="0"/>
                  <a:t> (μmol/L)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34807360"/>
        <c:crosses val="autoZero"/>
        <c:crossBetween val="midCat"/>
      </c:valAx>
      <c:valAx>
        <c:axId val="43480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Ratio</a:t>
                </a:r>
                <a:r>
                  <a:rPr lang="en-US" altLang="zh-CN" baseline="0"/>
                  <a:t> of </a:t>
                </a:r>
                <a:r>
                  <a:rPr lang="en-US" altLang="zh-CN" baseline="30000"/>
                  <a:t>12</a:t>
                </a:r>
                <a:r>
                  <a:rPr lang="en-US" altLang="zh-CN" baseline="0"/>
                  <a:t>C/</a:t>
                </a:r>
                <a:r>
                  <a:rPr lang="en-US" altLang="zh-CN" baseline="30000"/>
                  <a:t>13</a:t>
                </a:r>
                <a:r>
                  <a:rPr lang="en-US" altLang="zh-CN" baseline="0"/>
                  <a:t>C</a:t>
                </a:r>
                <a:endParaRPr lang="zh-CN" alt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348068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1667D-5340-42B3-87A2-69CA6812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Thermo Fisher Scientific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Quantum</dc:creator>
  <cp:keywords/>
  <dc:description/>
  <cp:lastModifiedBy>Windows 用户</cp:lastModifiedBy>
  <cp:revision>25</cp:revision>
  <dcterms:created xsi:type="dcterms:W3CDTF">2015-07-25T13:01:00Z</dcterms:created>
  <dcterms:modified xsi:type="dcterms:W3CDTF">2015-07-27T01:28:00Z</dcterms:modified>
</cp:coreProperties>
</file>