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676B" w:rsidRDefault="009F676B" w:rsidP="009F676B">
      <w:pPr>
        <w:keepNext/>
        <w:outlineLvl w:val="2"/>
        <w:rPr>
          <w:rFonts w:ascii="Arial" w:hAnsi="Arial" w:cs="Arial"/>
          <w:b/>
          <w:bCs/>
          <w:sz w:val="22"/>
          <w:szCs w:val="22"/>
          <w:lang w:val="en-US"/>
        </w:rPr>
      </w:pPr>
      <w:r w:rsidRPr="002557AA">
        <w:rPr>
          <w:rFonts w:ascii="Arial" w:hAnsi="Arial" w:cs="Arial"/>
          <w:b/>
          <w:bCs/>
          <w:sz w:val="22"/>
          <w:szCs w:val="22"/>
          <w:lang w:val="en-US"/>
        </w:rPr>
        <w:t xml:space="preserve">Additional file </w:t>
      </w:r>
      <w:r w:rsidR="006E5582">
        <w:rPr>
          <w:rFonts w:ascii="Arial" w:hAnsi="Arial" w:cs="Arial"/>
          <w:b/>
          <w:bCs/>
          <w:sz w:val="22"/>
          <w:szCs w:val="22"/>
          <w:lang w:val="en-US"/>
        </w:rPr>
        <w:t>6</w:t>
      </w:r>
      <w:r w:rsidRPr="002557AA">
        <w:rPr>
          <w:rFonts w:ascii="Arial" w:hAnsi="Arial" w:cs="Arial"/>
          <w:b/>
          <w:bCs/>
          <w:sz w:val="22"/>
          <w:szCs w:val="22"/>
          <w:lang w:val="en-US"/>
        </w:rPr>
        <w:t>: Supplement to Methods section</w:t>
      </w:r>
    </w:p>
    <w:p w:rsidR="009F676B" w:rsidRPr="002557AA" w:rsidRDefault="009F676B" w:rsidP="009F676B">
      <w:pPr>
        <w:keepNext/>
        <w:outlineLvl w:val="2"/>
        <w:rPr>
          <w:rFonts w:ascii="Arial" w:hAnsi="Arial" w:cs="Arial"/>
          <w:b/>
          <w:bCs/>
          <w:sz w:val="22"/>
          <w:szCs w:val="22"/>
          <w:lang w:val="en-US"/>
        </w:rPr>
      </w:pPr>
    </w:p>
    <w:p w:rsidR="009F676B" w:rsidRPr="00684647" w:rsidRDefault="009F676B" w:rsidP="009F676B">
      <w:pPr>
        <w:pStyle w:val="Listenabsatz"/>
        <w:keepNext/>
        <w:widowControl w:val="0"/>
        <w:numPr>
          <w:ilvl w:val="0"/>
          <w:numId w:val="1"/>
        </w:numPr>
        <w:spacing w:before="240" w:after="60"/>
        <w:rPr>
          <w:rFonts w:eastAsiaTheme="minorEastAsia"/>
          <w:b/>
          <w:i/>
          <w:lang w:val="en-US" w:eastAsia="de-DE"/>
        </w:rPr>
      </w:pPr>
      <w:r w:rsidRPr="00684647">
        <w:rPr>
          <w:rFonts w:eastAsiaTheme="minorEastAsia"/>
          <w:b/>
          <w:i/>
          <w:lang w:val="en-US" w:eastAsia="de-DE"/>
        </w:rPr>
        <w:t>Site-directed mutagenesis</w:t>
      </w:r>
    </w:p>
    <w:p w:rsidR="009F676B" w:rsidRDefault="009F676B" w:rsidP="009F676B">
      <w:pPr>
        <w:keepNext/>
        <w:widowControl w:val="0"/>
        <w:rPr>
          <w:rFonts w:eastAsiaTheme="minorEastAsia"/>
          <w:lang w:val="en-US" w:eastAsia="de-DE"/>
        </w:rPr>
      </w:pPr>
      <w:r w:rsidRPr="002557AA">
        <w:rPr>
          <w:rFonts w:eastAsiaTheme="minorEastAsia"/>
          <w:lang w:val="en-US" w:eastAsia="de-DE"/>
        </w:rPr>
        <w:t xml:space="preserve">Site-directed silent mutagenesis was applied to introduce the silent mutations </w:t>
      </w:r>
      <w:r>
        <w:rPr>
          <w:rFonts w:eastAsiaTheme="minorEastAsia"/>
          <w:lang w:val="en-US" w:eastAsia="de-DE"/>
        </w:rPr>
        <w:t>into</w:t>
      </w:r>
      <w:r w:rsidRPr="002557AA">
        <w:rPr>
          <w:rFonts w:eastAsiaTheme="minorEastAsia"/>
          <w:lang w:val="en-US" w:eastAsia="de-DE"/>
        </w:rPr>
        <w:t xml:space="preserve"> </w:t>
      </w:r>
      <w:proofErr w:type="spellStart"/>
      <w:r w:rsidRPr="00731F9E">
        <w:rPr>
          <w:rFonts w:eastAsiaTheme="minorEastAsia"/>
          <w:i/>
          <w:lang w:val="en-US" w:eastAsia="de-DE"/>
        </w:rPr>
        <w:t>lipA</w:t>
      </w:r>
      <w:proofErr w:type="spellEnd"/>
      <w:r w:rsidRPr="002557AA">
        <w:rPr>
          <w:rFonts w:eastAsiaTheme="minorEastAsia"/>
          <w:lang w:val="en-US" w:eastAsia="de-DE"/>
        </w:rPr>
        <w:t xml:space="preserve"> gene encoding BSLA. Polymerase chain reactions (PCR) were executed using the modified SPRINP method of </w:t>
      </w:r>
      <w:proofErr w:type="spellStart"/>
      <w:r w:rsidRPr="002557AA">
        <w:rPr>
          <w:rFonts w:eastAsiaTheme="minorEastAsia"/>
          <w:lang w:val="en-US" w:eastAsia="de-DE"/>
        </w:rPr>
        <w:t>Edelheit</w:t>
      </w:r>
      <w:proofErr w:type="spellEnd"/>
      <w:r w:rsidRPr="002557AA">
        <w:rPr>
          <w:rFonts w:eastAsiaTheme="minorEastAsia"/>
          <w:lang w:val="en-US" w:eastAsia="de-DE"/>
        </w:rPr>
        <w:t xml:space="preserve"> </w:t>
      </w:r>
      <w:r w:rsidRPr="002557AA">
        <w:rPr>
          <w:rFonts w:eastAsiaTheme="minorEastAsia"/>
          <w:i/>
          <w:lang w:val="en-US" w:eastAsia="de-DE"/>
        </w:rPr>
        <w:t>et al.</w:t>
      </w:r>
      <w:r w:rsidRPr="002557AA">
        <w:rPr>
          <w:rFonts w:eastAsiaTheme="minorEastAsia"/>
          <w:lang w:val="en-US" w:eastAsia="de-DE"/>
        </w:rPr>
        <w:t xml:space="preserve"> </w:t>
      </w:r>
      <w:r w:rsidRPr="002557AA">
        <w:rPr>
          <w:rFonts w:eastAsiaTheme="minorEastAsia"/>
          <w:iCs/>
          <w:lang w:val="en-US" w:eastAsia="de-DE"/>
        </w:rPr>
        <w:fldChar w:fldCharType="begin"/>
      </w:r>
      <w:r>
        <w:rPr>
          <w:rFonts w:eastAsiaTheme="minorEastAsia"/>
          <w:iCs/>
          <w:lang w:val="en-US" w:eastAsia="de-DE"/>
        </w:rPr>
        <w:instrText xml:space="preserve"> ADDIN EN.CITE &lt;EndNote&gt;&lt;Cite&gt;&lt;Author&gt;Edelheit&lt;/Author&gt;&lt;Year&gt;2009&lt;/Year&gt;&lt;RecNum&gt;153&lt;/RecNum&gt;&lt;DisplayText&gt;[52]&lt;/DisplayText&gt;&lt;record&gt;&lt;rec-number&gt;153&lt;/rec-number&gt;&lt;foreign-keys&gt;&lt;key app="EN" db-id="wrs5vss9pas9taedz0n5xvtkfttt2srt2ts2"&gt;153&lt;/key&gt;&lt;/foreign-keys&gt;&lt;ref-type name="Journal Article"&gt;17&lt;/ref-type&gt;&lt;contributors&gt;&lt;authors&gt;&lt;author&gt;Edelheit, O.&lt;/author&gt;&lt;author&gt;Hanukoglu, A.&lt;/author&gt;&lt;author&gt;Hanukoglu, I.&lt;/author&gt;&lt;/authors&gt;&lt;/contributors&gt;&lt;auth-address&gt;[Edelheit, Oded; Hanukoglu, Israel] Ariel Univ Ctr, Dept Mol Biol, Ariel, Israel. [Edelheit, Oded; Hanukoglu, Aaron] Tel Aviv Univ, Sackler Sch Med, Dept Pediat, IL-69978 Tel Aviv, Israel. [Edelheit, Oded; Hanukoglu, Aaron] E Wolfson Med Ctr, Div Pediat Endocrinol, Holon, Israel.&amp;#xD;Hanukoglu, I (reprint author), Ariel Univ Ctr, Dept Mol Biol, Ariel, Israel.&amp;#xD;ede.oded@gmail.com; aaronh@science.co.il; mbiochem@gmail.com&lt;/auth-address&gt;&lt;titles&gt;&lt;title&gt;Simple and efficient site-directed mutagenesis using two single-primer reactions in parallel to generate mutants for protein structure-function studies&lt;/title&gt;&lt;secondary-title&gt;BMC Biotechnology&lt;/secondary-title&gt;&lt;alt-title&gt;BMC Biotechnol.&lt;/alt-title&gt;&lt;/titles&gt;&lt;periodical&gt;&lt;full-title&gt;BMC Biotechnology&lt;/full-title&gt;&lt;abbr-1&gt;BMC Biotechnol&lt;/abbr-1&gt;&lt;/periodical&gt;&lt;pages&gt;61&lt;/pages&gt;&lt;volume&gt;9&lt;/volume&gt;&lt;keywords&gt;&lt;keyword&gt;enac subunit genes&lt;/keyword&gt;&lt;keyword&gt;pseudohypoaldosteronism&lt;/keyword&gt;&lt;keyword&gt;extension&lt;/keyword&gt;&lt;keyword&gt;mutations&lt;/keyword&gt;&lt;keyword&gt;protocol&lt;/keyword&gt;&lt;keyword&gt;pcr&lt;/keyword&gt;&lt;/keywords&gt;&lt;dates&gt;&lt;year&gt;2009&lt;/year&gt;&lt;pub-dates&gt;&lt;date&gt;Jun&lt;/date&gt;&lt;/pub-dates&gt;&lt;/dates&gt;&lt;isbn&gt;1472-6750&lt;/isbn&gt;&lt;accession-num&gt;WOS:000268488100002&lt;/accession-num&gt;&lt;label&gt;printed&lt;/label&gt;&lt;work-type&gt;Article&lt;/work-type&gt;&lt;urls&gt;&lt;related-urls&gt;&lt;url&gt;&amp;lt;Go to ISI&amp;gt;://WOS:000268488100002&lt;/url&gt;&lt;/related-urls&gt;&lt;/urls&gt;&lt;electronic-resource-num&gt;61&amp;#xD;10.1186/1472-6750-9-61&lt;/electronic-resource-num&gt;&lt;language&gt;English&lt;/language&gt;&lt;/record&gt;&lt;/Cite&gt;&lt;/EndNote&gt;</w:instrText>
      </w:r>
      <w:r w:rsidRPr="002557AA">
        <w:rPr>
          <w:rFonts w:eastAsiaTheme="minorEastAsia"/>
          <w:iCs/>
          <w:lang w:val="en-US" w:eastAsia="de-DE"/>
        </w:rPr>
        <w:fldChar w:fldCharType="separate"/>
      </w:r>
      <w:r>
        <w:rPr>
          <w:rFonts w:eastAsiaTheme="minorEastAsia"/>
          <w:iCs/>
          <w:noProof/>
          <w:lang w:val="en-US" w:eastAsia="de-DE"/>
        </w:rPr>
        <w:t>[</w:t>
      </w:r>
      <w:hyperlink w:anchor="_ENREF_52" w:tooltip="Edelheit, 2009 #153" w:history="1">
        <w:r>
          <w:rPr>
            <w:rFonts w:eastAsiaTheme="minorEastAsia"/>
            <w:iCs/>
            <w:noProof/>
            <w:lang w:val="en-US" w:eastAsia="de-DE"/>
          </w:rPr>
          <w:t>52</w:t>
        </w:r>
      </w:hyperlink>
      <w:r>
        <w:rPr>
          <w:rFonts w:eastAsiaTheme="minorEastAsia"/>
          <w:iCs/>
          <w:noProof/>
          <w:lang w:val="en-US" w:eastAsia="de-DE"/>
        </w:rPr>
        <w:t>]</w:t>
      </w:r>
      <w:r w:rsidRPr="002557AA">
        <w:rPr>
          <w:rFonts w:eastAsiaTheme="minorEastAsia"/>
          <w:iCs/>
          <w:lang w:val="en-US" w:eastAsia="de-DE"/>
        </w:rPr>
        <w:fldChar w:fldCharType="end"/>
      </w:r>
      <w:r w:rsidRPr="002557AA">
        <w:rPr>
          <w:rFonts w:eastAsiaTheme="minorEastAsia"/>
          <w:lang w:val="en-US" w:eastAsia="de-DE"/>
        </w:rPr>
        <w:t>. For amplification</w:t>
      </w:r>
      <w:r>
        <w:rPr>
          <w:rFonts w:eastAsiaTheme="minorEastAsia"/>
          <w:lang w:val="en-US" w:eastAsia="de-DE"/>
        </w:rPr>
        <w:t>,</w:t>
      </w:r>
      <w:r w:rsidRPr="002557AA">
        <w:rPr>
          <w:rFonts w:eastAsiaTheme="minorEastAsia"/>
          <w:lang w:val="en-US" w:eastAsia="de-DE"/>
        </w:rPr>
        <w:t xml:space="preserve"> two separate 25 µL reactions with each 10-50 ng of template, 0.2 </w:t>
      </w:r>
      <w:proofErr w:type="spellStart"/>
      <w:r w:rsidRPr="002557AA">
        <w:rPr>
          <w:rFonts w:eastAsiaTheme="minorEastAsia"/>
          <w:lang w:val="en-US" w:eastAsia="de-DE"/>
        </w:rPr>
        <w:t>pM</w:t>
      </w:r>
      <w:proofErr w:type="spellEnd"/>
      <w:r w:rsidRPr="002557AA">
        <w:rPr>
          <w:rFonts w:eastAsiaTheme="minorEastAsia"/>
          <w:lang w:val="en-US" w:eastAsia="de-DE"/>
        </w:rPr>
        <w:t xml:space="preserve"> of either the forward or </w:t>
      </w:r>
      <w:r>
        <w:rPr>
          <w:rFonts w:eastAsiaTheme="minorEastAsia"/>
          <w:lang w:val="en-US" w:eastAsia="de-DE"/>
        </w:rPr>
        <w:t>reverse primer (synthetized by E</w:t>
      </w:r>
      <w:r w:rsidRPr="002557AA">
        <w:rPr>
          <w:rFonts w:eastAsiaTheme="minorEastAsia"/>
          <w:lang w:val="en-US" w:eastAsia="de-DE"/>
        </w:rPr>
        <w:t>urofins MWG Operon, Germany), 0.2 </w:t>
      </w:r>
      <w:proofErr w:type="spellStart"/>
      <w:r w:rsidRPr="002557AA">
        <w:rPr>
          <w:rFonts w:eastAsiaTheme="minorEastAsia"/>
          <w:lang w:val="en-US" w:eastAsia="de-DE"/>
        </w:rPr>
        <w:t>mM</w:t>
      </w:r>
      <w:proofErr w:type="spellEnd"/>
      <w:r w:rsidRPr="002557AA">
        <w:rPr>
          <w:rFonts w:eastAsiaTheme="minorEastAsia"/>
          <w:lang w:val="en-US" w:eastAsia="de-DE"/>
        </w:rPr>
        <w:t xml:space="preserve"> dNTPs, 3 % DMSO (v/v) and 1 U of </w:t>
      </w:r>
      <w:proofErr w:type="spellStart"/>
      <w:r w:rsidRPr="002557AA">
        <w:rPr>
          <w:rFonts w:eastAsiaTheme="minorEastAsia"/>
          <w:lang w:val="en-US" w:eastAsia="de-DE"/>
        </w:rPr>
        <w:t>Phusion</w:t>
      </w:r>
      <w:proofErr w:type="spellEnd"/>
      <w:r w:rsidRPr="002557AA">
        <w:rPr>
          <w:rFonts w:eastAsiaTheme="minorEastAsia"/>
          <w:lang w:val="en-US" w:eastAsia="de-DE"/>
        </w:rPr>
        <w:t xml:space="preserve"> high fidelity DNA polymerase in </w:t>
      </w:r>
      <w:proofErr w:type="spellStart"/>
      <w:r w:rsidRPr="002557AA">
        <w:rPr>
          <w:rFonts w:eastAsiaTheme="minorEastAsia"/>
          <w:lang w:val="en-US" w:eastAsia="de-DE"/>
        </w:rPr>
        <w:t>Phusion</w:t>
      </w:r>
      <w:proofErr w:type="spellEnd"/>
      <w:r w:rsidRPr="002557AA">
        <w:rPr>
          <w:rFonts w:eastAsiaTheme="minorEastAsia"/>
          <w:lang w:val="en-US" w:eastAsia="de-DE"/>
        </w:rPr>
        <w:t xml:space="preserve"> GC-buffer containing 7.5 </w:t>
      </w:r>
      <w:proofErr w:type="spellStart"/>
      <w:r w:rsidRPr="002557AA">
        <w:rPr>
          <w:rFonts w:eastAsiaTheme="minorEastAsia"/>
          <w:lang w:val="en-US" w:eastAsia="de-DE"/>
        </w:rPr>
        <w:t>mM</w:t>
      </w:r>
      <w:proofErr w:type="spellEnd"/>
      <w:r w:rsidRPr="002557AA">
        <w:rPr>
          <w:rFonts w:eastAsiaTheme="minorEastAsia"/>
          <w:lang w:val="en-US" w:eastAsia="de-DE"/>
        </w:rPr>
        <w:t xml:space="preserve"> MgCl</w:t>
      </w:r>
      <w:r w:rsidRPr="002557AA">
        <w:rPr>
          <w:rFonts w:eastAsiaTheme="minorEastAsia"/>
          <w:vertAlign w:val="subscript"/>
          <w:lang w:val="en-US" w:eastAsia="de-DE"/>
        </w:rPr>
        <w:t>2</w:t>
      </w:r>
      <w:r w:rsidRPr="002557AA">
        <w:rPr>
          <w:rFonts w:eastAsiaTheme="minorEastAsia"/>
          <w:lang w:val="en-US" w:eastAsia="de-DE"/>
        </w:rPr>
        <w:t xml:space="preserve"> (</w:t>
      </w:r>
      <w:proofErr w:type="spellStart"/>
      <w:r w:rsidRPr="002557AA">
        <w:rPr>
          <w:rFonts w:eastAsiaTheme="minorEastAsia"/>
          <w:lang w:val="en-US" w:eastAsia="de-DE"/>
        </w:rPr>
        <w:t>Thermo</w:t>
      </w:r>
      <w:proofErr w:type="spellEnd"/>
      <w:r w:rsidRPr="002557AA">
        <w:rPr>
          <w:rFonts w:eastAsiaTheme="minorEastAsia"/>
          <w:lang w:val="en-US" w:eastAsia="de-DE"/>
        </w:rPr>
        <w:t xml:space="preserve"> Scientific, Germany) were performed. The following PCR program was set: initial denaturation at 98 °C for 10 min, 23 cycles of 98 °C for 1 min, 55 °C for 1 min and 68 °C for 3.5 min, final elongation step at 68 °C for 7 min. PCR was paused after 5 cycles to combine forward and reverse primer reaction and was proceeded for the remaining 18 cycles. Removal of template DNA was achieved using 30 U </w:t>
      </w:r>
      <w:proofErr w:type="spellStart"/>
      <w:r w:rsidRPr="002557AA">
        <w:rPr>
          <w:rFonts w:eastAsiaTheme="minorEastAsia"/>
          <w:i/>
          <w:lang w:val="en-US" w:eastAsia="de-DE"/>
        </w:rPr>
        <w:t>Dpn</w:t>
      </w:r>
      <w:r w:rsidRPr="002557AA">
        <w:rPr>
          <w:rFonts w:eastAsiaTheme="minorEastAsia"/>
          <w:lang w:val="en-US" w:eastAsia="de-DE"/>
        </w:rPr>
        <w:t>I</w:t>
      </w:r>
      <w:proofErr w:type="spellEnd"/>
      <w:r w:rsidRPr="002557AA">
        <w:rPr>
          <w:rFonts w:eastAsiaTheme="minorEastAsia"/>
          <w:lang w:val="en-US" w:eastAsia="de-DE"/>
        </w:rPr>
        <w:t xml:space="preserve"> at 37 °C for 16 h. After stopping the reaction at 75 °C for 15 min, a PCR purification (</w:t>
      </w:r>
      <w:proofErr w:type="spellStart"/>
      <w:r w:rsidRPr="002557AA">
        <w:rPr>
          <w:rFonts w:eastAsiaTheme="minorEastAsia"/>
          <w:lang w:val="en-US" w:eastAsia="de-DE"/>
        </w:rPr>
        <w:t>Analytik</w:t>
      </w:r>
      <w:proofErr w:type="spellEnd"/>
      <w:r w:rsidRPr="002557AA">
        <w:rPr>
          <w:rFonts w:eastAsiaTheme="minorEastAsia"/>
          <w:lang w:val="en-US" w:eastAsia="de-DE"/>
        </w:rPr>
        <w:t xml:space="preserve"> Jena, Germany) was performed. An 1 µL aliquot was transformed into </w:t>
      </w:r>
      <w:proofErr w:type="spellStart"/>
      <w:r w:rsidRPr="002557AA">
        <w:rPr>
          <w:rFonts w:eastAsiaTheme="minorEastAsia"/>
          <w:lang w:val="en-US" w:eastAsia="de-DE"/>
        </w:rPr>
        <w:t>electrocompetent</w:t>
      </w:r>
      <w:proofErr w:type="spellEnd"/>
      <w:r w:rsidRPr="002557AA">
        <w:rPr>
          <w:rFonts w:eastAsiaTheme="minorEastAsia"/>
          <w:lang w:val="en-US" w:eastAsia="de-DE"/>
        </w:rPr>
        <w:t xml:space="preserve"> </w:t>
      </w:r>
      <w:r w:rsidRPr="002557AA">
        <w:rPr>
          <w:rFonts w:eastAsiaTheme="minorEastAsia"/>
          <w:i/>
          <w:iCs/>
          <w:lang w:val="en-US" w:eastAsia="de-DE"/>
        </w:rPr>
        <w:t>E. coli</w:t>
      </w:r>
      <w:r w:rsidRPr="002557AA">
        <w:rPr>
          <w:rFonts w:eastAsiaTheme="minorEastAsia"/>
          <w:lang w:val="en-US" w:eastAsia="de-DE"/>
        </w:rPr>
        <w:t xml:space="preserve"> DH5α, plated onto selective </w:t>
      </w:r>
      <w:proofErr w:type="spellStart"/>
      <w:r w:rsidRPr="002557AA">
        <w:rPr>
          <w:rFonts w:eastAsiaTheme="minorEastAsia"/>
          <w:lang w:val="en-US" w:eastAsia="de-DE"/>
        </w:rPr>
        <w:t>Lysogeny</w:t>
      </w:r>
      <w:proofErr w:type="spellEnd"/>
      <w:r w:rsidRPr="002557AA">
        <w:rPr>
          <w:rFonts w:eastAsiaTheme="minorEastAsia"/>
          <w:lang w:val="en-US" w:eastAsia="de-DE"/>
        </w:rPr>
        <w:t xml:space="preserve"> Broth (LB) </w:t>
      </w:r>
      <w:r w:rsidRPr="002557AA">
        <w:rPr>
          <w:rFonts w:eastAsiaTheme="minorEastAsia"/>
          <w:lang w:val="en-US" w:eastAsia="de-DE"/>
        </w:rPr>
        <w:fldChar w:fldCharType="begin"/>
      </w:r>
      <w:r>
        <w:rPr>
          <w:rFonts w:eastAsiaTheme="minorEastAsia"/>
          <w:lang w:val="en-US" w:eastAsia="de-DE"/>
        </w:rPr>
        <w:instrText xml:space="preserve"> ADDIN EN.CITE &lt;EndNote&gt;&lt;Cite&gt;&lt;Author&gt;Bertani&lt;/Author&gt;&lt;Year&gt;1951&lt;/Year&gt;&lt;RecNum&gt;250&lt;/RecNum&gt;&lt;DisplayText&gt;[62]&lt;/DisplayText&gt;&lt;record&gt;&lt;rec-number&gt;250&lt;/rec-number&gt;&lt;foreign-keys&gt;&lt;key app="EN" db-id="wrs5vss9pas9taedz0n5xvtkfttt2srt2ts2"&gt;250&lt;/key&gt;&lt;/foreign-keys&gt;&lt;ref-type name="Journal Article"&gt;17&lt;/ref-type&gt;&lt;contributors&gt;&lt;authors&gt;&lt;author&gt;Bertani, G.&lt;/author&gt;&lt;/authors&gt;&lt;/contributors&gt;&lt;titles&gt;&lt;title&gt;&lt;style face="normal" font="default" size="100%"&gt;Studies on lysogenesis. I. The mode of phage liberation by lysogenic &lt;/style&gt;&lt;style face="italic" font="default" size="100%"&gt;Escherichia coli&lt;/style&gt;&lt;/title&gt;&lt;secondary-title&gt;J Bacteriol&lt;/secondary-title&gt;&lt;/titles&gt;&lt;periodical&gt;&lt;full-title&gt;J Bacteriol&lt;/full-title&gt;&lt;/periodical&gt;&lt;pages&gt;293-300&lt;/pages&gt;&lt;volume&gt;62&lt;/volume&gt;&lt;number&gt;3&lt;/number&gt;&lt;dates&gt;&lt;year&gt;1951&lt;/year&gt;&lt;/dates&gt;&lt;isbn&gt;0021-9193 (Print)&amp;#xD;0021-9193 (Linking)&lt;/isbn&gt;&lt;urls&gt;&lt;/urls&gt;&lt;/record&gt;&lt;/Cite&gt;&lt;/EndNote&gt;</w:instrText>
      </w:r>
      <w:r w:rsidRPr="002557AA">
        <w:rPr>
          <w:rFonts w:eastAsiaTheme="minorEastAsia"/>
          <w:lang w:val="en-US" w:eastAsia="de-DE"/>
        </w:rPr>
        <w:fldChar w:fldCharType="separate"/>
      </w:r>
      <w:r>
        <w:rPr>
          <w:rFonts w:eastAsiaTheme="minorEastAsia"/>
          <w:noProof/>
          <w:lang w:val="en-US" w:eastAsia="de-DE"/>
        </w:rPr>
        <w:t>[</w:t>
      </w:r>
      <w:hyperlink w:anchor="_ENREF_62" w:tooltip="Bertani, 1951 #250" w:history="1">
        <w:r>
          <w:rPr>
            <w:rFonts w:eastAsiaTheme="minorEastAsia"/>
            <w:noProof/>
            <w:lang w:val="en-US" w:eastAsia="de-DE"/>
          </w:rPr>
          <w:t>62</w:t>
        </w:r>
      </w:hyperlink>
      <w:r>
        <w:rPr>
          <w:rFonts w:eastAsiaTheme="minorEastAsia"/>
          <w:noProof/>
          <w:lang w:val="en-US" w:eastAsia="de-DE"/>
        </w:rPr>
        <w:t>]</w:t>
      </w:r>
      <w:r w:rsidRPr="002557AA">
        <w:rPr>
          <w:rFonts w:eastAsiaTheme="minorEastAsia"/>
          <w:lang w:val="en-US" w:eastAsia="de-DE"/>
        </w:rPr>
        <w:fldChar w:fldCharType="end"/>
      </w:r>
      <w:r w:rsidRPr="002557AA">
        <w:rPr>
          <w:rFonts w:eastAsiaTheme="minorEastAsia"/>
          <w:lang w:val="en-US" w:eastAsia="de-DE"/>
        </w:rPr>
        <w:t xml:space="preserve"> agar plates, and incubated overnight at 37 °C. To guarantee successful mutagenesis</w:t>
      </w:r>
      <w:r>
        <w:rPr>
          <w:rFonts w:eastAsiaTheme="minorEastAsia"/>
          <w:lang w:val="en-US" w:eastAsia="de-DE"/>
        </w:rPr>
        <w:t>,</w:t>
      </w:r>
      <w:r w:rsidRPr="002557AA">
        <w:rPr>
          <w:rFonts w:eastAsiaTheme="minorEastAsia"/>
          <w:lang w:val="en-US" w:eastAsia="de-DE"/>
        </w:rPr>
        <w:t xml:space="preserve"> positive </w:t>
      </w:r>
      <w:proofErr w:type="spellStart"/>
      <w:r w:rsidRPr="002557AA">
        <w:rPr>
          <w:rFonts w:eastAsiaTheme="minorEastAsia"/>
          <w:lang w:val="en-US" w:eastAsia="de-DE"/>
        </w:rPr>
        <w:t>t</w:t>
      </w:r>
      <w:r>
        <w:rPr>
          <w:rFonts w:eastAsiaTheme="minorEastAsia"/>
          <w:lang w:val="en-US" w:eastAsia="de-DE"/>
        </w:rPr>
        <w:t>ransformants</w:t>
      </w:r>
      <w:proofErr w:type="spellEnd"/>
      <w:r>
        <w:rPr>
          <w:rFonts w:eastAsiaTheme="minorEastAsia"/>
          <w:lang w:val="en-US" w:eastAsia="de-DE"/>
        </w:rPr>
        <w:t xml:space="preserve"> were sequenced (E</w:t>
      </w:r>
      <w:r w:rsidRPr="002557AA">
        <w:rPr>
          <w:rFonts w:eastAsiaTheme="minorEastAsia"/>
          <w:lang w:val="en-US" w:eastAsia="de-DE"/>
        </w:rPr>
        <w:t>ur</w:t>
      </w:r>
      <w:r>
        <w:rPr>
          <w:rFonts w:eastAsiaTheme="minorEastAsia"/>
          <w:lang w:val="en-US" w:eastAsia="de-DE"/>
        </w:rPr>
        <w:t xml:space="preserve">ofins MWG Operon, </w:t>
      </w:r>
      <w:r w:rsidRPr="002557AA">
        <w:rPr>
          <w:rFonts w:eastAsiaTheme="minorEastAsia"/>
          <w:lang w:val="en-US" w:eastAsia="de-DE"/>
        </w:rPr>
        <w:t xml:space="preserve">Germany). Constructed plasmids carrying the silent mutations within BSLA were transformed into competent </w:t>
      </w:r>
      <w:r w:rsidRPr="002557AA">
        <w:rPr>
          <w:rFonts w:eastAsiaTheme="minorEastAsia"/>
          <w:i/>
          <w:lang w:val="en-US" w:eastAsia="de-DE"/>
        </w:rPr>
        <w:t>E. coli</w:t>
      </w:r>
      <w:r w:rsidRPr="002557AA">
        <w:rPr>
          <w:rFonts w:eastAsiaTheme="minorEastAsia"/>
          <w:lang w:val="en-US" w:eastAsia="de-DE"/>
        </w:rPr>
        <w:t xml:space="preserve"> </w:t>
      </w:r>
      <w:proofErr w:type="gramStart"/>
      <w:r w:rsidRPr="002557AA">
        <w:rPr>
          <w:rFonts w:eastAsiaTheme="minorEastAsia"/>
          <w:lang w:val="en-US" w:eastAsia="de-DE"/>
        </w:rPr>
        <w:t>BL21(</w:t>
      </w:r>
      <w:proofErr w:type="gramEnd"/>
      <w:r w:rsidRPr="002557AA">
        <w:rPr>
          <w:rFonts w:eastAsiaTheme="minorEastAsia"/>
          <w:lang w:val="en-US" w:eastAsia="de-DE"/>
        </w:rPr>
        <w:t>DE3) cells and preserved in 15 % (w/w) glycerol at -80 °C.</w:t>
      </w:r>
    </w:p>
    <w:p w:rsidR="009F676B" w:rsidRDefault="009F676B" w:rsidP="009F676B">
      <w:pPr>
        <w:keepNext/>
        <w:widowControl w:val="0"/>
        <w:rPr>
          <w:rFonts w:eastAsiaTheme="minorEastAsia"/>
          <w:lang w:val="en-US" w:eastAsia="de-DE"/>
        </w:rPr>
      </w:pPr>
    </w:p>
    <w:p w:rsidR="009F676B" w:rsidRPr="00684647" w:rsidRDefault="009F676B" w:rsidP="009F676B">
      <w:pPr>
        <w:pStyle w:val="Listenabsatz"/>
        <w:keepNext/>
        <w:widowControl w:val="0"/>
        <w:numPr>
          <w:ilvl w:val="0"/>
          <w:numId w:val="1"/>
        </w:numPr>
        <w:spacing w:before="240" w:after="60"/>
        <w:rPr>
          <w:rFonts w:eastAsiaTheme="minorEastAsia"/>
          <w:b/>
          <w:i/>
          <w:lang w:val="en-US" w:eastAsia="de-DE"/>
        </w:rPr>
      </w:pPr>
      <w:r w:rsidRPr="00684647">
        <w:rPr>
          <w:rFonts w:eastAsiaTheme="minorEastAsia"/>
          <w:b/>
          <w:i/>
          <w:sz w:val="26"/>
          <w:lang w:val="en-US" w:eastAsia="de-DE"/>
        </w:rPr>
        <w:t>Cultivation</w:t>
      </w:r>
      <w:r w:rsidRPr="00684647">
        <w:rPr>
          <w:rFonts w:eastAsiaTheme="minorEastAsia"/>
          <w:b/>
          <w:i/>
          <w:lang w:val="en-US" w:eastAsia="de-DE"/>
        </w:rPr>
        <w:t xml:space="preserve"> media</w:t>
      </w:r>
    </w:p>
    <w:p w:rsidR="009F676B" w:rsidRDefault="009F676B" w:rsidP="009F676B">
      <w:pPr>
        <w:rPr>
          <w:rFonts w:eastAsiaTheme="minorEastAsia"/>
          <w:lang w:val="en-US" w:eastAsia="de-DE"/>
        </w:rPr>
      </w:pPr>
      <w:r w:rsidRPr="002557AA">
        <w:rPr>
          <w:lang w:val="en-US"/>
        </w:rPr>
        <w:t xml:space="preserve">Complex Terrific Broth (TB) </w:t>
      </w:r>
      <w:r w:rsidRPr="002557AA">
        <w:rPr>
          <w:rFonts w:eastAsiaTheme="minorEastAsia"/>
          <w:lang w:val="en-US" w:eastAsia="de-DE"/>
        </w:rPr>
        <w:fldChar w:fldCharType="begin"/>
      </w:r>
      <w:r>
        <w:rPr>
          <w:rFonts w:eastAsiaTheme="minorEastAsia"/>
          <w:lang w:val="en-US" w:eastAsia="de-DE"/>
        </w:rPr>
        <w:instrText xml:space="preserve"> ADDIN EN.CITE &lt;EndNote&gt;&lt;Cite&gt;&lt;Author&gt;Tartof&lt;/Author&gt;&lt;Year&gt;1987&lt;/Year&gt;&lt;RecNum&gt;249&lt;/RecNum&gt;&lt;DisplayText&gt;[53]&lt;/DisplayText&gt;&lt;record&gt;&lt;rec-number&gt;249&lt;/rec-number&gt;&lt;foreign-keys&gt;&lt;key app="EN" db-id="wrs5vss9pas9taedz0n5xvtkfttt2srt2ts2"&gt;249&lt;/key&gt;&lt;/foreign-keys&gt;&lt;ref-type name="Journal Article"&gt;17&lt;/ref-type&gt;&lt;contributors&gt;&lt;authors&gt;&lt;author&gt;Tartof, K. D.&lt;/author&gt;&lt;author&gt;Hobbs, C. A.&lt;/author&gt;&lt;/authors&gt;&lt;/contributors&gt;&lt;titles&gt;&lt;title&gt;Improved media for growing plasmid and cosmid clones&lt;/title&gt;&lt;secondary-title&gt;Bethesda Res Lab Focus&lt;/secondary-title&gt;&lt;/titles&gt;&lt;periodical&gt;&lt;full-title&gt;Bethesda Res Lab Focus&lt;/full-title&gt;&lt;/periodical&gt;&lt;pages&gt;12&lt;/pages&gt;&lt;volume&gt;9&lt;/volume&gt;&lt;number&gt;2&lt;/number&gt;&lt;dates&gt;&lt;year&gt;1987&lt;/year&gt;&lt;/dates&gt;&lt;urls&gt;&lt;/urls&gt;&lt;/record&gt;&lt;/Cite&gt;&lt;/EndNote&gt;</w:instrText>
      </w:r>
      <w:r w:rsidRPr="002557AA">
        <w:rPr>
          <w:rFonts w:eastAsiaTheme="minorEastAsia"/>
          <w:lang w:val="en-US" w:eastAsia="de-DE"/>
        </w:rPr>
        <w:fldChar w:fldCharType="separate"/>
      </w:r>
      <w:r>
        <w:rPr>
          <w:rFonts w:eastAsiaTheme="minorEastAsia"/>
          <w:noProof/>
          <w:lang w:val="en-US" w:eastAsia="de-DE"/>
        </w:rPr>
        <w:t>[</w:t>
      </w:r>
      <w:hyperlink w:anchor="_ENREF_53" w:tooltip="Tartof, 1987 #249" w:history="1">
        <w:r>
          <w:rPr>
            <w:rFonts w:eastAsiaTheme="minorEastAsia"/>
            <w:noProof/>
            <w:lang w:val="en-US" w:eastAsia="de-DE"/>
          </w:rPr>
          <w:t>53</w:t>
        </w:r>
      </w:hyperlink>
      <w:r>
        <w:rPr>
          <w:rFonts w:eastAsiaTheme="minorEastAsia"/>
          <w:noProof/>
          <w:lang w:val="en-US" w:eastAsia="de-DE"/>
        </w:rPr>
        <w:t>]</w:t>
      </w:r>
      <w:r w:rsidRPr="002557AA">
        <w:rPr>
          <w:rFonts w:eastAsiaTheme="minorEastAsia"/>
          <w:lang w:val="en-US" w:eastAsia="de-DE"/>
        </w:rPr>
        <w:fldChar w:fldCharType="end"/>
      </w:r>
      <w:r w:rsidRPr="002557AA">
        <w:rPr>
          <w:rFonts w:eastAsiaTheme="minorEastAsia"/>
          <w:lang w:val="en-US" w:eastAsia="de-DE"/>
        </w:rPr>
        <w:t xml:space="preserve"> </w:t>
      </w:r>
      <w:r w:rsidRPr="002557AA">
        <w:rPr>
          <w:lang w:val="en-US"/>
        </w:rPr>
        <w:t xml:space="preserve">medium consists of </w:t>
      </w:r>
      <w:r w:rsidRPr="002557AA">
        <w:rPr>
          <w:rFonts w:eastAsiaTheme="minorEastAsia"/>
          <w:lang w:val="en-US" w:eastAsia="de-DE"/>
        </w:rPr>
        <w:t xml:space="preserve">12 g/L </w:t>
      </w:r>
      <w:proofErr w:type="spellStart"/>
      <w:r w:rsidRPr="002557AA">
        <w:rPr>
          <w:rFonts w:eastAsiaTheme="minorEastAsia"/>
          <w:lang w:val="en-US" w:eastAsia="de-DE"/>
        </w:rPr>
        <w:t>tryptone</w:t>
      </w:r>
      <w:proofErr w:type="spellEnd"/>
      <w:r w:rsidRPr="002557AA">
        <w:rPr>
          <w:rFonts w:eastAsiaTheme="minorEastAsia"/>
          <w:lang w:val="en-US" w:eastAsia="de-DE"/>
        </w:rPr>
        <w:t>, 24 g/L yeast extract, 12.54 g/L K</w:t>
      </w:r>
      <w:r w:rsidRPr="002557AA">
        <w:rPr>
          <w:rFonts w:eastAsiaTheme="minorEastAsia"/>
          <w:vertAlign w:val="subscript"/>
          <w:lang w:val="en-US" w:eastAsia="de-DE"/>
        </w:rPr>
        <w:t>2</w:t>
      </w:r>
      <w:r w:rsidRPr="002557AA">
        <w:rPr>
          <w:rFonts w:eastAsiaTheme="minorEastAsia"/>
          <w:lang w:val="en-US" w:eastAsia="de-DE"/>
        </w:rPr>
        <w:t>HPO</w:t>
      </w:r>
      <w:r w:rsidRPr="002557AA">
        <w:rPr>
          <w:rFonts w:eastAsiaTheme="minorEastAsia"/>
          <w:vertAlign w:val="subscript"/>
          <w:lang w:val="en-US" w:eastAsia="de-DE"/>
        </w:rPr>
        <w:t>4</w:t>
      </w:r>
      <w:r w:rsidRPr="002557AA">
        <w:rPr>
          <w:rFonts w:eastAsiaTheme="minorEastAsia"/>
          <w:lang w:val="en-US" w:eastAsia="de-DE"/>
        </w:rPr>
        <w:t>, 2.3 g/L KH</w:t>
      </w:r>
      <w:r w:rsidRPr="002557AA">
        <w:rPr>
          <w:rFonts w:eastAsiaTheme="minorEastAsia"/>
          <w:vertAlign w:val="subscript"/>
          <w:lang w:val="en-US" w:eastAsia="de-DE"/>
        </w:rPr>
        <w:t>2</w:t>
      </w:r>
      <w:r w:rsidRPr="002557AA">
        <w:rPr>
          <w:rFonts w:eastAsiaTheme="minorEastAsia"/>
          <w:lang w:val="en-US" w:eastAsia="de-DE"/>
        </w:rPr>
        <w:t>PO</w:t>
      </w:r>
      <w:r w:rsidRPr="002557AA">
        <w:rPr>
          <w:rFonts w:eastAsiaTheme="minorEastAsia"/>
          <w:vertAlign w:val="subscript"/>
          <w:lang w:val="en-US" w:eastAsia="de-DE"/>
        </w:rPr>
        <w:t>4</w:t>
      </w:r>
      <w:r w:rsidRPr="002557AA">
        <w:rPr>
          <w:rFonts w:eastAsiaTheme="minorEastAsia"/>
          <w:lang w:val="en-US" w:eastAsia="de-DE"/>
        </w:rPr>
        <w:t xml:space="preserve"> and 5 g/L glycerol (all ingredients from Roth, Germany) </w:t>
      </w:r>
      <w:r w:rsidRPr="002557AA">
        <w:rPr>
          <w:rFonts w:eastAsiaTheme="minorEastAsia"/>
          <w:lang w:val="en-US" w:eastAsia="de-DE"/>
        </w:rPr>
        <w:lastRenderedPageBreak/>
        <w:t xml:space="preserve">dissolved in water. The pH-value was 7.2 ± 0.2 without adjustment. Modified Wilms-MOPS mineral medium according to Wilms </w:t>
      </w:r>
      <w:r w:rsidRPr="002557AA">
        <w:rPr>
          <w:rFonts w:eastAsiaTheme="minorEastAsia"/>
          <w:i/>
          <w:lang w:val="en-US"/>
        </w:rPr>
        <w:t>et al.</w:t>
      </w:r>
      <w:r w:rsidRPr="002557AA">
        <w:rPr>
          <w:rFonts w:eastAsiaTheme="minorEastAsia"/>
          <w:lang w:val="en-US" w:eastAsia="de-DE"/>
        </w:rPr>
        <w:t xml:space="preserve"> </w:t>
      </w:r>
      <w:r w:rsidRPr="002557AA">
        <w:rPr>
          <w:rFonts w:eastAsiaTheme="minorEastAsia"/>
          <w:lang w:val="en-US" w:eastAsia="de-DE"/>
        </w:rPr>
        <w:fldChar w:fldCharType="begin"/>
      </w:r>
      <w:r>
        <w:rPr>
          <w:rFonts w:eastAsiaTheme="minorEastAsia"/>
          <w:lang w:val="en-US" w:eastAsia="de-DE"/>
        </w:rPr>
        <w:instrText xml:space="preserve"> ADDIN EN.CITE &lt;EndNote&gt;&lt;Cite&gt;&lt;Author&gt;Wilms&lt;/Author&gt;&lt;Year&gt;2001&lt;/Year&gt;&lt;RecNum&gt;154&lt;/RecNum&gt;&lt;DisplayText&gt;[54]&lt;/DisplayText&gt;&lt;record&gt;&lt;rec-number&gt;154&lt;/rec-number&gt;&lt;foreign-keys&gt;&lt;key app="EN" db-id="wrs5vss9pas9taedz0n5xvtkfttt2srt2ts2"&gt;154&lt;/key&gt;&lt;/foreign-keys&gt;&lt;ref-type name="Journal Article"&gt;17&lt;/ref-type&gt;&lt;contributors&gt;&lt;authors&gt;&lt;author&gt;Wilms, B.&lt;/author&gt;&lt;author&gt;Hauck, A.&lt;/author&gt;&lt;author&gt;Reuss, M.&lt;/author&gt;&lt;author&gt;Syldatk, C.&lt;/author&gt;&lt;author&gt;Mattes, R.&lt;/author&gt;&lt;author&gt;Siemann, M.&lt;/author&gt;&lt;author&gt;Altenbuchner, J.&lt;/author&gt;&lt;/authors&gt;&lt;/contributors&gt;&lt;titles&gt;&lt;title&gt;&lt;style face="normal" font="default" size="100%"&gt;High-cell-density fermentation for production of L-N-carbamoylase using an expression system based on the &lt;/style&gt;&lt;style face="italic" font="default" size="100%"&gt;Escherichia coli&lt;/style&gt;&lt;style face="normal" font="default" size="100%"&gt; rhaBAD promoter&lt;/style&gt;&lt;/title&gt;&lt;secondary-title&gt;Biotechnology and Bioengineering&lt;/secondary-title&gt;&lt;/titles&gt;&lt;periodical&gt;&lt;full-title&gt;Biotechnology and Bioengineering&lt;/full-title&gt;&lt;abbr-1&gt;Biotechnol. Bioeng.&lt;/abbr-1&gt;&lt;/periodical&gt;&lt;pages&gt;95-103&lt;/pages&gt;&lt;volume&gt;73&lt;/volume&gt;&lt;number&gt;2&lt;/number&gt;&lt;dates&gt;&lt;year&gt;2001&lt;/year&gt;&lt;/dates&gt;&lt;isbn&gt;0006-3592 (Print)&amp;#xD;0006-3592 (Linking)&lt;/isbn&gt;&lt;urls&gt;&lt;/urls&gt;&lt;/record&gt;&lt;/Cite&gt;&lt;/EndNote&gt;</w:instrText>
      </w:r>
      <w:r w:rsidRPr="002557AA">
        <w:rPr>
          <w:rFonts w:eastAsiaTheme="minorEastAsia"/>
          <w:lang w:val="en-US" w:eastAsia="de-DE"/>
        </w:rPr>
        <w:fldChar w:fldCharType="separate"/>
      </w:r>
      <w:r>
        <w:rPr>
          <w:rFonts w:eastAsiaTheme="minorEastAsia"/>
          <w:noProof/>
          <w:lang w:val="en-US" w:eastAsia="de-DE"/>
        </w:rPr>
        <w:t>[</w:t>
      </w:r>
      <w:hyperlink w:anchor="_ENREF_54" w:tooltip="Wilms, 2001 #154" w:history="1">
        <w:r>
          <w:rPr>
            <w:rFonts w:eastAsiaTheme="minorEastAsia"/>
            <w:noProof/>
            <w:lang w:val="en-US" w:eastAsia="de-DE"/>
          </w:rPr>
          <w:t>54</w:t>
        </w:r>
      </w:hyperlink>
      <w:r>
        <w:rPr>
          <w:rFonts w:eastAsiaTheme="minorEastAsia"/>
          <w:noProof/>
          <w:lang w:val="en-US" w:eastAsia="de-DE"/>
        </w:rPr>
        <w:t>]</w:t>
      </w:r>
      <w:r w:rsidRPr="002557AA">
        <w:rPr>
          <w:rFonts w:eastAsiaTheme="minorEastAsia"/>
          <w:lang w:val="en-US" w:eastAsia="de-DE"/>
        </w:rPr>
        <w:fldChar w:fldCharType="end"/>
      </w:r>
      <w:r w:rsidRPr="002557AA">
        <w:rPr>
          <w:rFonts w:eastAsiaTheme="minorEastAsia"/>
          <w:lang w:val="en-US" w:eastAsia="de-DE"/>
        </w:rPr>
        <w:t xml:space="preserve"> consists of 5 g/L glycerol, 0.5 g/L glucose, 5 g/L (NH</w:t>
      </w:r>
      <w:r w:rsidRPr="002557AA">
        <w:rPr>
          <w:rFonts w:eastAsiaTheme="minorEastAsia"/>
          <w:vertAlign w:val="subscript"/>
          <w:lang w:val="en-US" w:eastAsia="de-DE"/>
        </w:rPr>
        <w:t>4</w:t>
      </w:r>
      <w:r w:rsidRPr="002557AA">
        <w:rPr>
          <w:rFonts w:eastAsiaTheme="minorEastAsia"/>
          <w:lang w:val="en-US" w:eastAsia="de-DE"/>
        </w:rPr>
        <w:t>)</w:t>
      </w:r>
      <w:r w:rsidRPr="002557AA">
        <w:rPr>
          <w:rFonts w:eastAsiaTheme="minorEastAsia"/>
          <w:vertAlign w:val="subscript"/>
          <w:lang w:val="en-US" w:eastAsia="de-DE"/>
        </w:rPr>
        <w:t>2</w:t>
      </w:r>
      <w:r w:rsidRPr="002557AA">
        <w:rPr>
          <w:rFonts w:eastAsiaTheme="minorEastAsia"/>
          <w:lang w:val="en-US" w:eastAsia="de-DE"/>
        </w:rPr>
        <w:t>SO</w:t>
      </w:r>
      <w:r w:rsidRPr="002557AA">
        <w:rPr>
          <w:rFonts w:eastAsiaTheme="minorEastAsia"/>
          <w:vertAlign w:val="subscript"/>
          <w:lang w:val="en-US" w:eastAsia="de-DE"/>
        </w:rPr>
        <w:t>4</w:t>
      </w:r>
      <w:r w:rsidRPr="002557AA">
        <w:rPr>
          <w:rFonts w:eastAsiaTheme="minorEastAsia"/>
          <w:lang w:val="en-US" w:eastAsia="de-DE"/>
        </w:rPr>
        <w:t>, 0.5 g/L NH</w:t>
      </w:r>
      <w:r w:rsidRPr="002557AA">
        <w:rPr>
          <w:rFonts w:eastAsiaTheme="minorEastAsia"/>
          <w:vertAlign w:val="subscript"/>
          <w:lang w:val="en-US" w:eastAsia="de-DE"/>
        </w:rPr>
        <w:t>4</w:t>
      </w:r>
      <w:r w:rsidRPr="002557AA">
        <w:rPr>
          <w:rFonts w:eastAsiaTheme="minorEastAsia"/>
          <w:lang w:val="en-US" w:eastAsia="de-DE"/>
        </w:rPr>
        <w:t>Cl, 3 g/L K</w:t>
      </w:r>
      <w:r w:rsidRPr="002557AA">
        <w:rPr>
          <w:rFonts w:eastAsiaTheme="minorEastAsia"/>
          <w:vertAlign w:val="subscript"/>
          <w:lang w:val="en-US" w:eastAsia="de-DE"/>
        </w:rPr>
        <w:t>2</w:t>
      </w:r>
      <w:r w:rsidRPr="002557AA">
        <w:rPr>
          <w:rFonts w:eastAsiaTheme="minorEastAsia"/>
          <w:lang w:val="en-US" w:eastAsia="de-DE"/>
        </w:rPr>
        <w:t>HPO</w:t>
      </w:r>
      <w:r w:rsidRPr="002557AA">
        <w:rPr>
          <w:rFonts w:eastAsiaTheme="minorEastAsia"/>
          <w:vertAlign w:val="subscript"/>
          <w:lang w:val="en-US" w:eastAsia="de-DE"/>
        </w:rPr>
        <w:t>4</w:t>
      </w:r>
      <w:r w:rsidRPr="002557AA">
        <w:rPr>
          <w:rFonts w:eastAsiaTheme="minorEastAsia"/>
          <w:lang w:val="en-US" w:eastAsia="de-DE"/>
        </w:rPr>
        <w:t>, 2 g/L Na</w:t>
      </w:r>
      <w:r w:rsidRPr="002557AA">
        <w:rPr>
          <w:rFonts w:eastAsiaTheme="minorEastAsia"/>
          <w:vertAlign w:val="subscript"/>
          <w:lang w:val="en-US" w:eastAsia="de-DE"/>
        </w:rPr>
        <w:t>2</w:t>
      </w:r>
      <w:r w:rsidRPr="002557AA">
        <w:rPr>
          <w:rFonts w:eastAsiaTheme="minorEastAsia"/>
          <w:lang w:val="en-US" w:eastAsia="de-DE"/>
        </w:rPr>
        <w:t>SO</w:t>
      </w:r>
      <w:r w:rsidRPr="002557AA">
        <w:rPr>
          <w:rFonts w:eastAsiaTheme="minorEastAsia"/>
          <w:vertAlign w:val="subscript"/>
          <w:lang w:val="en-US" w:eastAsia="de-DE"/>
        </w:rPr>
        <w:t>4</w:t>
      </w:r>
      <w:r w:rsidRPr="002557AA">
        <w:rPr>
          <w:rFonts w:eastAsiaTheme="minorEastAsia"/>
          <w:lang w:val="en-US" w:eastAsia="de-DE"/>
        </w:rPr>
        <w:t>, 41.85 g/L (N-</w:t>
      </w:r>
      <w:proofErr w:type="spellStart"/>
      <w:r w:rsidRPr="002557AA">
        <w:rPr>
          <w:rFonts w:eastAsiaTheme="minorEastAsia"/>
          <w:lang w:val="en-US" w:eastAsia="de-DE"/>
        </w:rPr>
        <w:t>Morpholino</w:t>
      </w:r>
      <w:proofErr w:type="spellEnd"/>
      <w:r w:rsidRPr="002557AA">
        <w:rPr>
          <w:rFonts w:eastAsiaTheme="minorEastAsia"/>
          <w:lang w:val="en-US" w:eastAsia="de-DE"/>
        </w:rPr>
        <w:t>)-</w:t>
      </w:r>
      <w:proofErr w:type="spellStart"/>
      <w:r w:rsidRPr="002557AA">
        <w:rPr>
          <w:rFonts w:eastAsiaTheme="minorEastAsia"/>
          <w:lang w:val="en-US" w:eastAsia="de-DE"/>
        </w:rPr>
        <w:t>propanesulfonic</w:t>
      </w:r>
      <w:proofErr w:type="spellEnd"/>
      <w:r w:rsidRPr="002557AA">
        <w:rPr>
          <w:rFonts w:eastAsiaTheme="minorEastAsia"/>
          <w:lang w:val="en-US" w:eastAsia="de-DE"/>
        </w:rPr>
        <w:t xml:space="preserve"> acid (MOPS), 0.5 g/L MgSO</w:t>
      </w:r>
      <w:r w:rsidRPr="002557AA">
        <w:rPr>
          <w:rFonts w:eastAsiaTheme="minorEastAsia"/>
          <w:vertAlign w:val="subscript"/>
          <w:lang w:val="en-US" w:eastAsia="de-DE"/>
        </w:rPr>
        <w:t>4</w:t>
      </w:r>
      <w:r w:rsidRPr="002557AA">
        <w:rPr>
          <w:rFonts w:eastAsiaTheme="minorEastAsia"/>
          <w:lang w:val="en-US" w:eastAsia="de-DE"/>
        </w:rPr>
        <w:t>·7H</w:t>
      </w:r>
      <w:r w:rsidRPr="002557AA">
        <w:rPr>
          <w:rFonts w:eastAsiaTheme="minorEastAsia"/>
          <w:vertAlign w:val="subscript"/>
          <w:lang w:val="en-US" w:eastAsia="de-DE"/>
        </w:rPr>
        <w:t>2</w:t>
      </w:r>
      <w:r w:rsidRPr="002557AA">
        <w:rPr>
          <w:rFonts w:eastAsiaTheme="minorEastAsia"/>
          <w:lang w:val="en-US" w:eastAsia="de-DE"/>
        </w:rPr>
        <w:t>O, 0.01 g/L thiamine hydrochloride, 0.1 g/L ampicillin, 1 mL/L trace element solution [0.54 g/L ZnSO</w:t>
      </w:r>
      <w:r w:rsidRPr="002557AA">
        <w:rPr>
          <w:rFonts w:eastAsiaTheme="minorEastAsia"/>
          <w:vertAlign w:val="subscript"/>
          <w:lang w:val="en-US" w:eastAsia="de-DE"/>
        </w:rPr>
        <w:t>4</w:t>
      </w:r>
      <w:r w:rsidRPr="002557AA">
        <w:rPr>
          <w:rFonts w:eastAsiaTheme="minorEastAsia"/>
          <w:lang w:val="en-US" w:eastAsia="de-DE"/>
        </w:rPr>
        <w:t>·7H</w:t>
      </w:r>
      <w:r w:rsidRPr="002557AA">
        <w:rPr>
          <w:rFonts w:eastAsiaTheme="minorEastAsia"/>
          <w:vertAlign w:val="subscript"/>
          <w:lang w:val="en-US" w:eastAsia="de-DE"/>
        </w:rPr>
        <w:t>2</w:t>
      </w:r>
      <w:r w:rsidRPr="002557AA">
        <w:rPr>
          <w:rFonts w:eastAsiaTheme="minorEastAsia"/>
          <w:lang w:val="en-US" w:eastAsia="de-DE"/>
        </w:rPr>
        <w:t>O, 0.48 g/L CuSO</w:t>
      </w:r>
      <w:r w:rsidRPr="002557AA">
        <w:rPr>
          <w:rFonts w:eastAsiaTheme="minorEastAsia"/>
          <w:vertAlign w:val="subscript"/>
          <w:lang w:val="en-US" w:eastAsia="de-DE"/>
        </w:rPr>
        <w:t>4</w:t>
      </w:r>
      <w:r w:rsidRPr="002557AA">
        <w:rPr>
          <w:rFonts w:eastAsiaTheme="minorEastAsia"/>
          <w:lang w:val="en-US" w:eastAsia="de-DE"/>
        </w:rPr>
        <w:t>·5H</w:t>
      </w:r>
      <w:r w:rsidRPr="002557AA">
        <w:rPr>
          <w:rFonts w:eastAsiaTheme="minorEastAsia"/>
          <w:vertAlign w:val="subscript"/>
          <w:lang w:val="en-US" w:eastAsia="de-DE"/>
        </w:rPr>
        <w:t>2</w:t>
      </w:r>
      <w:r w:rsidRPr="002557AA">
        <w:rPr>
          <w:rFonts w:eastAsiaTheme="minorEastAsia"/>
          <w:lang w:val="en-US" w:eastAsia="de-DE"/>
        </w:rPr>
        <w:t>O, 0.3 g/L MnSO</w:t>
      </w:r>
      <w:r w:rsidRPr="002557AA">
        <w:rPr>
          <w:rFonts w:eastAsiaTheme="minorEastAsia"/>
          <w:vertAlign w:val="subscript"/>
          <w:lang w:val="en-US" w:eastAsia="de-DE"/>
        </w:rPr>
        <w:t>4</w:t>
      </w:r>
      <w:r w:rsidRPr="002557AA">
        <w:rPr>
          <w:rFonts w:eastAsiaTheme="minorEastAsia"/>
          <w:lang w:val="en-US" w:eastAsia="de-DE"/>
        </w:rPr>
        <w:t>·H</w:t>
      </w:r>
      <w:r w:rsidRPr="002557AA">
        <w:rPr>
          <w:rFonts w:eastAsiaTheme="minorEastAsia"/>
          <w:vertAlign w:val="subscript"/>
          <w:lang w:val="en-US" w:eastAsia="de-DE"/>
        </w:rPr>
        <w:t>2</w:t>
      </w:r>
      <w:r w:rsidRPr="002557AA">
        <w:rPr>
          <w:rFonts w:eastAsiaTheme="minorEastAsia"/>
          <w:lang w:val="en-US" w:eastAsia="de-DE"/>
        </w:rPr>
        <w:t>O, 0.54 g/L CoCl</w:t>
      </w:r>
      <w:r w:rsidRPr="002557AA">
        <w:rPr>
          <w:rFonts w:eastAsiaTheme="minorEastAsia"/>
          <w:vertAlign w:val="subscript"/>
          <w:lang w:val="en-US" w:eastAsia="de-DE"/>
        </w:rPr>
        <w:t>2</w:t>
      </w:r>
      <w:r w:rsidRPr="002557AA">
        <w:rPr>
          <w:rFonts w:eastAsiaTheme="minorEastAsia"/>
          <w:lang w:val="en-US" w:eastAsia="de-DE"/>
        </w:rPr>
        <w:t>·6H</w:t>
      </w:r>
      <w:r w:rsidRPr="002557AA">
        <w:rPr>
          <w:rFonts w:eastAsiaTheme="minorEastAsia"/>
          <w:vertAlign w:val="subscript"/>
          <w:lang w:val="en-US" w:eastAsia="de-DE"/>
        </w:rPr>
        <w:t>2</w:t>
      </w:r>
      <w:r w:rsidRPr="002557AA">
        <w:rPr>
          <w:rFonts w:eastAsiaTheme="minorEastAsia"/>
          <w:lang w:val="en-US" w:eastAsia="de-DE"/>
        </w:rPr>
        <w:t>O, 41.76 g/L FeCl</w:t>
      </w:r>
      <w:r w:rsidRPr="002557AA">
        <w:rPr>
          <w:rFonts w:eastAsiaTheme="minorEastAsia"/>
          <w:vertAlign w:val="subscript"/>
          <w:lang w:val="en-US" w:eastAsia="de-DE"/>
        </w:rPr>
        <w:t>3</w:t>
      </w:r>
      <w:r w:rsidRPr="002557AA">
        <w:rPr>
          <w:rFonts w:eastAsiaTheme="minorEastAsia"/>
          <w:lang w:val="en-US" w:eastAsia="de-DE"/>
        </w:rPr>
        <w:t>·6H</w:t>
      </w:r>
      <w:r w:rsidRPr="002557AA">
        <w:rPr>
          <w:rFonts w:eastAsiaTheme="minorEastAsia"/>
          <w:vertAlign w:val="subscript"/>
          <w:lang w:val="en-US" w:eastAsia="de-DE"/>
        </w:rPr>
        <w:t>2</w:t>
      </w:r>
      <w:r w:rsidRPr="002557AA">
        <w:rPr>
          <w:rFonts w:eastAsiaTheme="minorEastAsia"/>
          <w:lang w:val="en-US" w:eastAsia="de-DE"/>
        </w:rPr>
        <w:t>O, 1.98 g/L CaCl</w:t>
      </w:r>
      <w:r w:rsidRPr="002557AA">
        <w:rPr>
          <w:rFonts w:eastAsiaTheme="minorEastAsia"/>
          <w:vertAlign w:val="subscript"/>
          <w:lang w:val="en-US" w:eastAsia="de-DE"/>
        </w:rPr>
        <w:t>2</w:t>
      </w:r>
      <w:r w:rsidRPr="002557AA">
        <w:rPr>
          <w:rFonts w:eastAsiaTheme="minorEastAsia"/>
          <w:lang w:val="en-US" w:eastAsia="de-DE"/>
        </w:rPr>
        <w:t>·2H</w:t>
      </w:r>
      <w:r w:rsidRPr="002557AA">
        <w:rPr>
          <w:rFonts w:eastAsiaTheme="minorEastAsia"/>
          <w:vertAlign w:val="subscript"/>
          <w:lang w:val="en-US" w:eastAsia="de-DE"/>
        </w:rPr>
        <w:t>2</w:t>
      </w:r>
      <w:r w:rsidRPr="002557AA">
        <w:rPr>
          <w:rFonts w:eastAsiaTheme="minorEastAsia"/>
          <w:lang w:val="en-US" w:eastAsia="de-DE"/>
        </w:rPr>
        <w:t>O,</w:t>
      </w:r>
      <w:r>
        <w:rPr>
          <w:rFonts w:eastAsiaTheme="minorEastAsia"/>
          <w:lang w:val="en-US" w:eastAsia="de-DE"/>
        </w:rPr>
        <w:t xml:space="preserve"> and</w:t>
      </w:r>
      <w:r w:rsidRPr="002557AA">
        <w:rPr>
          <w:rFonts w:eastAsiaTheme="minorEastAsia"/>
          <w:lang w:val="en-US" w:eastAsia="de-DE"/>
        </w:rPr>
        <w:t xml:space="preserve"> 33.4 g/L Na</w:t>
      </w:r>
      <w:r w:rsidRPr="002557AA">
        <w:rPr>
          <w:rFonts w:eastAsiaTheme="minorEastAsia"/>
          <w:vertAlign w:val="subscript"/>
          <w:lang w:val="en-US" w:eastAsia="de-DE"/>
        </w:rPr>
        <w:t>2</w:t>
      </w:r>
      <w:r w:rsidRPr="002557AA">
        <w:rPr>
          <w:rFonts w:eastAsiaTheme="minorEastAsia"/>
          <w:lang w:val="en-US" w:eastAsia="de-DE"/>
        </w:rPr>
        <w:t>EDTA (</w:t>
      </w:r>
      <w:proofErr w:type="spellStart"/>
      <w:r w:rsidRPr="002557AA">
        <w:rPr>
          <w:rFonts w:eastAsiaTheme="minorEastAsia"/>
          <w:lang w:val="en-US" w:eastAsia="de-DE"/>
        </w:rPr>
        <w:t>Titriplex</w:t>
      </w:r>
      <w:proofErr w:type="spellEnd"/>
      <w:r w:rsidRPr="002557AA">
        <w:rPr>
          <w:rFonts w:eastAsiaTheme="minorEastAsia"/>
          <w:lang w:val="en-US" w:eastAsia="de-DE"/>
        </w:rPr>
        <w:t xml:space="preserve"> III)]. The pH-value was adjusted to 7.5 with </w:t>
      </w:r>
      <w:proofErr w:type="spellStart"/>
      <w:r w:rsidRPr="002557AA">
        <w:rPr>
          <w:rFonts w:eastAsiaTheme="minorEastAsia"/>
          <w:lang w:val="en-US" w:eastAsia="de-DE"/>
        </w:rPr>
        <w:t>NaOH</w:t>
      </w:r>
      <w:proofErr w:type="spellEnd"/>
      <w:r w:rsidRPr="002557AA">
        <w:rPr>
          <w:rFonts w:eastAsiaTheme="minorEastAsia"/>
          <w:lang w:val="en-US" w:eastAsia="de-DE"/>
        </w:rPr>
        <w:t xml:space="preserve">. All medium components were sterilized separately by autoclaving or filtration before mixing. Wilms-MOPS mineral </w:t>
      </w:r>
      <w:proofErr w:type="spellStart"/>
      <w:r w:rsidRPr="002557AA">
        <w:rPr>
          <w:rFonts w:eastAsiaTheme="minorEastAsia"/>
          <w:lang w:val="en-US" w:eastAsia="de-DE"/>
        </w:rPr>
        <w:t>autoinduction</w:t>
      </w:r>
      <w:proofErr w:type="spellEnd"/>
      <w:r w:rsidRPr="002557AA">
        <w:rPr>
          <w:rFonts w:eastAsiaTheme="minorEastAsia"/>
          <w:lang w:val="en-US" w:eastAsia="de-DE"/>
        </w:rPr>
        <w:t xml:space="preserve"> medium consists</w:t>
      </w:r>
      <w:r>
        <w:rPr>
          <w:rFonts w:eastAsiaTheme="minorEastAsia"/>
          <w:lang w:val="en-US" w:eastAsia="de-DE"/>
        </w:rPr>
        <w:t xml:space="preserve"> of</w:t>
      </w:r>
      <w:r w:rsidRPr="002557AA">
        <w:rPr>
          <w:rFonts w:eastAsiaTheme="minorEastAsia"/>
          <w:lang w:val="en-US" w:eastAsia="de-DE"/>
        </w:rPr>
        <w:t xml:space="preserve"> identical ingredients as already mentioned for the Wilms-MOPS mineral medium supplemented with 2 g/L sterilized lactose as inducing compound </w:t>
      </w:r>
      <w:r w:rsidRPr="002557AA">
        <w:rPr>
          <w:rFonts w:eastAsiaTheme="minorEastAsia"/>
          <w:lang w:val="en-US" w:eastAsia="de-DE"/>
        </w:rPr>
        <w:fldChar w:fldCharType="begin">
          <w:fldData xml:space="preserve">PEVuZE5vdGU+PENpdGU+PEF1dGhvcj5TdHVkaWVyPC9BdXRob3I+PFllYXI+MjAwNTwvWWVhcj48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</w:fldData>
        </w:fldChar>
      </w:r>
      <w:r>
        <w:rPr>
          <w:rFonts w:eastAsiaTheme="minorEastAsia"/>
          <w:lang w:val="en-US" w:eastAsia="de-DE"/>
        </w:rPr>
        <w:instrText xml:space="preserve"> ADDIN EN.CITE </w:instrText>
      </w:r>
      <w:r>
        <w:rPr>
          <w:rFonts w:eastAsiaTheme="minorEastAsia"/>
          <w:lang w:val="en-US" w:eastAsia="de-DE"/>
        </w:rPr>
        <w:fldChar w:fldCharType="begin">
          <w:fldData xml:space="preserve">PEVuZE5vdGU+PENpdGU+PEF1dGhvcj5TdHVkaWVyPC9BdXRob3I+PFllYXI+MjAwNTwvWWVhcj48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</w:fldData>
        </w:fldChar>
      </w:r>
      <w:r>
        <w:rPr>
          <w:rFonts w:eastAsiaTheme="minorEastAsia"/>
          <w:lang w:val="en-US" w:eastAsia="de-DE"/>
        </w:rPr>
        <w:instrText xml:space="preserve"> ADDIN EN.CITE.DATA </w:instrText>
      </w:r>
      <w:r>
        <w:rPr>
          <w:rFonts w:eastAsiaTheme="minorEastAsia"/>
          <w:lang w:val="en-US" w:eastAsia="de-DE"/>
        </w:rPr>
      </w:r>
      <w:r>
        <w:rPr>
          <w:rFonts w:eastAsiaTheme="minorEastAsia"/>
          <w:lang w:val="en-US" w:eastAsia="de-DE"/>
        </w:rPr>
        <w:fldChar w:fldCharType="end"/>
      </w:r>
      <w:r w:rsidRPr="002557AA">
        <w:rPr>
          <w:rFonts w:eastAsiaTheme="minorEastAsia"/>
          <w:lang w:val="en-US" w:eastAsia="de-DE"/>
        </w:rPr>
      </w:r>
      <w:r w:rsidRPr="002557AA">
        <w:rPr>
          <w:rFonts w:eastAsiaTheme="minorEastAsia"/>
          <w:lang w:val="en-US" w:eastAsia="de-DE"/>
        </w:rPr>
        <w:fldChar w:fldCharType="separate"/>
      </w:r>
      <w:r>
        <w:rPr>
          <w:rFonts w:eastAsiaTheme="minorEastAsia"/>
          <w:noProof/>
          <w:lang w:val="en-US" w:eastAsia="de-DE"/>
        </w:rPr>
        <w:t>[</w:t>
      </w:r>
      <w:hyperlink w:anchor="_ENREF_5" w:tooltip="Blommel, 2007 #245" w:history="1">
        <w:r>
          <w:rPr>
            <w:rFonts w:eastAsiaTheme="minorEastAsia"/>
            <w:noProof/>
            <w:lang w:val="en-US" w:eastAsia="de-DE"/>
          </w:rPr>
          <w:t>5</w:t>
        </w:r>
      </w:hyperlink>
      <w:r>
        <w:rPr>
          <w:rFonts w:eastAsiaTheme="minorEastAsia"/>
          <w:noProof/>
          <w:lang w:val="en-US" w:eastAsia="de-DE"/>
        </w:rPr>
        <w:t xml:space="preserve">, </w:t>
      </w:r>
      <w:hyperlink w:anchor="_ENREF_6" w:tooltip="Studier, 2005 #26" w:history="1">
        <w:r>
          <w:rPr>
            <w:rFonts w:eastAsiaTheme="minorEastAsia"/>
            <w:noProof/>
            <w:lang w:val="en-US" w:eastAsia="de-DE"/>
          </w:rPr>
          <w:t>6</w:t>
        </w:r>
      </w:hyperlink>
      <w:r>
        <w:rPr>
          <w:rFonts w:eastAsiaTheme="minorEastAsia"/>
          <w:noProof/>
          <w:lang w:val="en-US" w:eastAsia="de-DE"/>
        </w:rPr>
        <w:t xml:space="preserve">, </w:t>
      </w:r>
      <w:hyperlink w:anchor="_ENREF_55" w:tooltip="Li, 2011 #162" w:history="1">
        <w:r>
          <w:rPr>
            <w:rFonts w:eastAsiaTheme="minorEastAsia"/>
            <w:noProof/>
            <w:lang w:val="en-US" w:eastAsia="de-DE"/>
          </w:rPr>
          <w:t>55</w:t>
        </w:r>
      </w:hyperlink>
      <w:r>
        <w:rPr>
          <w:rFonts w:eastAsiaTheme="minorEastAsia"/>
          <w:noProof/>
          <w:lang w:val="en-US" w:eastAsia="de-DE"/>
        </w:rPr>
        <w:t>]</w:t>
      </w:r>
      <w:r w:rsidRPr="002557AA">
        <w:rPr>
          <w:rFonts w:eastAsiaTheme="minorEastAsia"/>
          <w:lang w:val="en-US" w:eastAsia="de-DE"/>
        </w:rPr>
        <w:fldChar w:fldCharType="end"/>
      </w:r>
      <w:r w:rsidRPr="002557AA">
        <w:rPr>
          <w:rFonts w:eastAsiaTheme="minorEastAsia"/>
          <w:lang w:val="en-US" w:eastAsia="de-DE"/>
        </w:rPr>
        <w:t xml:space="preserve">. </w:t>
      </w:r>
    </w:p>
    <w:p w:rsidR="009F676B" w:rsidRDefault="009F676B" w:rsidP="009F676B">
      <w:pPr>
        <w:rPr>
          <w:rFonts w:eastAsiaTheme="minorEastAsia"/>
          <w:lang w:val="en-US" w:eastAsia="de-DE"/>
        </w:rPr>
      </w:pPr>
    </w:p>
    <w:p w:rsidR="009F676B" w:rsidRPr="00684647" w:rsidRDefault="009F676B" w:rsidP="009F676B">
      <w:pPr>
        <w:pStyle w:val="Listenabsatz"/>
        <w:keepNext/>
        <w:widowControl w:val="0"/>
        <w:numPr>
          <w:ilvl w:val="0"/>
          <w:numId w:val="1"/>
        </w:numPr>
        <w:spacing w:before="240" w:after="60"/>
        <w:rPr>
          <w:rFonts w:eastAsiaTheme="minorEastAsia"/>
          <w:b/>
          <w:i/>
          <w:lang w:val="en-US" w:eastAsia="de-DE"/>
        </w:rPr>
      </w:pPr>
      <w:r w:rsidRPr="00684647">
        <w:rPr>
          <w:rFonts w:eastAsiaTheme="minorEastAsia"/>
          <w:b/>
          <w:i/>
          <w:lang w:val="en-US" w:eastAsia="de-DE"/>
        </w:rPr>
        <w:t>Carbon sources</w:t>
      </w:r>
    </w:p>
    <w:p w:rsidR="009F676B" w:rsidRDefault="009F676B" w:rsidP="009F676B">
      <w:pPr>
        <w:keepNext/>
        <w:widowControl w:val="0"/>
        <w:rPr>
          <w:rFonts w:eastAsiaTheme="minorEastAsia"/>
          <w:lang w:val="en-US" w:eastAsia="de-DE"/>
        </w:rPr>
      </w:pPr>
      <w:r>
        <w:rPr>
          <w:rFonts w:eastAsiaTheme="minorEastAsia"/>
          <w:lang w:val="en-US" w:eastAsia="de-DE"/>
        </w:rPr>
        <w:t>The</w:t>
      </w:r>
      <w:r w:rsidRPr="002557AA">
        <w:rPr>
          <w:rFonts w:eastAsiaTheme="minorEastAsia"/>
          <w:lang w:val="en-US" w:eastAsia="de-DE"/>
        </w:rPr>
        <w:t xml:space="preserve"> concentrations of glucose, lactose, and glycerol were analyzed by HPLC (Ultimate, </w:t>
      </w:r>
      <w:proofErr w:type="spellStart"/>
      <w:r w:rsidRPr="002557AA">
        <w:rPr>
          <w:rFonts w:eastAsiaTheme="minorEastAsia"/>
          <w:lang w:val="en-US" w:eastAsia="de-DE"/>
        </w:rPr>
        <w:t>Dionex</w:t>
      </w:r>
      <w:proofErr w:type="spellEnd"/>
      <w:r w:rsidRPr="002557AA">
        <w:rPr>
          <w:rFonts w:eastAsiaTheme="minorEastAsia"/>
          <w:lang w:val="en-US" w:eastAsia="de-DE"/>
        </w:rPr>
        <w:t xml:space="preserve">, Germany), equipped with </w:t>
      </w:r>
      <w:r>
        <w:rPr>
          <w:rFonts w:eastAsiaTheme="minorEastAsia"/>
          <w:lang w:val="en-US" w:eastAsia="de-DE"/>
        </w:rPr>
        <w:t xml:space="preserve">an </w:t>
      </w:r>
      <w:r w:rsidRPr="002557AA">
        <w:rPr>
          <w:rFonts w:eastAsiaTheme="minorEastAsia"/>
          <w:lang w:val="en-US" w:eastAsia="de-DE"/>
        </w:rPr>
        <w:t xml:space="preserve">organic acid resin column (250 x 8 mm, CS </w:t>
      </w:r>
      <w:proofErr w:type="spellStart"/>
      <w:r w:rsidRPr="002557AA">
        <w:rPr>
          <w:rFonts w:eastAsiaTheme="minorEastAsia"/>
          <w:lang w:val="en-US" w:eastAsia="de-DE"/>
        </w:rPr>
        <w:t>Chromatographie</w:t>
      </w:r>
      <w:proofErr w:type="spellEnd"/>
      <w:r w:rsidRPr="002557AA">
        <w:rPr>
          <w:rFonts w:eastAsiaTheme="minorEastAsia"/>
          <w:lang w:val="en-US" w:eastAsia="de-DE"/>
        </w:rPr>
        <w:t xml:space="preserve"> Service, Germany). 5 </w:t>
      </w:r>
      <w:proofErr w:type="spellStart"/>
      <w:r w:rsidRPr="002557AA">
        <w:rPr>
          <w:rFonts w:eastAsiaTheme="minorEastAsia"/>
          <w:lang w:val="en-US" w:eastAsia="de-DE"/>
        </w:rPr>
        <w:t>mM</w:t>
      </w:r>
      <w:proofErr w:type="spellEnd"/>
      <w:r w:rsidRPr="002557AA">
        <w:rPr>
          <w:rFonts w:eastAsiaTheme="minorEastAsia"/>
          <w:lang w:val="en-US" w:eastAsia="de-DE"/>
        </w:rPr>
        <w:t xml:space="preserve"> H</w:t>
      </w:r>
      <w:r w:rsidRPr="002557AA">
        <w:rPr>
          <w:rFonts w:eastAsiaTheme="minorEastAsia"/>
          <w:vertAlign w:val="subscript"/>
          <w:lang w:val="en-US" w:eastAsia="de-DE"/>
        </w:rPr>
        <w:t>2</w:t>
      </w:r>
      <w:r w:rsidRPr="002557AA">
        <w:rPr>
          <w:rFonts w:eastAsiaTheme="minorEastAsia"/>
          <w:lang w:val="en-US" w:eastAsia="de-DE"/>
        </w:rPr>
        <w:t>SO</w:t>
      </w:r>
      <w:r w:rsidRPr="002557AA">
        <w:rPr>
          <w:rFonts w:eastAsiaTheme="minorEastAsia"/>
          <w:vertAlign w:val="subscript"/>
          <w:lang w:val="en-US" w:eastAsia="de-DE"/>
        </w:rPr>
        <w:t>4</w:t>
      </w:r>
      <w:r w:rsidRPr="002557AA">
        <w:rPr>
          <w:rFonts w:eastAsiaTheme="minorEastAsia"/>
          <w:lang w:val="en-US" w:eastAsia="de-DE"/>
        </w:rPr>
        <w:t xml:space="preserve"> was used a</w:t>
      </w:r>
      <w:r>
        <w:rPr>
          <w:rFonts w:eastAsiaTheme="minorEastAsia"/>
          <w:lang w:val="en-US" w:eastAsia="de-DE"/>
        </w:rPr>
        <w:t>s</w:t>
      </w:r>
      <w:r w:rsidRPr="002557AA">
        <w:rPr>
          <w:rFonts w:eastAsiaTheme="minorEastAsia"/>
          <w:lang w:val="en-US" w:eastAsia="de-DE"/>
        </w:rPr>
        <w:t xml:space="preserve"> eluent at a flow rate of 0.8 mL/min and 60 °C. Resulting peaks were detected via refractive index (</w:t>
      </w:r>
      <w:proofErr w:type="spellStart"/>
      <w:r w:rsidRPr="002557AA">
        <w:rPr>
          <w:rFonts w:eastAsiaTheme="minorEastAsia"/>
          <w:lang w:val="en-US" w:eastAsia="de-DE"/>
        </w:rPr>
        <w:t>Shodex</w:t>
      </w:r>
      <w:proofErr w:type="spellEnd"/>
      <w:r w:rsidRPr="002557AA">
        <w:rPr>
          <w:rFonts w:eastAsiaTheme="minorEastAsia"/>
          <w:lang w:val="en-US" w:eastAsia="de-DE"/>
        </w:rPr>
        <w:t xml:space="preserve"> RI-101, </w:t>
      </w:r>
      <w:proofErr w:type="spellStart"/>
      <w:r w:rsidRPr="002557AA">
        <w:rPr>
          <w:rFonts w:eastAsiaTheme="minorEastAsia"/>
          <w:lang w:val="en-US" w:eastAsia="de-DE"/>
        </w:rPr>
        <w:t>Shodwa</w:t>
      </w:r>
      <w:proofErr w:type="spellEnd"/>
      <w:r w:rsidRPr="002557AA">
        <w:rPr>
          <w:rFonts w:eastAsiaTheme="minorEastAsia"/>
          <w:lang w:val="en-US" w:eastAsia="de-DE"/>
        </w:rPr>
        <w:t xml:space="preserve"> Denko Europe, </w:t>
      </w:r>
      <w:proofErr w:type="gramStart"/>
      <w:r w:rsidRPr="002557AA">
        <w:rPr>
          <w:rFonts w:eastAsiaTheme="minorEastAsia"/>
          <w:lang w:val="en-US" w:eastAsia="de-DE"/>
        </w:rPr>
        <w:t>Germany</w:t>
      </w:r>
      <w:proofErr w:type="gramEnd"/>
      <w:r w:rsidRPr="002557AA">
        <w:rPr>
          <w:rFonts w:eastAsiaTheme="minorEastAsia"/>
          <w:lang w:val="en-US" w:eastAsia="de-DE"/>
        </w:rPr>
        <w:t xml:space="preserve">). </w:t>
      </w:r>
    </w:p>
    <w:p w:rsidR="009F676B" w:rsidRDefault="009F676B" w:rsidP="009F676B">
      <w:pPr>
        <w:keepNext/>
        <w:widowControl w:val="0"/>
        <w:rPr>
          <w:rFonts w:eastAsiaTheme="minorEastAsia"/>
          <w:lang w:val="en-US" w:eastAsia="de-DE"/>
        </w:rPr>
      </w:pPr>
    </w:p>
    <w:p w:rsidR="009F676B" w:rsidRPr="00684647" w:rsidRDefault="009F676B" w:rsidP="009F676B">
      <w:pPr>
        <w:pStyle w:val="Listenabsatz"/>
        <w:keepNext/>
        <w:widowControl w:val="0"/>
        <w:numPr>
          <w:ilvl w:val="0"/>
          <w:numId w:val="1"/>
        </w:numPr>
        <w:spacing w:before="240" w:after="60"/>
        <w:rPr>
          <w:rFonts w:eastAsiaTheme="minorEastAsia"/>
          <w:b/>
          <w:i/>
          <w:lang w:val="en-US" w:eastAsia="de-DE"/>
        </w:rPr>
      </w:pPr>
      <w:r w:rsidRPr="00684647">
        <w:rPr>
          <w:rFonts w:eastAsiaTheme="minorEastAsia"/>
          <w:b/>
          <w:i/>
          <w:lang w:val="en-US" w:eastAsia="de-DE"/>
        </w:rPr>
        <w:t>Recombinant protein</w:t>
      </w:r>
    </w:p>
    <w:p w:rsidR="009F676B" w:rsidRDefault="009F676B" w:rsidP="009F676B">
      <w:pPr>
        <w:keepNext/>
        <w:widowControl w:val="0"/>
        <w:rPr>
          <w:rFonts w:eastAsiaTheme="minorEastAsia"/>
          <w:lang w:val="en-US" w:eastAsia="de-DE"/>
        </w:rPr>
      </w:pPr>
      <w:r w:rsidRPr="002557AA">
        <w:rPr>
          <w:rFonts w:eastAsiaTheme="minorEastAsia"/>
          <w:lang w:val="en-US" w:eastAsia="de-DE"/>
        </w:rPr>
        <w:t xml:space="preserve">Recombinant target protein (BSLA) based on biomass was analyzed via SDS-PAGE. After OD measurement, the culture was centrifuged, the supernatant was removed, the OD was set at 5 by adding a 3:1-mixture of water and four-fold concentrated </w:t>
      </w:r>
      <w:proofErr w:type="spellStart"/>
      <w:r w:rsidRPr="002557AA">
        <w:rPr>
          <w:rFonts w:eastAsiaTheme="minorEastAsia"/>
          <w:lang w:val="en-US" w:eastAsia="de-DE"/>
        </w:rPr>
        <w:t>NuPAGE</w:t>
      </w:r>
      <w:proofErr w:type="spellEnd"/>
      <w:r w:rsidRPr="002557AA">
        <w:rPr>
          <w:rFonts w:eastAsiaTheme="minorEastAsia"/>
          <w:lang w:val="en-US" w:eastAsia="de-DE"/>
        </w:rPr>
        <w:t xml:space="preserve"> LDS Sample Buffer (Invitrogen, Germany), and the suspension was shaken at 1000 rpm and 70 °C for 10 </w:t>
      </w:r>
      <w:r w:rsidRPr="002557AA">
        <w:rPr>
          <w:rFonts w:eastAsiaTheme="minorEastAsia"/>
          <w:lang w:val="en-US" w:eastAsia="de-DE"/>
        </w:rPr>
        <w:lastRenderedPageBreak/>
        <w:t xml:space="preserve">min. Afterwards, the SDS-PAGE device (Invitrogen, Germany) was equipped with two gels (4-12 % </w:t>
      </w:r>
      <w:proofErr w:type="spellStart"/>
      <w:r w:rsidRPr="002557AA">
        <w:rPr>
          <w:rFonts w:eastAsiaTheme="minorEastAsia"/>
          <w:lang w:val="en-US" w:eastAsia="de-DE"/>
        </w:rPr>
        <w:t>Bis-Tris</w:t>
      </w:r>
      <w:proofErr w:type="spellEnd"/>
      <w:r w:rsidRPr="002557AA">
        <w:rPr>
          <w:rFonts w:eastAsiaTheme="minorEastAsia"/>
          <w:lang w:val="en-US" w:eastAsia="de-DE"/>
        </w:rPr>
        <w:t xml:space="preserve">, Invitrogen, Germany) and 20 µL of prepared samples and 15 µL of protein marker (Roti-Mark Standard, Roth, Germany) were loaded onto the gel. Running conditions were as follows: running time 35 min, maximum current 200 V, and maximum power 0.25 W. Gels staining was performed overnight under gentle shaking at room temperature in Roti-Blue staining solution (Roth, Germany). </w:t>
      </w:r>
      <w:proofErr w:type="spellStart"/>
      <w:r w:rsidRPr="002557AA">
        <w:rPr>
          <w:rFonts w:eastAsiaTheme="minorEastAsia"/>
          <w:lang w:val="en-US" w:eastAsia="de-DE"/>
        </w:rPr>
        <w:t>Destaining</w:t>
      </w:r>
      <w:proofErr w:type="spellEnd"/>
      <w:r w:rsidRPr="002557AA">
        <w:rPr>
          <w:rFonts w:eastAsiaTheme="minorEastAsia"/>
          <w:lang w:val="en-US" w:eastAsia="de-DE"/>
        </w:rPr>
        <w:t xml:space="preserve"> was observed using 25 % methanol for 2 h. Densitometry using the </w:t>
      </w:r>
      <w:proofErr w:type="spellStart"/>
      <w:r w:rsidRPr="002557AA">
        <w:rPr>
          <w:rFonts w:eastAsiaTheme="minorEastAsia"/>
          <w:lang w:val="en-US" w:eastAsia="de-DE"/>
        </w:rPr>
        <w:t>TotalLab</w:t>
      </w:r>
      <w:proofErr w:type="spellEnd"/>
      <w:r w:rsidRPr="002557AA">
        <w:rPr>
          <w:rFonts w:eastAsiaTheme="minorEastAsia"/>
          <w:lang w:val="en-US" w:eastAsia="de-DE"/>
        </w:rPr>
        <w:t xml:space="preserve"> TL 100 (</w:t>
      </w:r>
      <w:proofErr w:type="spellStart"/>
      <w:r w:rsidRPr="002557AA">
        <w:rPr>
          <w:rFonts w:eastAsiaTheme="minorEastAsia"/>
          <w:lang w:val="en-US" w:eastAsia="de-DE"/>
        </w:rPr>
        <w:t>TotalLab</w:t>
      </w:r>
      <w:proofErr w:type="spellEnd"/>
      <w:r w:rsidRPr="002557AA">
        <w:rPr>
          <w:rFonts w:eastAsiaTheme="minorEastAsia"/>
          <w:lang w:val="en-US" w:eastAsia="de-DE"/>
        </w:rPr>
        <w:t xml:space="preserve"> Ltd, UK) software was </w:t>
      </w:r>
      <w:r>
        <w:rPr>
          <w:rFonts w:eastAsiaTheme="minorEastAsia"/>
          <w:lang w:val="en-US" w:eastAsia="de-DE"/>
        </w:rPr>
        <w:t>performed</w:t>
      </w:r>
      <w:r w:rsidRPr="002557AA">
        <w:rPr>
          <w:rFonts w:eastAsiaTheme="minorEastAsia"/>
          <w:lang w:val="en-US" w:eastAsia="de-DE"/>
        </w:rPr>
        <w:t xml:space="preserve"> determining recombinant target protein content relative to total cell protein after electrophoresis.</w:t>
      </w:r>
    </w:p>
    <w:p w:rsidR="009F676B" w:rsidRDefault="009F676B" w:rsidP="009F676B">
      <w:pPr>
        <w:keepNext/>
        <w:widowControl w:val="0"/>
        <w:rPr>
          <w:rFonts w:eastAsiaTheme="minorEastAsia"/>
          <w:lang w:val="en-US" w:eastAsia="de-DE"/>
        </w:rPr>
      </w:pPr>
    </w:p>
    <w:p w:rsidR="009F676B" w:rsidRPr="00684647" w:rsidRDefault="009F676B" w:rsidP="009F676B">
      <w:pPr>
        <w:pStyle w:val="Listenabsatz"/>
        <w:keepNext/>
        <w:widowControl w:val="0"/>
        <w:numPr>
          <w:ilvl w:val="0"/>
          <w:numId w:val="1"/>
        </w:numPr>
        <w:spacing w:before="240" w:after="60"/>
        <w:rPr>
          <w:rFonts w:eastAsiaTheme="minorEastAsia"/>
          <w:b/>
          <w:i/>
          <w:lang w:val="en-US" w:eastAsia="de-DE"/>
        </w:rPr>
      </w:pPr>
      <w:r w:rsidRPr="00684647">
        <w:rPr>
          <w:rFonts w:eastAsiaTheme="minorEastAsia"/>
          <w:b/>
          <w:i/>
          <w:lang w:val="en-US" w:eastAsia="de-DE"/>
        </w:rPr>
        <w:t>Sampling, metabolite extraction and metabolome analysis</w:t>
      </w:r>
    </w:p>
    <w:p w:rsidR="009F676B" w:rsidRDefault="009F676B" w:rsidP="009F676B">
      <w:pPr>
        <w:rPr>
          <w:lang w:val="en-US"/>
        </w:rPr>
      </w:pPr>
      <w:r w:rsidRPr="00055AC3">
        <w:rPr>
          <w:lang w:val="en-US"/>
        </w:rPr>
        <w:t xml:space="preserve">Cells for metabolome analysis were collected </w:t>
      </w:r>
      <w:r>
        <w:rPr>
          <w:lang w:val="en-US"/>
        </w:rPr>
        <w:t xml:space="preserve">according to Izumi </w:t>
      </w:r>
      <w:r>
        <w:rPr>
          <w:i/>
          <w:lang w:val="en-US"/>
        </w:rPr>
        <w:t>et al.</w:t>
      </w:r>
      <w:r>
        <w:rPr>
          <w:lang w:val="en-US"/>
        </w:rPr>
        <w:t xml:space="preserve"> </w:t>
      </w:r>
      <w:r>
        <w:rPr>
          <w:lang w:val="en-US"/>
        </w:rPr>
        <w:fldChar w:fldCharType="begin"/>
      </w:r>
      <w:r>
        <w:rPr>
          <w:lang w:val="en-US"/>
        </w:rPr>
        <w:instrText xml:space="preserve"> ADDIN EN.CITE &lt;EndNote&gt;&lt;Cite&gt;&lt;Author&gt;Izumi&lt;/Author&gt;&lt;Year&gt;2015&lt;/Year&gt;&lt;RecNum&gt;323&lt;/RecNum&gt;&lt;DisplayText&gt;[56]&lt;/DisplayText&gt;&lt;record&gt;&lt;rec-number&gt;323&lt;/rec-number&gt;&lt;foreign-keys&gt;&lt;key app="EN" db-id="wrs5vss9pas9taedz0n5xvtkfttt2srt2ts2"&gt;323&lt;/key&gt;&lt;/foreign-keys&gt;&lt;ref-type name="Book"&gt;6&lt;/ref-type&gt;&lt;contributors&gt;&lt;authors&gt;&lt;author&gt;Izumi, Yoshihiro &lt;/author&gt;&lt;author&gt;Laviña, Walter A.&lt;/author&gt;&lt;author&gt;Putri, Sastia P.&lt;/author&gt;&lt;/authors&gt;&lt;secondary-authors&gt;&lt;author&gt;Putri, Sastia P&lt;/author&gt;&lt;author&gt;Fukusaki, Eiichiro&lt;/author&gt;&lt;/secondary-authors&gt;&lt;/contributors&gt;&lt;titles&gt;&lt;title&gt;Mass spectrometry-based metabolomics - a practical guide&lt;/title&gt;&lt;secondary-title&gt;Sample Preparation&lt;/secondary-title&gt;&lt;/titles&gt;&lt;pages&gt;44-45&lt;/pages&gt;&lt;dates&gt;&lt;year&gt;2015&lt;/year&gt;&lt;/dates&gt;&lt;publisher&gt;CRC Press, Taylor &amp;amp; Francis Group&lt;/publisher&gt;&lt;isbn&gt;78-1-4822-2377-4 &lt;/isbn&gt;&lt;urls&gt;&lt;/urls&gt;&lt;/record&gt;&lt;/Cite&gt;&lt;/EndNote&gt;</w:instrText>
      </w:r>
      <w:r>
        <w:rPr>
          <w:lang w:val="en-US"/>
        </w:rPr>
        <w:fldChar w:fldCharType="separate"/>
      </w:r>
      <w:r>
        <w:rPr>
          <w:noProof/>
          <w:lang w:val="en-US"/>
        </w:rPr>
        <w:t>[</w:t>
      </w:r>
      <w:hyperlink w:anchor="_ENREF_56" w:tooltip="Izumi, 2015 #323" w:history="1">
        <w:r>
          <w:rPr>
            <w:noProof/>
            <w:lang w:val="en-US"/>
          </w:rPr>
          <w:t>56</w:t>
        </w:r>
      </w:hyperlink>
      <w:r>
        <w:rPr>
          <w:noProof/>
          <w:lang w:val="en-US"/>
        </w:rPr>
        <w:t>]</w:t>
      </w:r>
      <w:r>
        <w:rPr>
          <w:lang w:val="en-US"/>
        </w:rPr>
        <w:fldChar w:fldCharType="end"/>
      </w:r>
      <w:r>
        <w:rPr>
          <w:lang w:val="en-US"/>
        </w:rPr>
        <w:t>. An</w:t>
      </w:r>
      <w:r w:rsidRPr="00055AC3">
        <w:rPr>
          <w:lang w:val="en-US"/>
        </w:rPr>
        <w:t xml:space="preserve"> appropriate volume of culture broth</w:t>
      </w:r>
      <w:r>
        <w:rPr>
          <w:lang w:val="en-US"/>
        </w:rPr>
        <w:t xml:space="preserve"> was transferred</w:t>
      </w:r>
      <w:r w:rsidRPr="00055AC3">
        <w:rPr>
          <w:lang w:val="en-US"/>
        </w:rPr>
        <w:t xml:space="preserve"> to a glass funnel from which culture medium was removed by vacuum suction through a 47 mm diameter, 0.45 µm pore size PTFE membrane filter (Millipore, USA). The volume of culture broth was adjusted based on </w:t>
      </w:r>
      <w:r>
        <w:rPr>
          <w:lang w:val="en-US"/>
        </w:rPr>
        <w:t xml:space="preserve">optical density </w:t>
      </w:r>
      <w:r w:rsidRPr="002557AA">
        <w:rPr>
          <w:lang w:val="en-US"/>
        </w:rPr>
        <w:t xml:space="preserve">determined at wavelength 600 nm </w:t>
      </w:r>
      <w:r w:rsidRPr="00055AC3">
        <w:rPr>
          <w:lang w:val="en-US"/>
        </w:rPr>
        <w:t>at respective sampling point to satisfy following formula</w:t>
      </w:r>
      <w:r>
        <w:rPr>
          <w:lang w:val="en-US"/>
        </w:rPr>
        <w:t>:</w:t>
      </w:r>
      <w:r w:rsidRPr="00055AC3">
        <w:rPr>
          <w:lang w:val="en-US"/>
        </w:rPr>
        <w:t xml:space="preserve"> sample volume (mL) x OD = 10. </w:t>
      </w:r>
      <w:r>
        <w:rPr>
          <w:lang w:val="en-US"/>
        </w:rPr>
        <w:t>Then, f</w:t>
      </w:r>
      <w:r w:rsidRPr="00055AC3">
        <w:rPr>
          <w:lang w:val="en-US"/>
        </w:rPr>
        <w:t xml:space="preserve">ilter-bound cells were transferred into a 2 mL </w:t>
      </w:r>
      <w:proofErr w:type="spellStart"/>
      <w:r w:rsidRPr="00055AC3">
        <w:rPr>
          <w:lang w:val="en-US"/>
        </w:rPr>
        <w:t>microcentrifuge</w:t>
      </w:r>
      <w:proofErr w:type="spellEnd"/>
      <w:r w:rsidRPr="00055AC3">
        <w:rPr>
          <w:lang w:val="en-US"/>
        </w:rPr>
        <w:t xml:space="preserve"> tube (Eppendorf, Germany), and were then rapidly cooled in liquid nitrogen to quench metabolism. The time for the collection process was kept within 30 seconds. </w:t>
      </w:r>
      <w:r>
        <w:rPr>
          <w:lang w:val="en-US"/>
        </w:rPr>
        <w:t>Finally, s</w:t>
      </w:r>
      <w:r w:rsidRPr="00055AC3">
        <w:rPr>
          <w:lang w:val="en-US"/>
        </w:rPr>
        <w:t>amples were stored at -80°C until extraction.</w:t>
      </w:r>
    </w:p>
    <w:p w:rsidR="009F676B" w:rsidRDefault="009F676B" w:rsidP="009F676B">
      <w:pPr>
        <w:rPr>
          <w:lang w:val="en-US"/>
        </w:rPr>
      </w:pPr>
    </w:p>
    <w:p w:rsidR="009F676B" w:rsidRDefault="009F676B" w:rsidP="009F676B">
      <w:pPr>
        <w:rPr>
          <w:lang w:val="en-US"/>
        </w:rPr>
      </w:pPr>
      <w:r w:rsidRPr="00025085">
        <w:rPr>
          <w:lang w:val="en-US"/>
        </w:rPr>
        <w:t xml:space="preserve">Metabolite extraction from cells was performed </w:t>
      </w:r>
      <w:r>
        <w:rPr>
          <w:lang w:val="en-US"/>
        </w:rPr>
        <w:t>according to</w:t>
      </w:r>
      <w:r w:rsidRPr="00025085">
        <w:rPr>
          <w:lang w:val="en-US"/>
        </w:rPr>
        <w:t xml:space="preserve"> Izumi </w:t>
      </w:r>
      <w:r>
        <w:rPr>
          <w:i/>
          <w:lang w:val="en-US"/>
        </w:rPr>
        <w:t>et al.</w:t>
      </w:r>
      <w:r w:rsidRPr="00025085">
        <w:rPr>
          <w:lang w:val="en-US"/>
        </w:rPr>
        <w:t xml:space="preserve"> </w:t>
      </w:r>
      <w:r w:rsidRPr="00025085">
        <w:rPr>
          <w:lang w:val="en-US"/>
        </w:rPr>
        <w:fldChar w:fldCharType="begin"/>
      </w:r>
      <w:r>
        <w:rPr>
          <w:lang w:val="en-US"/>
        </w:rPr>
        <w:instrText xml:space="preserve"> ADDIN EN.CITE &lt;EndNote&gt;&lt;Cite&gt;&lt;Author&gt;Izumi&lt;/Author&gt;&lt;Year&gt;2015&lt;/Year&gt;&lt;RecNum&gt;323&lt;/RecNum&gt;&lt;DisplayText&gt;[56]&lt;/DisplayText&gt;&lt;record&gt;&lt;rec-number&gt;323&lt;/rec-number&gt;&lt;foreign-keys&gt;&lt;key app="EN" db-id="wrs5vss9pas9taedz0n5xvtkfttt2srt2ts2"&gt;323&lt;/key&gt;&lt;/foreign-keys&gt;&lt;ref-type name="Book"&gt;6&lt;/ref-type&gt;&lt;contributors&gt;&lt;authors&gt;&lt;author&gt;Izumi, Yoshihiro &lt;/author&gt;&lt;author&gt;Laviña, Walter A.&lt;/author&gt;&lt;author&gt;Putri, Sastia P.&lt;/author&gt;&lt;/authors&gt;&lt;secondary-authors&gt;&lt;author&gt;Putri, Sastia P&lt;/author&gt;&lt;author&gt;Fukusaki, Eiichiro&lt;/author&gt;&lt;/secondary-authors&gt;&lt;/contributors&gt;&lt;titles&gt;&lt;title&gt;Mass spectrometry-based metabolomics - a practical guide&lt;/title&gt;&lt;secondary-title&gt;Sample Preparation&lt;/secondary-title&gt;&lt;/titles&gt;&lt;pages&gt;44-45&lt;/pages&gt;&lt;dates&gt;&lt;year&gt;2015&lt;/year&gt;&lt;/dates&gt;&lt;publisher&gt;CRC Press, Taylor &amp;amp; Francis Group&lt;/publisher&gt;&lt;isbn&gt;78-1-4822-2377-4 &lt;/isbn&gt;&lt;urls&gt;&lt;/urls&gt;&lt;/record&gt;&lt;/Cite&gt;&lt;/EndNote&gt;</w:instrText>
      </w:r>
      <w:r w:rsidRPr="00025085">
        <w:rPr>
          <w:lang w:val="en-US"/>
        </w:rPr>
        <w:fldChar w:fldCharType="separate"/>
      </w:r>
      <w:r>
        <w:rPr>
          <w:noProof/>
          <w:lang w:val="en-US"/>
        </w:rPr>
        <w:t>[</w:t>
      </w:r>
      <w:hyperlink w:anchor="_ENREF_56" w:tooltip="Izumi, 2015 #323" w:history="1">
        <w:r>
          <w:rPr>
            <w:noProof/>
            <w:lang w:val="en-US"/>
          </w:rPr>
          <w:t>56</w:t>
        </w:r>
      </w:hyperlink>
      <w:r>
        <w:rPr>
          <w:noProof/>
          <w:lang w:val="en-US"/>
        </w:rPr>
        <w:t>]</w:t>
      </w:r>
      <w:r w:rsidRPr="00025085">
        <w:rPr>
          <w:lang w:val="en-US"/>
        </w:rPr>
        <w:fldChar w:fldCharType="end"/>
      </w:r>
      <w:r>
        <w:rPr>
          <w:lang w:val="en-US"/>
        </w:rPr>
        <w:t>,</w:t>
      </w:r>
      <w:r w:rsidRPr="00025085">
        <w:rPr>
          <w:lang w:val="en-US"/>
        </w:rPr>
        <w:t xml:space="preserve"> adding 1.8 mL of extraction solvent (</w:t>
      </w:r>
      <w:proofErr w:type="spellStart"/>
      <w:r w:rsidRPr="00025085">
        <w:rPr>
          <w:lang w:val="en-US"/>
        </w:rPr>
        <w:t>methanol:water:chloroform</w:t>
      </w:r>
      <w:proofErr w:type="spellEnd"/>
      <w:r w:rsidRPr="00025085">
        <w:rPr>
          <w:lang w:val="en-US"/>
        </w:rPr>
        <w:t xml:space="preserve"> in 5:2:2 ratio) with </w:t>
      </w:r>
      <w:proofErr w:type="spellStart"/>
      <w:r w:rsidRPr="00025085">
        <w:rPr>
          <w:lang w:val="en-US"/>
        </w:rPr>
        <w:t>camphorsulfonic</w:t>
      </w:r>
      <w:proofErr w:type="spellEnd"/>
      <w:r w:rsidRPr="00025085">
        <w:rPr>
          <w:lang w:val="en-US"/>
        </w:rPr>
        <w:t xml:space="preserve"> acid (50 µg/mL) as internal </w:t>
      </w:r>
      <w:r w:rsidRPr="00594183">
        <w:rPr>
          <w:lang w:val="en-US"/>
        </w:rPr>
        <w:t xml:space="preserve">standard. After </w:t>
      </w:r>
      <w:proofErr w:type="spellStart"/>
      <w:r w:rsidRPr="00594183">
        <w:rPr>
          <w:lang w:val="en-US"/>
        </w:rPr>
        <w:t>vortexing</w:t>
      </w:r>
      <w:proofErr w:type="spellEnd"/>
      <w:r w:rsidRPr="00594183">
        <w:rPr>
          <w:lang w:val="en-US"/>
        </w:rPr>
        <w:t xml:space="preserve"> the samples, 900 µL of solvent containing extracted metabolites were then transferred into new tubes. A volume of 400 µL of distilled </w:t>
      </w:r>
      <w:r w:rsidRPr="00594183">
        <w:rPr>
          <w:lang w:val="en-US"/>
        </w:rPr>
        <w:lastRenderedPageBreak/>
        <w:t xml:space="preserve">water was added. </w:t>
      </w:r>
      <w:r w:rsidRPr="00025085">
        <w:rPr>
          <w:lang w:val="en-US"/>
        </w:rPr>
        <w:t>To separate the polar and nonpolar phases, the mixture was centrifuged at 14</w:t>
      </w:r>
      <w:r>
        <w:rPr>
          <w:lang w:val="en-US"/>
        </w:rPr>
        <w:t xml:space="preserve">000 </w:t>
      </w:r>
      <w:r w:rsidRPr="00594183">
        <w:rPr>
          <w:lang w:val="en-US"/>
        </w:rPr>
        <w:t xml:space="preserve">rpm at 4°C for 5 min. 700 µL of the polar phase hydrophilic metabolites were further transferred to new 1.5 mL </w:t>
      </w:r>
      <w:proofErr w:type="spellStart"/>
      <w:r w:rsidRPr="00594183">
        <w:rPr>
          <w:lang w:val="en-US"/>
        </w:rPr>
        <w:t>microcentrifuge</w:t>
      </w:r>
      <w:proofErr w:type="spellEnd"/>
      <w:r w:rsidRPr="00594183">
        <w:rPr>
          <w:lang w:val="en-US"/>
        </w:rPr>
        <w:t xml:space="preserve"> tube</w:t>
      </w:r>
      <w:r>
        <w:rPr>
          <w:lang w:val="en-US"/>
        </w:rPr>
        <w:t>s</w:t>
      </w:r>
      <w:r w:rsidRPr="00594183">
        <w:rPr>
          <w:lang w:val="en-US"/>
        </w:rPr>
        <w:t xml:space="preserve"> (Eppendorf, Germany). For LC/MS analysis, the polar phase was filtered with </w:t>
      </w:r>
      <w:r>
        <w:rPr>
          <w:lang w:val="en-US"/>
        </w:rPr>
        <w:t xml:space="preserve">a </w:t>
      </w:r>
      <w:r w:rsidRPr="00594183">
        <w:rPr>
          <w:lang w:val="en-US"/>
        </w:rPr>
        <w:t>0.2 µm pore size PTFE filter (Millipore, USA) before transferring into new 1.5 mL tubes. Methanol was removed from the samples by centrifugal concentration for 2 h (</w:t>
      </w:r>
      <w:proofErr w:type="spellStart"/>
      <w:r w:rsidRPr="00594183">
        <w:rPr>
          <w:lang w:val="en-US"/>
        </w:rPr>
        <w:t>SpeedVac</w:t>
      </w:r>
      <w:proofErr w:type="spellEnd"/>
      <w:r w:rsidRPr="00594183">
        <w:rPr>
          <w:lang w:val="en-US"/>
        </w:rPr>
        <w:t xml:space="preserve">, </w:t>
      </w:r>
      <w:proofErr w:type="spellStart"/>
      <w:r w:rsidRPr="00594183">
        <w:rPr>
          <w:lang w:val="en-US"/>
        </w:rPr>
        <w:t>Thermo</w:t>
      </w:r>
      <w:proofErr w:type="spellEnd"/>
      <w:r w:rsidRPr="00594183">
        <w:rPr>
          <w:lang w:val="en-US"/>
        </w:rPr>
        <w:t xml:space="preserve"> Scientific, Germany) prior to overnight </w:t>
      </w:r>
      <w:proofErr w:type="spellStart"/>
      <w:r w:rsidRPr="00594183">
        <w:rPr>
          <w:lang w:val="en-US"/>
        </w:rPr>
        <w:t>lyophilization</w:t>
      </w:r>
      <w:proofErr w:type="spellEnd"/>
      <w:r w:rsidRPr="00594183">
        <w:rPr>
          <w:lang w:val="en-US"/>
        </w:rPr>
        <w:t xml:space="preserve"> (laboratory freeze dryer </w:t>
      </w:r>
      <w:proofErr w:type="spellStart"/>
      <w:r w:rsidRPr="00594183">
        <w:rPr>
          <w:lang w:val="en-US"/>
        </w:rPr>
        <w:t>VaCo</w:t>
      </w:r>
      <w:proofErr w:type="spellEnd"/>
      <w:r w:rsidRPr="00594183">
        <w:rPr>
          <w:lang w:val="en-US"/>
        </w:rPr>
        <w:t xml:space="preserve"> 2, ZIRBUS technology GmbH, Germany). Lyophilized samples were stored at -80°C until analysis.</w:t>
      </w:r>
    </w:p>
    <w:p w:rsidR="009F676B" w:rsidRDefault="009F676B" w:rsidP="009F676B">
      <w:pPr>
        <w:rPr>
          <w:lang w:val="en-US"/>
        </w:rPr>
      </w:pPr>
    </w:p>
    <w:p w:rsidR="009F676B" w:rsidRPr="00594183" w:rsidRDefault="009F676B" w:rsidP="009F676B">
      <w:pPr>
        <w:rPr>
          <w:rFonts w:eastAsia="ヒラギノ明朝 ProN W3" w:cs="ヒラギノ明朝 ProN W3"/>
          <w:lang w:val="en-US"/>
        </w:rPr>
      </w:pPr>
      <w:r w:rsidRPr="00594183">
        <w:rPr>
          <w:rFonts w:eastAsia="ヒラギノ明朝 ProN W3" w:cs="ヒラギノ明朝 ProN W3"/>
          <w:lang w:val="en-US"/>
        </w:rPr>
        <w:t xml:space="preserve">Cell extracts were analyzed according to Huang </w:t>
      </w:r>
      <w:r>
        <w:rPr>
          <w:i/>
          <w:lang w:val="en-US"/>
        </w:rPr>
        <w:t>et al.</w:t>
      </w:r>
      <w:r w:rsidRPr="00594183">
        <w:rPr>
          <w:rFonts w:eastAsia="ヒラギノ明朝 ProN W3" w:cs="ヒラギノ明朝 ProN W3"/>
          <w:lang w:val="en-US"/>
        </w:rPr>
        <w:t xml:space="preserve"> </w:t>
      </w:r>
      <w:r w:rsidRPr="00594183">
        <w:rPr>
          <w:rFonts w:eastAsia="ヒラギノ明朝 ProN W3" w:cs="ヒラギノ明朝 ProN W3"/>
          <w:lang w:val="en-US"/>
        </w:rPr>
        <w:fldChar w:fldCharType="begin"/>
      </w:r>
      <w:r>
        <w:rPr>
          <w:rFonts w:eastAsia="ヒラギノ明朝 ProN W3" w:cs="ヒラギノ明朝 ProN W3"/>
          <w:lang w:val="en-US"/>
        </w:rPr>
        <w:instrText xml:space="preserve"> ADDIN EN.CITE &lt;EndNote&gt;&lt;Cite&gt;&lt;Author&gt;Huang&lt;/Author&gt;&lt;Year&gt;2015&lt;/Year&gt;&lt;RecNum&gt;301&lt;/RecNum&gt;&lt;DisplayText&gt;[57]&lt;/DisplayText&gt;&lt;record&gt;&lt;rec-number&gt;301&lt;/rec-number&gt;&lt;foreign-keys&gt;&lt;key app="EN" db-id="wrs5vss9pas9taedz0n5xvtkfttt2srt2ts2"&gt;301&lt;/key&gt;&lt;/foreign-keys&gt;&lt;ref-type name="Journal Article"&gt;17&lt;/ref-type&gt;&lt;contributors&gt;&lt;authors&gt;&lt;author&gt;Huang, H.&lt;/author&gt;&lt;author&gt;Kawamata, T.&lt;/author&gt;&lt;author&gt;Horie, T.&lt;/author&gt;&lt;author&gt;Tsugawa, H.&lt;/author&gt;&lt;author&gt;Nakayama, Y.&lt;/author&gt;&lt;author&gt;Ohsumi, Y.&lt;/author&gt;&lt;author&gt;Fukusaki, E.&lt;/author&gt;&lt;/authors&gt;&lt;/contributors&gt;&lt;titles&gt;&lt;title&gt;Bulk RNA degradation by nitrogen starvation-induced autophagy in yeast&lt;/title&gt;&lt;secondary-title&gt;Embo J&lt;/secondary-title&gt;&lt;/titles&gt;&lt;periodical&gt;&lt;full-title&gt;Embo J&lt;/full-title&gt;&lt;/periodical&gt;&lt;pages&gt;154-68&lt;/pages&gt;&lt;volume&gt;34&lt;/volume&gt;&lt;number&gt;2&lt;/number&gt;&lt;dates&gt;&lt;year&gt;2015&lt;/year&gt;&lt;/dates&gt;&lt;isbn&gt;1460-2075 (Electronic)&amp;#xD;0261-4189 (Linking)&lt;/isbn&gt;&lt;urls&gt;&lt;/urls&gt;&lt;/record&gt;&lt;/Cite&gt;&lt;/EndNote&gt;</w:instrText>
      </w:r>
      <w:r w:rsidRPr="00594183">
        <w:rPr>
          <w:rFonts w:eastAsia="ヒラギノ明朝 ProN W3" w:cs="ヒラギノ明朝 ProN W3"/>
          <w:lang w:val="en-US"/>
        </w:rPr>
        <w:fldChar w:fldCharType="separate"/>
      </w:r>
      <w:r>
        <w:rPr>
          <w:rFonts w:eastAsia="ヒラギノ明朝 ProN W3" w:cs="ヒラギノ明朝 ProN W3"/>
          <w:noProof/>
          <w:lang w:val="en-US"/>
        </w:rPr>
        <w:t>[</w:t>
      </w:r>
      <w:hyperlink w:anchor="_ENREF_57" w:tooltip="Huang, 2015 #301" w:history="1">
        <w:r>
          <w:rPr>
            <w:rFonts w:eastAsia="ヒラギノ明朝 ProN W3" w:cs="ヒラギノ明朝 ProN W3"/>
            <w:noProof/>
            <w:lang w:val="en-US"/>
          </w:rPr>
          <w:t>57</w:t>
        </w:r>
      </w:hyperlink>
      <w:r>
        <w:rPr>
          <w:rFonts w:eastAsia="ヒラギノ明朝 ProN W3" w:cs="ヒラギノ明朝 ProN W3"/>
          <w:noProof/>
          <w:lang w:val="en-US"/>
        </w:rPr>
        <w:t>]</w:t>
      </w:r>
      <w:r w:rsidRPr="00594183">
        <w:rPr>
          <w:rFonts w:eastAsia="ヒラギノ明朝 ProN W3" w:cs="ヒラギノ明朝 ProN W3"/>
          <w:lang w:val="en-US"/>
        </w:rPr>
        <w:fldChar w:fldCharType="end"/>
      </w:r>
      <w:r w:rsidRPr="00594183">
        <w:rPr>
          <w:rFonts w:eastAsia="ヒラギノ明朝 ProN W3" w:cs="ヒラギノ明朝 ProN W3"/>
          <w:lang w:val="en-US"/>
        </w:rPr>
        <w:t xml:space="preserve"> by 1) </w:t>
      </w:r>
      <w:proofErr w:type="spellStart"/>
      <w:r w:rsidRPr="00594183">
        <w:rPr>
          <w:rFonts w:eastAsia="ヒラギノ明朝 ProN W3" w:cs="ヒラギノ明朝 ProN W3"/>
          <w:lang w:val="en-US"/>
        </w:rPr>
        <w:t>pentafluorophenylpropyl</w:t>
      </w:r>
      <w:proofErr w:type="spellEnd"/>
      <w:r w:rsidRPr="00594183">
        <w:rPr>
          <w:rFonts w:eastAsia="ヒラギノ明朝 ProN W3" w:cs="ヒラギノ明朝 ProN W3"/>
          <w:lang w:val="en-US"/>
        </w:rPr>
        <w:t xml:space="preserve"> (PFPP) stationary phase liquid chromatography (Discovery HS F5, 150 mm × 2.1 mm, particle size 3 µm, Sigma-Aldrich Corp., Germany) coupled with electrospray</w:t>
      </w:r>
    </w:p>
    <w:p w:rsidR="009F676B" w:rsidRDefault="009F676B" w:rsidP="009F676B">
      <w:pPr>
        <w:rPr>
          <w:lang w:val="en-US"/>
        </w:rPr>
      </w:pPr>
      <w:r w:rsidRPr="00594183">
        <w:rPr>
          <w:rFonts w:eastAsia="ヒラギノ明朝 ProN W3" w:cs="ヒラギノ明朝 ProN W3"/>
          <w:lang w:val="en-US"/>
        </w:rPr>
        <w:t xml:space="preserve">ionization (ESI) in positive </w:t>
      </w:r>
      <w:r w:rsidRPr="00594183">
        <w:rPr>
          <w:rFonts w:eastAsia="SimSun" w:cs="ヒラギノ明朝 ProN W3"/>
          <w:lang w:val="en-US" w:eastAsia="zh-CN"/>
        </w:rPr>
        <w:t xml:space="preserve">and negative </w:t>
      </w:r>
      <w:r w:rsidRPr="00594183">
        <w:rPr>
          <w:rFonts w:eastAsia="ヒラギノ明朝 ProN W3" w:cs="ヒラギノ明朝 ProN W3"/>
          <w:lang w:val="en-US"/>
        </w:rPr>
        <w:t>mode</w:t>
      </w:r>
      <w:r w:rsidRPr="00594183">
        <w:rPr>
          <w:rFonts w:eastAsia="SimSun" w:cs="ヒラギノ明朝 ProN W3"/>
          <w:lang w:val="en-US" w:eastAsia="zh-CN"/>
        </w:rPr>
        <w:t>s</w:t>
      </w:r>
      <w:r w:rsidRPr="00594183">
        <w:rPr>
          <w:rFonts w:eastAsia="ヒラギノ明朝 ProN W3" w:cs="ヒラギノ明朝 ProN W3"/>
          <w:lang w:val="en-US"/>
        </w:rPr>
        <w:t xml:space="preserve">, and 2) reversed phase ion-pairing liquid chromatography with a C18 column (CERI L-column2 ODS, 150 mm × 2.1 mm, particle size 3 </w:t>
      </w:r>
      <w:proofErr w:type="spellStart"/>
      <w:r w:rsidRPr="00594183">
        <w:rPr>
          <w:rFonts w:eastAsia="ヒラギノ明朝 ProN W3" w:cs="ヒラギノ明朝 ProN W3"/>
          <w:lang w:val="en-US"/>
        </w:rPr>
        <w:t>μm</w:t>
      </w:r>
      <w:proofErr w:type="spellEnd"/>
      <w:r w:rsidRPr="00594183">
        <w:rPr>
          <w:rFonts w:eastAsia="ヒラギノ明朝 ProN W3" w:cs="ヒラギノ明朝 ProN W3"/>
          <w:lang w:val="en-US"/>
        </w:rPr>
        <w:t xml:space="preserve">, Chemicals Evaluation and Research Institute, Kyoto, Japan) </w:t>
      </w:r>
      <w:r w:rsidRPr="00594183">
        <w:rPr>
          <w:lang w:val="en-US"/>
        </w:rPr>
        <w:t>coupled with ESI</w:t>
      </w:r>
      <w:r w:rsidRPr="00594183">
        <w:rPr>
          <w:rFonts w:eastAsia="ヒラギノ明朝 ProN W3" w:cs="ヒラギノ明朝 ProN W3"/>
          <w:lang w:val="en-US"/>
        </w:rPr>
        <w:t xml:space="preserve"> in </w:t>
      </w:r>
      <w:r w:rsidRPr="00A33BB7">
        <w:rPr>
          <w:rFonts w:eastAsia="ヒラギノ明朝 ProN W3" w:cs="ヒラギノ明朝 ProN W3"/>
          <w:lang w:val="en-US"/>
        </w:rPr>
        <w:t xml:space="preserve">negative mode, to a triple-quadrupole mass spectrometer (LCMS 8030 plus; Shimadzu, Japan). For 1), the mobile phases were 0.1% formic acid (A) and acetonitrile with 0.1 % formic acid (B) at a flow rate of 0.2 mL/min. Concentration of B was increased from 0 % to 40 % and 80 % from 1 to 11 min and 11 to 11.51 min, respectively, held until 12.1 min, decreased to 0% from 12.1 to 12.3 min, and then </w:t>
      </w:r>
      <w:r>
        <w:rPr>
          <w:rFonts w:eastAsia="ヒラギノ明朝 ProN W3" w:cs="ヒラギノ明朝 ProN W3"/>
          <w:lang w:val="en-US"/>
        </w:rPr>
        <w:t>kept</w:t>
      </w:r>
      <w:r w:rsidRPr="00A33BB7">
        <w:rPr>
          <w:rFonts w:eastAsia="ヒラギノ明朝 ProN W3" w:cs="ヒラギノ明朝 ProN W3"/>
          <w:lang w:val="en-US"/>
        </w:rPr>
        <w:t xml:space="preserve"> at 0 % until 15 min. Injection volume was 3 </w:t>
      </w:r>
      <w:proofErr w:type="spellStart"/>
      <w:r w:rsidRPr="00A33BB7">
        <w:rPr>
          <w:rFonts w:eastAsia="ヒラギノ明朝 ProN W3" w:cs="ヒラギノ明朝 ProN W3"/>
          <w:lang w:val="en-US"/>
        </w:rPr>
        <w:t>μL</w:t>
      </w:r>
      <w:proofErr w:type="spellEnd"/>
      <w:r w:rsidRPr="00A33BB7">
        <w:rPr>
          <w:rFonts w:eastAsia="ヒラギノ明朝 ProN W3" w:cs="ヒラギノ明朝 ProN W3"/>
          <w:lang w:val="en-US"/>
        </w:rPr>
        <w:t xml:space="preserve">, and column oven temperature was kept at 40 °C. For 2), the mobile phases were 10 </w:t>
      </w:r>
      <w:proofErr w:type="spellStart"/>
      <w:r w:rsidRPr="00A33BB7">
        <w:rPr>
          <w:rFonts w:eastAsia="ヒラギノ明朝 ProN W3" w:cs="ヒラギノ明朝 ProN W3"/>
          <w:lang w:val="en-US"/>
        </w:rPr>
        <w:t>mM</w:t>
      </w:r>
      <w:proofErr w:type="spellEnd"/>
      <w:r w:rsidRPr="00A33BB7">
        <w:rPr>
          <w:rFonts w:eastAsia="ヒラギノ明朝 ProN W3" w:cs="ヒラギノ明朝 ProN W3"/>
          <w:lang w:val="en-US"/>
        </w:rPr>
        <w:t xml:space="preserve"> </w:t>
      </w:r>
      <w:bookmarkStart w:id="0" w:name="OLE_LINK203"/>
      <w:r w:rsidRPr="00A33BB7">
        <w:rPr>
          <w:rFonts w:eastAsia="ヒラギノ明朝 ProN W3" w:cs="ヒラギノ明朝 ProN W3"/>
          <w:lang w:val="en-US"/>
        </w:rPr>
        <w:t>tributylamine</w:t>
      </w:r>
      <w:bookmarkEnd w:id="0"/>
      <w:r w:rsidRPr="00A33BB7">
        <w:rPr>
          <w:rFonts w:eastAsia="ヒラギノ明朝 ProN W3" w:cs="ヒラギノ明朝 ProN W3"/>
          <w:lang w:val="en-US"/>
        </w:rPr>
        <w:t xml:space="preserve"> and 15 </w:t>
      </w:r>
      <w:proofErr w:type="spellStart"/>
      <w:r w:rsidRPr="00A33BB7">
        <w:rPr>
          <w:rFonts w:eastAsia="ヒラギノ明朝 ProN W3" w:cs="ヒラギノ明朝 ProN W3"/>
          <w:lang w:val="en-US"/>
        </w:rPr>
        <w:t>mM</w:t>
      </w:r>
      <w:proofErr w:type="spellEnd"/>
      <w:r w:rsidRPr="00A33BB7">
        <w:rPr>
          <w:rFonts w:eastAsia="ヒラギノ明朝 ProN W3" w:cs="ヒラギノ明朝 ProN W3"/>
          <w:lang w:val="en-US"/>
        </w:rPr>
        <w:t xml:space="preserve"> acetic acid in water (A) and methanol (B) at a flow rate of 0.3 mL/min. Concentration of B was increased from 0 % to 15 % from 1.0 to 2.0 min, </w:t>
      </w:r>
      <w:r>
        <w:rPr>
          <w:rFonts w:eastAsia="ヒラギノ明朝 ProN W3" w:cs="ヒラギノ明朝 ProN W3"/>
          <w:lang w:val="en-US"/>
        </w:rPr>
        <w:t>kept</w:t>
      </w:r>
      <w:r w:rsidRPr="00A33BB7">
        <w:rPr>
          <w:rFonts w:eastAsia="ヒラギノ明朝 ProN W3" w:cs="ヒラギノ明朝 ProN W3"/>
          <w:lang w:val="en-US"/>
        </w:rPr>
        <w:t xml:space="preserve"> for 2 min, increased 15 % to 50 %, 55 % and 100 % from 4.0 to 9.0 min, 9.0 to 11.5 min and 11.5 to 12.0 min, respectively, held for 1 min, decreased to 0 % until 13.5 min, and then </w:t>
      </w:r>
      <w:r>
        <w:rPr>
          <w:rFonts w:eastAsia="ヒラギノ明朝 ProN W3" w:cs="ヒラギノ明朝 ProN W3"/>
          <w:lang w:val="en-US"/>
        </w:rPr>
        <w:t>kept</w:t>
      </w:r>
      <w:r w:rsidRPr="00A33BB7">
        <w:rPr>
          <w:rFonts w:eastAsia="ヒラギノ明朝 ProN W3" w:cs="ヒラギノ明朝 ProN W3"/>
          <w:lang w:val="en-US"/>
        </w:rPr>
        <w:t xml:space="preserve"> at 0% </w:t>
      </w:r>
      <w:r w:rsidRPr="00A33BB7">
        <w:rPr>
          <w:rFonts w:eastAsia="ヒラギノ明朝 ProN W3" w:cs="ヒラギノ明朝 ProN W3"/>
          <w:lang w:val="en-US"/>
        </w:rPr>
        <w:lastRenderedPageBreak/>
        <w:t xml:space="preserve">until 18 min. Injection volume was 3 </w:t>
      </w:r>
      <w:proofErr w:type="spellStart"/>
      <w:r w:rsidRPr="00A33BB7">
        <w:rPr>
          <w:rFonts w:eastAsia="ヒラギノ明朝 ProN W3" w:cs="ヒラギノ明朝 ProN W3"/>
          <w:lang w:val="en-US"/>
        </w:rPr>
        <w:t>μL</w:t>
      </w:r>
      <w:proofErr w:type="spellEnd"/>
      <w:r w:rsidRPr="00A33BB7">
        <w:rPr>
          <w:rFonts w:eastAsia="ヒラギノ明朝 ProN W3" w:cs="ヒラギノ明朝 ProN W3"/>
          <w:lang w:val="en-US"/>
        </w:rPr>
        <w:t xml:space="preserve">, and column oven temperature was kept at 45 °C. </w:t>
      </w:r>
      <w:r w:rsidRPr="00A33BB7">
        <w:rPr>
          <w:lang w:val="en-US"/>
        </w:rPr>
        <w:t xml:space="preserve">Common MS parameters for both </w:t>
      </w:r>
      <w:bookmarkStart w:id="1" w:name="OLE_LINK82"/>
      <w:bookmarkStart w:id="2" w:name="OLE_LINK83"/>
      <w:r w:rsidRPr="00A33BB7">
        <w:rPr>
          <w:lang w:val="en-US"/>
        </w:rPr>
        <w:t>1) and 2)</w:t>
      </w:r>
      <w:bookmarkEnd w:id="1"/>
      <w:bookmarkEnd w:id="2"/>
      <w:r w:rsidRPr="00A33BB7">
        <w:rPr>
          <w:lang w:val="en-US"/>
        </w:rPr>
        <w:t xml:space="preserve"> were as follows: probe position was +1.5 mm, </w:t>
      </w:r>
      <w:proofErr w:type="spellStart"/>
      <w:r w:rsidRPr="00A33BB7">
        <w:rPr>
          <w:lang w:val="en-US"/>
        </w:rPr>
        <w:t>desolvation</w:t>
      </w:r>
      <w:proofErr w:type="spellEnd"/>
      <w:r w:rsidRPr="00A33BB7">
        <w:rPr>
          <w:lang w:val="en-US"/>
        </w:rPr>
        <w:t xml:space="preserve"> line temperature was 250 °C, drying gas flow was 15 L/min, and heat block temperature was 400 °C.</w:t>
      </w:r>
      <w:r w:rsidRPr="00A33BB7">
        <w:rPr>
          <w:sz w:val="20"/>
          <w:szCs w:val="20"/>
          <w:lang w:val="en-US"/>
        </w:rPr>
        <w:t xml:space="preserve"> </w:t>
      </w:r>
      <w:r w:rsidRPr="00A33BB7">
        <w:rPr>
          <w:lang w:val="en-US"/>
        </w:rPr>
        <w:t>Nebulizer gas flow was 3 L/min and 2 L/min for 1) and 2), respectively. Other</w:t>
      </w:r>
      <w:r w:rsidRPr="00A33BB7">
        <w:rPr>
          <w:sz w:val="20"/>
          <w:szCs w:val="20"/>
          <w:lang w:val="en-US"/>
        </w:rPr>
        <w:t xml:space="preserve"> </w:t>
      </w:r>
      <w:r w:rsidRPr="00A33BB7">
        <w:rPr>
          <w:lang w:val="en-US"/>
        </w:rPr>
        <w:t>MS parameters were determined by auto-tuning.</w:t>
      </w:r>
      <w:r>
        <w:rPr>
          <w:lang w:val="en-US"/>
        </w:rPr>
        <w:t xml:space="preserve"> All analyzed compounds are listed in Additional table 5.1. Compounds highlighted with grey background are presented in Figure 4. Relative intensities of the intracellular compounds were calculated according to the maximum value for each compound after division by the intensity of internal standard. </w:t>
      </w:r>
    </w:p>
    <w:p w:rsidR="009F676B" w:rsidRPr="002557AA" w:rsidRDefault="009F676B" w:rsidP="009F676B">
      <w:pPr>
        <w:rPr>
          <w:rFonts w:ascii="Arial" w:eastAsia="ヒラギノ明朝 ProN W3" w:hAnsi="Arial" w:cs="Arial"/>
          <w:b/>
          <w:sz w:val="22"/>
          <w:szCs w:val="22"/>
          <w:lang w:val="en-US"/>
        </w:rPr>
      </w:pPr>
    </w:p>
    <w:p w:rsidR="009F676B" w:rsidRDefault="009F676B">
      <w:pPr>
        <w:spacing w:after="200" w:line="276" w:lineRule="auto"/>
        <w:rPr>
          <w:rFonts w:ascii="Arial" w:hAnsi="Arial" w:cs="Arial"/>
          <w:b/>
          <w:sz w:val="22"/>
          <w:szCs w:val="22"/>
          <w:lang w:val="en-US"/>
        </w:rPr>
      </w:pPr>
      <w:r>
        <w:rPr>
          <w:rFonts w:ascii="Arial" w:hAnsi="Arial" w:cs="Arial"/>
          <w:b/>
          <w:sz w:val="22"/>
          <w:szCs w:val="22"/>
          <w:lang w:val="en-US"/>
        </w:rPr>
        <w:br w:type="page"/>
      </w:r>
    </w:p>
    <w:p w:rsidR="009F676B" w:rsidRPr="00355ED9" w:rsidRDefault="009F676B" w:rsidP="009F676B">
      <w:pPr>
        <w:rPr>
          <w:rFonts w:ascii="Arial" w:eastAsia="ヒラギノ明朝 ProN W3" w:hAnsi="Arial" w:cs="Arial"/>
          <w:b/>
          <w:sz w:val="22"/>
          <w:szCs w:val="22"/>
          <w:lang w:val="en-US"/>
        </w:rPr>
      </w:pPr>
      <w:r>
        <w:rPr>
          <w:rFonts w:ascii="Arial" w:hAnsi="Arial" w:cs="Arial"/>
          <w:b/>
          <w:sz w:val="22"/>
          <w:szCs w:val="22"/>
          <w:lang w:val="en-US"/>
        </w:rPr>
        <w:lastRenderedPageBreak/>
        <w:t>Additional t</w:t>
      </w:r>
      <w:r w:rsidRPr="002557AA">
        <w:rPr>
          <w:rFonts w:ascii="Arial" w:hAnsi="Arial" w:cs="Arial"/>
          <w:b/>
          <w:sz w:val="22"/>
          <w:szCs w:val="22"/>
          <w:lang w:val="en-US"/>
        </w:rPr>
        <w:t xml:space="preserve">able: </w:t>
      </w:r>
      <w:r>
        <w:rPr>
          <w:rFonts w:ascii="Arial" w:hAnsi="Arial" w:cs="Arial"/>
          <w:b/>
          <w:sz w:val="22"/>
          <w:szCs w:val="22"/>
          <w:lang w:val="en-US"/>
        </w:rPr>
        <w:t>Analyzed compounds</w:t>
      </w:r>
      <w:r w:rsidRPr="002557AA">
        <w:rPr>
          <w:rFonts w:ascii="Arial" w:hAnsi="Arial" w:cs="Arial"/>
          <w:b/>
          <w:sz w:val="22"/>
          <w:szCs w:val="22"/>
          <w:lang w:val="en-US"/>
        </w:rPr>
        <w:t xml:space="preserve"> </w:t>
      </w:r>
      <w:r>
        <w:rPr>
          <w:rFonts w:ascii="Arial" w:hAnsi="Arial" w:cs="Arial"/>
          <w:b/>
          <w:sz w:val="22"/>
          <w:szCs w:val="22"/>
          <w:lang w:val="en-US"/>
        </w:rPr>
        <w:t xml:space="preserve">using </w:t>
      </w:r>
      <w:r w:rsidRPr="002557AA">
        <w:rPr>
          <w:rFonts w:ascii="Arial" w:hAnsi="Arial" w:cs="Arial"/>
          <w:b/>
          <w:sz w:val="22"/>
          <w:szCs w:val="22"/>
          <w:lang w:val="en-US"/>
        </w:rPr>
        <w:t>PFPP chromatography</w:t>
      </w:r>
      <w:r w:rsidRPr="002557AA">
        <w:rPr>
          <w:rFonts w:ascii="Arial" w:hAnsi="Arial" w:cs="Arial"/>
          <w:b/>
          <w:sz w:val="22"/>
          <w:szCs w:val="22"/>
          <w:vertAlign w:val="superscript"/>
          <w:lang w:val="en-US"/>
        </w:rPr>
        <w:t>1</w:t>
      </w:r>
      <w:r w:rsidRPr="002557AA">
        <w:rPr>
          <w:rFonts w:ascii="Arial" w:hAnsi="Arial" w:cs="Arial"/>
          <w:b/>
          <w:sz w:val="22"/>
          <w:szCs w:val="22"/>
          <w:lang w:val="en-US"/>
        </w:rPr>
        <w:t xml:space="preserve"> and ion-pair chromatography</w:t>
      </w:r>
      <w:r w:rsidRPr="002557AA">
        <w:rPr>
          <w:rFonts w:ascii="Arial" w:hAnsi="Arial" w:cs="Arial"/>
          <w:b/>
          <w:sz w:val="22"/>
          <w:szCs w:val="22"/>
          <w:vertAlign w:val="superscript"/>
          <w:lang w:val="en-US"/>
        </w:rPr>
        <w:t>2</w:t>
      </w:r>
      <w:r>
        <w:rPr>
          <w:rFonts w:ascii="Arial" w:hAnsi="Arial" w:cs="Arial"/>
          <w:b/>
          <w:sz w:val="22"/>
          <w:szCs w:val="22"/>
          <w:vertAlign w:val="superscript"/>
          <w:lang w:val="en-US"/>
        </w:rPr>
        <w:t xml:space="preserve"> </w:t>
      </w:r>
    </w:p>
    <w:tbl>
      <w:tblPr>
        <w:tblW w:w="9186" w:type="dxa"/>
        <w:tblLayout w:type="fixed"/>
        <w:tblCellMar>
          <w:left w:w="99" w:type="dxa"/>
          <w:right w:w="99" w:type="dxa"/>
        </w:tblCellMar>
        <w:tblLook w:val="04A0" w:firstRow="1" w:lastRow="0" w:firstColumn="1" w:lastColumn="0" w:noHBand="0" w:noVBand="1"/>
      </w:tblPr>
      <w:tblGrid>
        <w:gridCol w:w="1531"/>
        <w:gridCol w:w="1531"/>
        <w:gridCol w:w="1531"/>
        <w:gridCol w:w="1531"/>
        <w:gridCol w:w="1531"/>
        <w:gridCol w:w="1531"/>
      </w:tblGrid>
      <w:tr w:rsidR="009F676B" w:rsidRPr="009F676B" w:rsidTr="009F676B">
        <w:trPr>
          <w:trHeight w:val="397"/>
        </w:trPr>
        <w:tc>
          <w:tcPr>
            <w:tcW w:w="1531" w:type="dxa"/>
            <w:tcBorders>
              <w:top w:val="single" w:sz="4" w:space="0" w:color="auto"/>
              <w:left w:val="nil"/>
              <w:bottom w:val="single" w:sz="4" w:space="0" w:color="auto"/>
              <w:right w:val="nil"/>
            </w:tcBorders>
            <w:shd w:val="clear" w:color="auto" w:fill="auto"/>
            <w:noWrap/>
            <w:vAlign w:val="center"/>
            <w:hideMark/>
          </w:tcPr>
          <w:p w:rsidR="009F676B" w:rsidRPr="009F676B" w:rsidRDefault="009F676B" w:rsidP="00984373">
            <w:pPr>
              <w:spacing w:line="240" w:lineRule="auto"/>
              <w:rPr>
                <w:rFonts w:ascii="Arial" w:eastAsia="MS PGothic" w:hAnsi="Arial" w:cs="Arial"/>
                <w:b/>
                <w:sz w:val="18"/>
                <w:szCs w:val="18"/>
                <w:vertAlign w:val="superscript"/>
                <w:lang w:val="en-US"/>
              </w:rPr>
            </w:pPr>
            <w:r w:rsidRPr="009F676B">
              <w:rPr>
                <w:rFonts w:ascii="Arial" w:eastAsia="MS PGothic" w:hAnsi="Arial" w:cs="Arial"/>
                <w:b/>
                <w:sz w:val="18"/>
                <w:szCs w:val="18"/>
                <w:lang w:val="en-US"/>
              </w:rPr>
              <w:t>Compound</w:t>
            </w:r>
            <w:r w:rsidRPr="009F676B">
              <w:rPr>
                <w:rFonts w:ascii="Arial" w:eastAsia="MS PGothic" w:hAnsi="Arial" w:cs="Arial"/>
                <w:b/>
                <w:sz w:val="18"/>
                <w:szCs w:val="18"/>
                <w:vertAlign w:val="superscript"/>
                <w:lang w:val="en-US"/>
              </w:rPr>
              <w:t>1</w:t>
            </w:r>
          </w:p>
        </w:tc>
        <w:tc>
          <w:tcPr>
            <w:tcW w:w="1531" w:type="dxa"/>
            <w:tcBorders>
              <w:top w:val="single" w:sz="4" w:space="0" w:color="auto"/>
              <w:left w:val="nil"/>
              <w:bottom w:val="single" w:sz="4" w:space="0" w:color="auto"/>
              <w:right w:val="single" w:sz="4" w:space="0" w:color="auto"/>
            </w:tcBorders>
            <w:shd w:val="clear" w:color="auto" w:fill="auto"/>
            <w:noWrap/>
            <w:vAlign w:val="center"/>
            <w:hideMark/>
          </w:tcPr>
          <w:p w:rsidR="009F676B" w:rsidRPr="009F676B" w:rsidRDefault="009F676B" w:rsidP="00984373">
            <w:pPr>
              <w:spacing w:line="240" w:lineRule="auto"/>
              <w:rPr>
                <w:rFonts w:ascii="Arial" w:eastAsia="MS PGothic" w:hAnsi="Arial" w:cs="Arial"/>
                <w:b/>
                <w:sz w:val="18"/>
                <w:szCs w:val="18"/>
                <w:vertAlign w:val="superscript"/>
                <w:lang w:val="en-US"/>
              </w:rPr>
            </w:pPr>
            <w:r w:rsidRPr="009F676B">
              <w:rPr>
                <w:rFonts w:ascii="Arial" w:eastAsia="MS PGothic" w:hAnsi="Arial" w:cs="Arial"/>
                <w:b/>
                <w:sz w:val="18"/>
                <w:szCs w:val="18"/>
                <w:lang w:val="en-US"/>
              </w:rPr>
              <w:t>Compound</w:t>
            </w:r>
            <w:r w:rsidRPr="009F676B">
              <w:rPr>
                <w:rFonts w:ascii="Arial" w:eastAsia="MS PGothic" w:hAnsi="Arial" w:cs="Arial"/>
                <w:b/>
                <w:sz w:val="18"/>
                <w:szCs w:val="18"/>
                <w:vertAlign w:val="superscript"/>
                <w:lang w:val="en-US"/>
              </w:rPr>
              <w:t>1</w:t>
            </w:r>
          </w:p>
        </w:tc>
        <w:tc>
          <w:tcPr>
            <w:tcW w:w="1531" w:type="dxa"/>
            <w:tcBorders>
              <w:top w:val="single" w:sz="4" w:space="0" w:color="auto"/>
              <w:left w:val="single" w:sz="4" w:space="0" w:color="auto"/>
              <w:bottom w:val="single" w:sz="4" w:space="0" w:color="auto"/>
              <w:right w:val="nil"/>
            </w:tcBorders>
            <w:shd w:val="clear" w:color="auto" w:fill="auto"/>
            <w:noWrap/>
            <w:vAlign w:val="center"/>
            <w:hideMark/>
          </w:tcPr>
          <w:p w:rsidR="009F676B" w:rsidRPr="009F676B" w:rsidRDefault="009F676B" w:rsidP="00984373">
            <w:pPr>
              <w:spacing w:line="240" w:lineRule="auto"/>
              <w:rPr>
                <w:rFonts w:ascii="Arial" w:eastAsia="MS PGothic" w:hAnsi="Arial" w:cs="Arial"/>
                <w:b/>
                <w:sz w:val="18"/>
                <w:szCs w:val="18"/>
                <w:vertAlign w:val="superscript"/>
                <w:lang w:val="en-US"/>
              </w:rPr>
            </w:pPr>
            <w:r w:rsidRPr="009F676B">
              <w:rPr>
                <w:rFonts w:ascii="Arial" w:eastAsia="MS PGothic" w:hAnsi="Arial" w:cs="Arial"/>
                <w:b/>
                <w:sz w:val="18"/>
                <w:szCs w:val="18"/>
                <w:lang w:val="en-US"/>
              </w:rPr>
              <w:t>Compound</w:t>
            </w:r>
            <w:r w:rsidRPr="009F676B">
              <w:rPr>
                <w:rFonts w:ascii="Arial" w:eastAsia="MS PGothic" w:hAnsi="Arial" w:cs="Arial"/>
                <w:b/>
                <w:sz w:val="18"/>
                <w:szCs w:val="18"/>
                <w:vertAlign w:val="superscript"/>
                <w:lang w:val="en-US"/>
              </w:rPr>
              <w:t>2</w:t>
            </w:r>
          </w:p>
        </w:tc>
        <w:tc>
          <w:tcPr>
            <w:tcW w:w="1531" w:type="dxa"/>
            <w:tcBorders>
              <w:top w:val="single" w:sz="4" w:space="0" w:color="auto"/>
              <w:left w:val="nil"/>
              <w:bottom w:val="single" w:sz="4" w:space="0" w:color="auto"/>
              <w:right w:val="nil"/>
            </w:tcBorders>
            <w:shd w:val="clear" w:color="auto" w:fill="auto"/>
            <w:noWrap/>
            <w:vAlign w:val="center"/>
            <w:hideMark/>
          </w:tcPr>
          <w:p w:rsidR="009F676B" w:rsidRPr="009F676B" w:rsidRDefault="009F676B" w:rsidP="00984373">
            <w:pPr>
              <w:spacing w:line="240" w:lineRule="auto"/>
              <w:rPr>
                <w:rFonts w:ascii="Arial" w:eastAsia="MS PGothic" w:hAnsi="Arial" w:cs="Arial"/>
                <w:b/>
                <w:sz w:val="18"/>
                <w:szCs w:val="18"/>
                <w:vertAlign w:val="superscript"/>
                <w:lang w:val="en-US"/>
              </w:rPr>
            </w:pPr>
            <w:r w:rsidRPr="009F676B">
              <w:rPr>
                <w:rFonts w:ascii="Arial" w:eastAsia="MS PGothic" w:hAnsi="Arial" w:cs="Arial"/>
                <w:b/>
                <w:sz w:val="18"/>
                <w:szCs w:val="18"/>
                <w:lang w:val="en-US"/>
              </w:rPr>
              <w:t>Compound</w:t>
            </w:r>
            <w:r w:rsidRPr="009F676B">
              <w:rPr>
                <w:rFonts w:ascii="Arial" w:eastAsia="MS PGothic" w:hAnsi="Arial" w:cs="Arial"/>
                <w:b/>
                <w:sz w:val="18"/>
                <w:szCs w:val="18"/>
                <w:vertAlign w:val="superscript"/>
                <w:lang w:val="en-US"/>
              </w:rPr>
              <w:t>2</w:t>
            </w:r>
          </w:p>
        </w:tc>
        <w:tc>
          <w:tcPr>
            <w:tcW w:w="1531" w:type="dxa"/>
            <w:tcBorders>
              <w:top w:val="single" w:sz="4" w:space="0" w:color="auto"/>
              <w:left w:val="nil"/>
              <w:bottom w:val="single" w:sz="4" w:space="0" w:color="auto"/>
              <w:right w:val="nil"/>
            </w:tcBorders>
            <w:shd w:val="clear" w:color="auto" w:fill="auto"/>
            <w:noWrap/>
            <w:vAlign w:val="center"/>
            <w:hideMark/>
          </w:tcPr>
          <w:p w:rsidR="009F676B" w:rsidRPr="009F676B" w:rsidRDefault="009F676B" w:rsidP="00984373">
            <w:pPr>
              <w:spacing w:line="240" w:lineRule="auto"/>
              <w:rPr>
                <w:rFonts w:ascii="Arial" w:eastAsia="MS PGothic" w:hAnsi="Arial" w:cs="Arial"/>
                <w:b/>
                <w:sz w:val="18"/>
                <w:szCs w:val="18"/>
                <w:vertAlign w:val="superscript"/>
                <w:lang w:val="en-US"/>
              </w:rPr>
            </w:pPr>
            <w:r w:rsidRPr="009F676B">
              <w:rPr>
                <w:rFonts w:ascii="Arial" w:eastAsia="MS PGothic" w:hAnsi="Arial" w:cs="Arial"/>
                <w:b/>
                <w:sz w:val="18"/>
                <w:szCs w:val="18"/>
                <w:lang w:val="en-US"/>
              </w:rPr>
              <w:t>Compound</w:t>
            </w:r>
            <w:r w:rsidRPr="009F676B">
              <w:rPr>
                <w:rFonts w:ascii="Arial" w:eastAsia="MS PGothic" w:hAnsi="Arial" w:cs="Arial"/>
                <w:b/>
                <w:sz w:val="18"/>
                <w:szCs w:val="18"/>
                <w:vertAlign w:val="superscript"/>
                <w:lang w:val="en-US"/>
              </w:rPr>
              <w:t>2</w:t>
            </w:r>
          </w:p>
        </w:tc>
        <w:tc>
          <w:tcPr>
            <w:tcW w:w="1531" w:type="dxa"/>
            <w:tcBorders>
              <w:top w:val="single" w:sz="4" w:space="0" w:color="auto"/>
              <w:left w:val="nil"/>
              <w:bottom w:val="single" w:sz="4" w:space="0" w:color="auto"/>
              <w:right w:val="nil"/>
            </w:tcBorders>
            <w:vAlign w:val="center"/>
          </w:tcPr>
          <w:p w:rsidR="009F676B" w:rsidRPr="009F676B" w:rsidRDefault="009F676B" w:rsidP="00984373">
            <w:pPr>
              <w:spacing w:line="240" w:lineRule="auto"/>
              <w:rPr>
                <w:rFonts w:ascii="Arial" w:eastAsia="MS PGothic" w:hAnsi="Arial" w:cs="Arial"/>
                <w:b/>
                <w:sz w:val="18"/>
                <w:szCs w:val="18"/>
                <w:vertAlign w:val="superscript"/>
                <w:lang w:val="en-US"/>
              </w:rPr>
            </w:pPr>
            <w:r w:rsidRPr="009F676B">
              <w:rPr>
                <w:rFonts w:ascii="Arial" w:eastAsia="MS PGothic" w:hAnsi="Arial" w:cs="Arial"/>
                <w:b/>
                <w:sz w:val="18"/>
                <w:szCs w:val="18"/>
                <w:lang w:val="en-US"/>
              </w:rPr>
              <w:t>Compound</w:t>
            </w:r>
            <w:r w:rsidRPr="009F676B">
              <w:rPr>
                <w:rFonts w:ascii="Arial" w:eastAsia="MS PGothic" w:hAnsi="Arial" w:cs="Arial"/>
                <w:b/>
                <w:sz w:val="18"/>
                <w:szCs w:val="18"/>
                <w:vertAlign w:val="superscript"/>
                <w:lang w:val="en-US"/>
              </w:rPr>
              <w:t>2</w:t>
            </w:r>
          </w:p>
        </w:tc>
        <w:bookmarkStart w:id="3" w:name="_GoBack"/>
        <w:bookmarkEnd w:id="3"/>
      </w:tr>
      <w:tr w:rsidR="009F676B" w:rsidRPr="009F676B" w:rsidTr="009F676B">
        <w:trPr>
          <w:trHeight w:val="397"/>
        </w:trPr>
        <w:tc>
          <w:tcPr>
            <w:tcW w:w="1531" w:type="dxa"/>
            <w:tcBorders>
              <w:top w:val="single" w:sz="4" w:space="0" w:color="auto"/>
              <w:left w:val="nil"/>
              <w:right w:val="nil"/>
            </w:tcBorders>
            <w:shd w:val="clear" w:color="auto" w:fill="auto"/>
            <w:noWrap/>
            <w:vAlign w:val="center"/>
          </w:tcPr>
          <w:p w:rsidR="009F676B" w:rsidRPr="009F676B" w:rsidRDefault="009F676B" w:rsidP="00984373">
            <w:pPr>
              <w:spacing w:line="240" w:lineRule="auto"/>
              <w:rPr>
                <w:rFonts w:ascii="Arial" w:eastAsia="MS PGothic" w:hAnsi="Arial" w:cs="Arial"/>
                <w:b/>
                <w:sz w:val="18"/>
                <w:szCs w:val="18"/>
                <w:lang w:val="en-US"/>
              </w:rPr>
            </w:pPr>
            <w:r w:rsidRPr="009F676B">
              <w:rPr>
                <w:rFonts w:ascii="Arial" w:eastAsia="MS PGothic" w:hAnsi="Arial" w:cs="Arial"/>
                <w:color w:val="000000"/>
                <w:sz w:val="18"/>
                <w:szCs w:val="18"/>
              </w:rPr>
              <w:t>Camphor-sulfonic acid</w:t>
            </w:r>
          </w:p>
        </w:tc>
        <w:tc>
          <w:tcPr>
            <w:tcW w:w="1531" w:type="dxa"/>
            <w:tcBorders>
              <w:top w:val="single" w:sz="4" w:space="0" w:color="auto"/>
              <w:left w:val="nil"/>
              <w:right w:val="single" w:sz="4" w:space="0" w:color="auto"/>
            </w:tcBorders>
            <w:shd w:val="clear" w:color="auto" w:fill="auto"/>
            <w:noWrap/>
            <w:vAlign w:val="center"/>
          </w:tcPr>
          <w:p w:rsidR="009F676B" w:rsidRPr="009F676B" w:rsidRDefault="009F676B" w:rsidP="00984373">
            <w:pPr>
              <w:spacing w:line="240" w:lineRule="auto"/>
              <w:rPr>
                <w:rFonts w:ascii="Arial" w:eastAsia="MS PGothic" w:hAnsi="Arial" w:cs="Arial"/>
                <w:sz w:val="18"/>
                <w:szCs w:val="18"/>
                <w:lang w:val="en-US"/>
              </w:rPr>
            </w:pPr>
            <w:r w:rsidRPr="009F676B">
              <w:rPr>
                <w:rFonts w:ascii="Arial" w:eastAsia="MS PGothic" w:hAnsi="Arial" w:cs="Arial"/>
                <w:color w:val="000000"/>
                <w:sz w:val="18"/>
                <w:szCs w:val="18"/>
              </w:rPr>
              <w:t>Thymidine</w:t>
            </w:r>
          </w:p>
        </w:tc>
        <w:tc>
          <w:tcPr>
            <w:tcW w:w="1531" w:type="dxa"/>
            <w:tcBorders>
              <w:top w:val="nil"/>
              <w:left w:val="single" w:sz="4" w:space="0" w:color="auto"/>
              <w:right w:val="nil"/>
            </w:tcBorders>
            <w:shd w:val="clear" w:color="auto" w:fill="auto"/>
            <w:noWrap/>
            <w:vAlign w:val="center"/>
          </w:tcPr>
          <w:p w:rsidR="009F676B" w:rsidRPr="009F676B" w:rsidRDefault="009F676B" w:rsidP="00984373">
            <w:pPr>
              <w:spacing w:line="240" w:lineRule="auto"/>
              <w:rPr>
                <w:rFonts w:ascii="Arial" w:eastAsia="MS PGothic" w:hAnsi="Arial" w:cs="Arial"/>
                <w:sz w:val="18"/>
                <w:szCs w:val="18"/>
                <w:lang w:val="en-US"/>
              </w:rPr>
            </w:pPr>
            <w:r w:rsidRPr="009F676B">
              <w:rPr>
                <w:rFonts w:ascii="Arial" w:eastAsia="MS PGothic" w:hAnsi="Arial" w:cs="Arial"/>
                <w:color w:val="000000"/>
                <w:sz w:val="18"/>
                <w:szCs w:val="18"/>
              </w:rPr>
              <w:t>Arginine</w:t>
            </w:r>
          </w:p>
        </w:tc>
        <w:tc>
          <w:tcPr>
            <w:tcW w:w="1531" w:type="dxa"/>
            <w:tcBorders>
              <w:top w:val="nil"/>
              <w:left w:val="nil"/>
              <w:right w:val="nil"/>
            </w:tcBorders>
            <w:shd w:val="clear" w:color="auto" w:fill="auto"/>
            <w:noWrap/>
            <w:vAlign w:val="center"/>
          </w:tcPr>
          <w:p w:rsidR="009F676B" w:rsidRPr="009F676B" w:rsidRDefault="009F676B" w:rsidP="00984373">
            <w:pPr>
              <w:spacing w:line="240" w:lineRule="auto"/>
              <w:rPr>
                <w:rFonts w:ascii="Arial" w:eastAsia="MS PGothic" w:hAnsi="Arial" w:cs="Arial"/>
                <w:sz w:val="18"/>
                <w:szCs w:val="18"/>
                <w:lang w:val="en-US"/>
              </w:rPr>
            </w:pPr>
            <w:r w:rsidRPr="009F676B">
              <w:rPr>
                <w:rFonts w:ascii="Arial" w:eastAsia="MS PGothic" w:hAnsi="Arial" w:cs="Arial"/>
                <w:color w:val="000000"/>
                <w:sz w:val="18"/>
                <w:szCs w:val="18"/>
              </w:rPr>
              <w:t>Phenylalanine</w:t>
            </w:r>
          </w:p>
        </w:tc>
        <w:tc>
          <w:tcPr>
            <w:tcW w:w="1531" w:type="dxa"/>
            <w:tcBorders>
              <w:top w:val="nil"/>
              <w:left w:val="nil"/>
              <w:right w:val="nil"/>
            </w:tcBorders>
            <w:shd w:val="clear" w:color="auto" w:fill="auto"/>
            <w:noWrap/>
            <w:vAlign w:val="center"/>
          </w:tcPr>
          <w:p w:rsidR="009F676B" w:rsidRPr="009F676B" w:rsidRDefault="009F676B" w:rsidP="00984373">
            <w:pPr>
              <w:spacing w:line="240" w:lineRule="auto"/>
              <w:rPr>
                <w:rFonts w:ascii="Arial" w:eastAsia="MS PGothic" w:hAnsi="Arial" w:cs="Arial"/>
                <w:sz w:val="18"/>
                <w:szCs w:val="18"/>
                <w:lang w:val="en-US"/>
              </w:rPr>
            </w:pPr>
            <w:r w:rsidRPr="009F676B">
              <w:rPr>
                <w:rFonts w:ascii="Arial" w:eastAsia="MS PGothic" w:hAnsi="Arial" w:cs="Arial"/>
                <w:color w:val="000000"/>
                <w:sz w:val="18"/>
                <w:szCs w:val="18"/>
              </w:rPr>
              <w:t>F1P</w:t>
            </w:r>
          </w:p>
        </w:tc>
        <w:tc>
          <w:tcPr>
            <w:tcW w:w="1531" w:type="dxa"/>
            <w:tcBorders>
              <w:top w:val="nil"/>
              <w:left w:val="nil"/>
              <w:right w:val="nil"/>
            </w:tcBorders>
            <w:vAlign w:val="center"/>
          </w:tcPr>
          <w:p w:rsidR="009F676B" w:rsidRPr="009F676B" w:rsidRDefault="009F676B" w:rsidP="00984373">
            <w:pPr>
              <w:spacing w:line="240" w:lineRule="auto"/>
              <w:rPr>
                <w:rFonts w:ascii="Arial" w:eastAsia="MS PGothic" w:hAnsi="Arial" w:cs="Arial"/>
                <w:color w:val="000000"/>
                <w:sz w:val="18"/>
                <w:szCs w:val="18"/>
              </w:rPr>
            </w:pPr>
            <w:r w:rsidRPr="009F676B">
              <w:rPr>
                <w:rFonts w:ascii="Arial" w:eastAsia="MS PGothic" w:hAnsi="Arial" w:cs="Arial"/>
                <w:color w:val="000000"/>
                <w:sz w:val="18"/>
                <w:szCs w:val="18"/>
              </w:rPr>
              <w:t>6-Phospho-gluconate</w:t>
            </w:r>
          </w:p>
        </w:tc>
      </w:tr>
      <w:tr w:rsidR="009F676B" w:rsidRPr="009F676B" w:rsidTr="009F676B">
        <w:trPr>
          <w:trHeight w:val="397"/>
        </w:trPr>
        <w:tc>
          <w:tcPr>
            <w:tcW w:w="1531" w:type="dxa"/>
            <w:tcBorders>
              <w:top w:val="nil"/>
              <w:left w:val="nil"/>
              <w:bottom w:val="nil"/>
              <w:right w:val="nil"/>
            </w:tcBorders>
            <w:shd w:val="clear" w:color="auto" w:fill="D9D9D9" w:themeFill="background1" w:themeFillShade="D9"/>
            <w:noWrap/>
            <w:vAlign w:val="center"/>
          </w:tcPr>
          <w:p w:rsidR="009F676B" w:rsidRPr="009F676B" w:rsidRDefault="009F676B" w:rsidP="00984373">
            <w:pPr>
              <w:spacing w:line="240" w:lineRule="auto"/>
              <w:rPr>
                <w:rFonts w:ascii="Arial" w:eastAsia="MS PGothic" w:hAnsi="Arial" w:cs="Arial"/>
                <w:b/>
                <w:sz w:val="18"/>
                <w:szCs w:val="18"/>
                <w:lang w:val="en-US"/>
              </w:rPr>
            </w:pPr>
            <w:r w:rsidRPr="009F676B">
              <w:rPr>
                <w:rFonts w:ascii="Arial" w:eastAsia="MS PGothic" w:hAnsi="Arial" w:cs="Arial"/>
                <w:color w:val="000000"/>
                <w:sz w:val="18"/>
                <w:szCs w:val="18"/>
              </w:rPr>
              <w:t>Adenine</w:t>
            </w:r>
          </w:p>
        </w:tc>
        <w:tc>
          <w:tcPr>
            <w:tcW w:w="1531" w:type="dxa"/>
            <w:tcBorders>
              <w:top w:val="nil"/>
              <w:left w:val="nil"/>
              <w:bottom w:val="nil"/>
              <w:right w:val="single" w:sz="4" w:space="0" w:color="auto"/>
            </w:tcBorders>
            <w:shd w:val="clear" w:color="auto" w:fill="D9D9D9" w:themeFill="background1" w:themeFillShade="D9"/>
            <w:noWrap/>
            <w:vAlign w:val="center"/>
          </w:tcPr>
          <w:p w:rsidR="009F676B" w:rsidRPr="009F676B" w:rsidRDefault="009F676B" w:rsidP="00984373">
            <w:pPr>
              <w:spacing w:line="240" w:lineRule="auto"/>
              <w:rPr>
                <w:rFonts w:ascii="Arial" w:eastAsia="MS PGothic" w:hAnsi="Arial" w:cs="Arial"/>
                <w:sz w:val="18"/>
                <w:szCs w:val="18"/>
                <w:lang w:val="en-US"/>
              </w:rPr>
            </w:pPr>
            <w:r w:rsidRPr="009F676B">
              <w:rPr>
                <w:rFonts w:ascii="Arial" w:eastAsia="MS PGothic" w:hAnsi="Arial" w:cs="Arial"/>
                <w:color w:val="000000"/>
                <w:sz w:val="18"/>
                <w:szCs w:val="18"/>
              </w:rPr>
              <w:t>Thymine</w:t>
            </w:r>
          </w:p>
        </w:tc>
        <w:tc>
          <w:tcPr>
            <w:tcW w:w="1531" w:type="dxa"/>
            <w:tcBorders>
              <w:top w:val="nil"/>
              <w:left w:val="single" w:sz="4" w:space="0" w:color="auto"/>
              <w:bottom w:val="nil"/>
              <w:right w:val="nil"/>
            </w:tcBorders>
            <w:shd w:val="clear" w:color="auto" w:fill="auto"/>
            <w:noWrap/>
            <w:vAlign w:val="center"/>
          </w:tcPr>
          <w:p w:rsidR="009F676B" w:rsidRPr="009F676B" w:rsidRDefault="009F676B" w:rsidP="00984373">
            <w:pPr>
              <w:spacing w:line="240" w:lineRule="auto"/>
              <w:rPr>
                <w:rFonts w:ascii="Arial" w:eastAsia="MS PGothic" w:hAnsi="Arial" w:cs="Arial"/>
                <w:sz w:val="18"/>
                <w:szCs w:val="18"/>
                <w:lang w:val="en-US"/>
              </w:rPr>
            </w:pPr>
            <w:r w:rsidRPr="009F676B">
              <w:rPr>
                <w:rFonts w:ascii="Arial" w:eastAsia="MS PGothic" w:hAnsi="Arial" w:cs="Arial"/>
                <w:color w:val="000000"/>
                <w:sz w:val="18"/>
                <w:szCs w:val="18"/>
              </w:rPr>
              <w:t>Histidine</w:t>
            </w:r>
          </w:p>
        </w:tc>
        <w:tc>
          <w:tcPr>
            <w:tcW w:w="1531" w:type="dxa"/>
            <w:tcBorders>
              <w:top w:val="nil"/>
              <w:left w:val="nil"/>
              <w:bottom w:val="nil"/>
              <w:right w:val="nil"/>
            </w:tcBorders>
            <w:shd w:val="clear" w:color="auto" w:fill="auto"/>
            <w:noWrap/>
            <w:vAlign w:val="center"/>
          </w:tcPr>
          <w:p w:rsidR="009F676B" w:rsidRPr="009F676B" w:rsidRDefault="009F676B" w:rsidP="00984373">
            <w:pPr>
              <w:spacing w:line="240" w:lineRule="auto"/>
              <w:rPr>
                <w:rFonts w:ascii="Arial" w:eastAsia="MS PGothic" w:hAnsi="Arial" w:cs="Arial"/>
                <w:sz w:val="18"/>
                <w:szCs w:val="18"/>
                <w:lang w:val="en-US"/>
              </w:rPr>
            </w:pPr>
            <w:r w:rsidRPr="009F676B">
              <w:rPr>
                <w:rFonts w:ascii="Arial" w:eastAsia="MS PGothic" w:hAnsi="Arial" w:cs="Arial"/>
                <w:color w:val="000000"/>
                <w:sz w:val="18"/>
                <w:szCs w:val="18"/>
              </w:rPr>
              <w:t>Thymidine</w:t>
            </w:r>
          </w:p>
        </w:tc>
        <w:tc>
          <w:tcPr>
            <w:tcW w:w="1531" w:type="dxa"/>
            <w:tcBorders>
              <w:top w:val="nil"/>
              <w:left w:val="nil"/>
              <w:bottom w:val="nil"/>
              <w:right w:val="nil"/>
            </w:tcBorders>
            <w:shd w:val="clear" w:color="auto" w:fill="auto"/>
            <w:noWrap/>
            <w:vAlign w:val="center"/>
          </w:tcPr>
          <w:p w:rsidR="009F676B" w:rsidRPr="009F676B" w:rsidRDefault="009F676B" w:rsidP="00984373">
            <w:pPr>
              <w:spacing w:line="240" w:lineRule="auto"/>
              <w:rPr>
                <w:rFonts w:ascii="Arial" w:eastAsia="MS PGothic" w:hAnsi="Arial" w:cs="Arial"/>
                <w:sz w:val="18"/>
                <w:szCs w:val="18"/>
                <w:lang w:val="en-US"/>
              </w:rPr>
            </w:pPr>
            <w:r w:rsidRPr="009F676B">
              <w:rPr>
                <w:rFonts w:ascii="Arial" w:eastAsia="MS PGothic" w:hAnsi="Arial" w:cs="Arial"/>
                <w:color w:val="000000"/>
                <w:sz w:val="18"/>
                <w:szCs w:val="18"/>
              </w:rPr>
              <w:t>MEP</w:t>
            </w:r>
          </w:p>
        </w:tc>
        <w:tc>
          <w:tcPr>
            <w:tcW w:w="1531" w:type="dxa"/>
            <w:tcBorders>
              <w:top w:val="nil"/>
              <w:left w:val="nil"/>
              <w:bottom w:val="nil"/>
              <w:right w:val="nil"/>
            </w:tcBorders>
            <w:vAlign w:val="center"/>
          </w:tcPr>
          <w:p w:rsidR="009F676B" w:rsidRPr="009F676B" w:rsidRDefault="009F676B" w:rsidP="00984373">
            <w:pPr>
              <w:spacing w:line="240" w:lineRule="auto"/>
              <w:rPr>
                <w:rFonts w:ascii="Arial" w:eastAsia="MS PGothic" w:hAnsi="Arial" w:cs="Arial"/>
                <w:color w:val="000000"/>
                <w:sz w:val="18"/>
                <w:szCs w:val="18"/>
              </w:rPr>
            </w:pPr>
            <w:proofErr w:type="spellStart"/>
            <w:r w:rsidRPr="009F676B">
              <w:rPr>
                <w:rFonts w:ascii="Arial" w:eastAsia="MS PGothic" w:hAnsi="Arial" w:cs="Arial"/>
                <w:color w:val="000000"/>
                <w:sz w:val="18"/>
                <w:szCs w:val="18"/>
              </w:rPr>
              <w:t>Oxalacetate</w:t>
            </w:r>
            <w:proofErr w:type="spellEnd"/>
          </w:p>
        </w:tc>
      </w:tr>
      <w:tr w:rsidR="009F676B" w:rsidRPr="009F676B" w:rsidTr="009F676B">
        <w:trPr>
          <w:trHeight w:val="397"/>
        </w:trPr>
        <w:tc>
          <w:tcPr>
            <w:tcW w:w="1531" w:type="dxa"/>
            <w:tcBorders>
              <w:top w:val="nil"/>
              <w:left w:val="nil"/>
              <w:right w:val="nil"/>
            </w:tcBorders>
            <w:shd w:val="clear" w:color="auto" w:fill="auto"/>
            <w:noWrap/>
            <w:vAlign w:val="center"/>
          </w:tcPr>
          <w:p w:rsidR="009F676B" w:rsidRPr="009F676B" w:rsidRDefault="009F676B" w:rsidP="00984373">
            <w:pPr>
              <w:spacing w:line="240" w:lineRule="auto"/>
              <w:rPr>
                <w:rFonts w:ascii="Arial" w:eastAsia="MS PGothic" w:hAnsi="Arial" w:cs="Arial"/>
                <w:b/>
                <w:sz w:val="18"/>
                <w:szCs w:val="18"/>
                <w:lang w:val="en-US"/>
              </w:rPr>
            </w:pPr>
            <w:r w:rsidRPr="009F676B">
              <w:rPr>
                <w:rFonts w:ascii="Arial" w:eastAsia="MS PGothic" w:hAnsi="Arial" w:cs="Arial"/>
                <w:color w:val="000000"/>
                <w:sz w:val="18"/>
                <w:szCs w:val="18"/>
              </w:rPr>
              <w:t>Adenosine</w:t>
            </w:r>
          </w:p>
        </w:tc>
        <w:tc>
          <w:tcPr>
            <w:tcW w:w="1531" w:type="dxa"/>
            <w:tcBorders>
              <w:top w:val="nil"/>
              <w:left w:val="nil"/>
              <w:right w:val="single" w:sz="4" w:space="0" w:color="auto"/>
            </w:tcBorders>
            <w:shd w:val="clear" w:color="auto" w:fill="auto"/>
            <w:noWrap/>
            <w:vAlign w:val="center"/>
          </w:tcPr>
          <w:p w:rsidR="009F676B" w:rsidRPr="009F676B" w:rsidRDefault="009F676B" w:rsidP="00984373">
            <w:pPr>
              <w:spacing w:line="240" w:lineRule="auto"/>
              <w:rPr>
                <w:rFonts w:ascii="Arial" w:eastAsia="MS PGothic" w:hAnsi="Arial" w:cs="Arial"/>
                <w:sz w:val="18"/>
                <w:szCs w:val="18"/>
                <w:lang w:val="en-US"/>
              </w:rPr>
            </w:pPr>
            <w:r w:rsidRPr="009F676B">
              <w:rPr>
                <w:rFonts w:ascii="Arial" w:eastAsia="MS PGothic" w:hAnsi="Arial" w:cs="Arial"/>
                <w:color w:val="000000"/>
                <w:sz w:val="18"/>
                <w:szCs w:val="18"/>
              </w:rPr>
              <w:t>Tryptophan</w:t>
            </w:r>
          </w:p>
        </w:tc>
        <w:tc>
          <w:tcPr>
            <w:tcW w:w="1531" w:type="dxa"/>
            <w:tcBorders>
              <w:top w:val="nil"/>
              <w:left w:val="single" w:sz="4" w:space="0" w:color="auto"/>
              <w:right w:val="nil"/>
            </w:tcBorders>
            <w:shd w:val="clear" w:color="auto" w:fill="auto"/>
            <w:noWrap/>
            <w:vAlign w:val="center"/>
          </w:tcPr>
          <w:p w:rsidR="009F676B" w:rsidRPr="009F676B" w:rsidRDefault="009F676B" w:rsidP="00984373">
            <w:pPr>
              <w:spacing w:line="240" w:lineRule="auto"/>
              <w:rPr>
                <w:rFonts w:ascii="Arial" w:eastAsia="MS PGothic" w:hAnsi="Arial" w:cs="Arial"/>
                <w:sz w:val="18"/>
                <w:szCs w:val="18"/>
                <w:lang w:val="en-US"/>
              </w:rPr>
            </w:pPr>
            <w:r w:rsidRPr="009F676B">
              <w:rPr>
                <w:rFonts w:ascii="Arial" w:eastAsia="MS PGothic" w:hAnsi="Arial" w:cs="Arial"/>
                <w:color w:val="000000"/>
                <w:sz w:val="18"/>
                <w:szCs w:val="18"/>
              </w:rPr>
              <w:t>4-Amino-butyrate</w:t>
            </w:r>
          </w:p>
        </w:tc>
        <w:tc>
          <w:tcPr>
            <w:tcW w:w="1531" w:type="dxa"/>
            <w:tcBorders>
              <w:top w:val="nil"/>
              <w:left w:val="nil"/>
              <w:right w:val="nil"/>
            </w:tcBorders>
            <w:shd w:val="clear" w:color="auto" w:fill="auto"/>
            <w:noWrap/>
            <w:vAlign w:val="center"/>
          </w:tcPr>
          <w:p w:rsidR="009F676B" w:rsidRPr="009F676B" w:rsidRDefault="009F676B" w:rsidP="00984373">
            <w:pPr>
              <w:spacing w:line="240" w:lineRule="auto"/>
              <w:rPr>
                <w:rFonts w:ascii="Arial" w:eastAsia="MS PGothic" w:hAnsi="Arial" w:cs="Arial"/>
                <w:sz w:val="18"/>
                <w:szCs w:val="18"/>
                <w:lang w:val="en-US"/>
              </w:rPr>
            </w:pPr>
            <w:r w:rsidRPr="009F676B">
              <w:rPr>
                <w:rFonts w:ascii="Arial" w:eastAsia="MS PGothic" w:hAnsi="Arial" w:cs="Arial"/>
                <w:color w:val="000000"/>
                <w:sz w:val="18"/>
                <w:szCs w:val="18"/>
              </w:rPr>
              <w:t xml:space="preserve">Amino </w:t>
            </w:r>
            <w:proofErr w:type="spellStart"/>
            <w:r w:rsidRPr="009F676B">
              <w:rPr>
                <w:rFonts w:ascii="Arial" w:eastAsia="MS PGothic" w:hAnsi="Arial" w:cs="Arial"/>
                <w:color w:val="000000"/>
                <w:sz w:val="18"/>
                <w:szCs w:val="18"/>
              </w:rPr>
              <w:t>adipic</w:t>
            </w:r>
            <w:proofErr w:type="spellEnd"/>
            <w:r w:rsidRPr="009F676B">
              <w:rPr>
                <w:rFonts w:ascii="Arial" w:eastAsia="MS PGothic" w:hAnsi="Arial" w:cs="Arial"/>
                <w:color w:val="000000"/>
                <w:sz w:val="18"/>
                <w:szCs w:val="18"/>
              </w:rPr>
              <w:t xml:space="preserve"> acid</w:t>
            </w:r>
          </w:p>
        </w:tc>
        <w:tc>
          <w:tcPr>
            <w:tcW w:w="1531" w:type="dxa"/>
            <w:tcBorders>
              <w:top w:val="nil"/>
              <w:left w:val="nil"/>
              <w:right w:val="nil"/>
            </w:tcBorders>
            <w:shd w:val="clear" w:color="auto" w:fill="auto"/>
            <w:noWrap/>
            <w:vAlign w:val="center"/>
          </w:tcPr>
          <w:p w:rsidR="009F676B" w:rsidRPr="009F676B" w:rsidRDefault="009F676B" w:rsidP="00984373">
            <w:pPr>
              <w:spacing w:line="240" w:lineRule="auto"/>
              <w:rPr>
                <w:rFonts w:ascii="Arial" w:eastAsia="MS PGothic" w:hAnsi="Arial" w:cs="Arial"/>
                <w:sz w:val="18"/>
                <w:szCs w:val="18"/>
                <w:lang w:val="en-US"/>
              </w:rPr>
            </w:pPr>
            <w:r w:rsidRPr="009F676B">
              <w:rPr>
                <w:rFonts w:ascii="Arial" w:eastAsia="MS PGothic" w:hAnsi="Arial" w:cs="Arial"/>
                <w:color w:val="000000"/>
                <w:sz w:val="18"/>
                <w:szCs w:val="18"/>
              </w:rPr>
              <w:t>Pyruvate</w:t>
            </w:r>
          </w:p>
        </w:tc>
        <w:tc>
          <w:tcPr>
            <w:tcW w:w="1531" w:type="dxa"/>
            <w:tcBorders>
              <w:top w:val="nil"/>
              <w:left w:val="nil"/>
              <w:right w:val="nil"/>
            </w:tcBorders>
            <w:vAlign w:val="center"/>
          </w:tcPr>
          <w:p w:rsidR="009F676B" w:rsidRPr="009F676B" w:rsidRDefault="009F676B" w:rsidP="00984373">
            <w:pPr>
              <w:spacing w:line="240" w:lineRule="auto"/>
              <w:rPr>
                <w:rFonts w:ascii="Arial" w:eastAsia="MS PGothic" w:hAnsi="Arial" w:cs="Arial"/>
                <w:color w:val="000000"/>
                <w:sz w:val="18"/>
                <w:szCs w:val="18"/>
              </w:rPr>
            </w:pPr>
            <w:proofErr w:type="spellStart"/>
            <w:r w:rsidRPr="009F676B">
              <w:rPr>
                <w:rFonts w:ascii="Arial" w:eastAsia="MS PGothic" w:hAnsi="Arial" w:cs="Arial"/>
                <w:color w:val="000000"/>
                <w:sz w:val="18"/>
                <w:szCs w:val="18"/>
              </w:rPr>
              <w:t>Isocitrate</w:t>
            </w:r>
            <w:proofErr w:type="spellEnd"/>
          </w:p>
        </w:tc>
      </w:tr>
      <w:tr w:rsidR="009F676B" w:rsidRPr="009F676B" w:rsidTr="009F676B">
        <w:trPr>
          <w:trHeight w:val="397"/>
        </w:trPr>
        <w:tc>
          <w:tcPr>
            <w:tcW w:w="1531" w:type="dxa"/>
            <w:tcBorders>
              <w:top w:val="nil"/>
              <w:left w:val="nil"/>
              <w:right w:val="nil"/>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r w:rsidRPr="009F676B">
              <w:rPr>
                <w:rFonts w:ascii="Arial" w:eastAsia="MS PGothic" w:hAnsi="Arial" w:cs="Arial"/>
                <w:color w:val="000000"/>
                <w:sz w:val="18"/>
                <w:szCs w:val="18"/>
              </w:rPr>
              <w:t>Alanine</w:t>
            </w:r>
          </w:p>
        </w:tc>
        <w:tc>
          <w:tcPr>
            <w:tcW w:w="1531" w:type="dxa"/>
            <w:tcBorders>
              <w:top w:val="nil"/>
              <w:left w:val="nil"/>
              <w:right w:val="single" w:sz="4" w:space="0" w:color="auto"/>
            </w:tcBorders>
            <w:shd w:val="clear" w:color="auto" w:fill="auto"/>
            <w:noWrap/>
            <w:vAlign w:val="center"/>
          </w:tcPr>
          <w:p w:rsidR="009F676B" w:rsidRPr="009F676B" w:rsidRDefault="009F676B" w:rsidP="00984373">
            <w:pPr>
              <w:spacing w:line="240" w:lineRule="auto"/>
              <w:rPr>
                <w:rFonts w:ascii="Arial" w:eastAsia="MS PGothic" w:hAnsi="Arial" w:cs="Arial"/>
                <w:sz w:val="18"/>
                <w:szCs w:val="18"/>
                <w:lang w:val="en-US"/>
              </w:rPr>
            </w:pPr>
            <w:r w:rsidRPr="009F676B">
              <w:rPr>
                <w:rFonts w:ascii="Arial" w:eastAsia="MS PGothic" w:hAnsi="Arial" w:cs="Arial"/>
                <w:color w:val="000000"/>
                <w:sz w:val="18"/>
                <w:szCs w:val="18"/>
              </w:rPr>
              <w:t>Tyrosine</w:t>
            </w:r>
          </w:p>
        </w:tc>
        <w:tc>
          <w:tcPr>
            <w:tcW w:w="1531" w:type="dxa"/>
            <w:tcBorders>
              <w:top w:val="nil"/>
              <w:left w:val="single" w:sz="4" w:space="0" w:color="auto"/>
              <w:right w:val="nil"/>
            </w:tcBorders>
            <w:shd w:val="clear" w:color="auto" w:fill="auto"/>
            <w:noWrap/>
            <w:vAlign w:val="center"/>
          </w:tcPr>
          <w:p w:rsidR="009F676B" w:rsidRPr="009F676B" w:rsidRDefault="009F676B" w:rsidP="00984373">
            <w:pPr>
              <w:spacing w:line="240" w:lineRule="auto"/>
              <w:rPr>
                <w:rFonts w:ascii="Arial" w:eastAsia="MS PGothic" w:hAnsi="Arial" w:cs="Arial"/>
                <w:sz w:val="18"/>
                <w:szCs w:val="18"/>
                <w:lang w:val="en-US"/>
              </w:rPr>
            </w:pPr>
            <w:r w:rsidRPr="009F676B">
              <w:rPr>
                <w:rFonts w:ascii="Arial" w:eastAsia="MS PGothic" w:hAnsi="Arial" w:cs="Arial"/>
                <w:color w:val="000000"/>
                <w:sz w:val="18"/>
                <w:szCs w:val="18"/>
              </w:rPr>
              <w:t>Serine</w:t>
            </w:r>
          </w:p>
        </w:tc>
        <w:tc>
          <w:tcPr>
            <w:tcW w:w="1531" w:type="dxa"/>
            <w:tcBorders>
              <w:top w:val="nil"/>
              <w:left w:val="nil"/>
              <w:right w:val="nil"/>
            </w:tcBorders>
            <w:shd w:val="clear" w:color="auto" w:fill="auto"/>
            <w:noWrap/>
            <w:vAlign w:val="center"/>
          </w:tcPr>
          <w:p w:rsidR="009F676B" w:rsidRPr="009F676B" w:rsidRDefault="009F676B" w:rsidP="00984373">
            <w:pPr>
              <w:spacing w:line="240" w:lineRule="auto"/>
              <w:rPr>
                <w:rFonts w:ascii="Arial" w:eastAsia="MS PGothic" w:hAnsi="Arial" w:cs="Arial"/>
                <w:sz w:val="18"/>
                <w:szCs w:val="18"/>
                <w:lang w:val="en-US"/>
              </w:rPr>
            </w:pPr>
            <w:r w:rsidRPr="009F676B">
              <w:rPr>
                <w:rFonts w:ascii="Arial" w:eastAsia="MS PGothic" w:hAnsi="Arial" w:cs="Arial"/>
                <w:color w:val="000000"/>
                <w:sz w:val="18"/>
                <w:szCs w:val="18"/>
              </w:rPr>
              <w:t>Shikimate</w:t>
            </w:r>
          </w:p>
        </w:tc>
        <w:tc>
          <w:tcPr>
            <w:tcW w:w="1531" w:type="dxa"/>
            <w:tcBorders>
              <w:top w:val="nil"/>
              <w:left w:val="nil"/>
              <w:right w:val="nil"/>
            </w:tcBorders>
            <w:shd w:val="clear" w:color="auto" w:fill="auto"/>
            <w:noWrap/>
            <w:vAlign w:val="center"/>
          </w:tcPr>
          <w:p w:rsidR="009F676B" w:rsidRPr="009F676B" w:rsidRDefault="009F676B" w:rsidP="00984373">
            <w:pPr>
              <w:spacing w:line="240" w:lineRule="auto"/>
              <w:rPr>
                <w:rFonts w:ascii="Arial" w:eastAsia="MS PGothic" w:hAnsi="Arial" w:cs="Arial"/>
                <w:sz w:val="18"/>
                <w:szCs w:val="18"/>
                <w:lang w:val="en-US"/>
              </w:rPr>
            </w:pPr>
            <w:r w:rsidRPr="009F676B">
              <w:rPr>
                <w:rFonts w:ascii="Arial" w:eastAsia="MS PGothic" w:hAnsi="Arial" w:cs="Arial"/>
                <w:color w:val="000000"/>
                <w:sz w:val="18"/>
                <w:szCs w:val="18"/>
              </w:rPr>
              <w:t>DHAP</w:t>
            </w:r>
          </w:p>
        </w:tc>
        <w:tc>
          <w:tcPr>
            <w:tcW w:w="1531" w:type="dxa"/>
            <w:tcBorders>
              <w:top w:val="nil"/>
              <w:left w:val="nil"/>
              <w:right w:val="nil"/>
            </w:tcBorders>
            <w:vAlign w:val="center"/>
          </w:tcPr>
          <w:p w:rsidR="009F676B" w:rsidRPr="009F676B" w:rsidRDefault="009F676B" w:rsidP="00984373">
            <w:pPr>
              <w:spacing w:line="240" w:lineRule="auto"/>
              <w:rPr>
                <w:rFonts w:ascii="Arial" w:eastAsia="MS PGothic" w:hAnsi="Arial" w:cs="Arial"/>
                <w:color w:val="000000"/>
                <w:sz w:val="18"/>
                <w:szCs w:val="18"/>
              </w:rPr>
            </w:pPr>
            <w:proofErr w:type="spellStart"/>
            <w:r w:rsidRPr="009F676B">
              <w:rPr>
                <w:rFonts w:ascii="Arial" w:eastAsia="MS PGothic" w:hAnsi="Arial" w:cs="Arial"/>
                <w:color w:val="000000"/>
                <w:sz w:val="18"/>
                <w:szCs w:val="18"/>
              </w:rPr>
              <w:t>RuBP</w:t>
            </w:r>
            <w:proofErr w:type="spellEnd"/>
          </w:p>
        </w:tc>
      </w:tr>
      <w:tr w:rsidR="009F676B" w:rsidRPr="009F676B" w:rsidTr="009F676B">
        <w:trPr>
          <w:trHeight w:val="397"/>
        </w:trPr>
        <w:tc>
          <w:tcPr>
            <w:tcW w:w="1531" w:type="dxa"/>
            <w:tcBorders>
              <w:left w:val="nil"/>
              <w:right w:val="nil"/>
            </w:tcBorders>
            <w:shd w:val="clear" w:color="auto" w:fill="auto"/>
            <w:noWrap/>
            <w:vAlign w:val="center"/>
          </w:tcPr>
          <w:p w:rsidR="009F676B" w:rsidRPr="009F676B" w:rsidRDefault="009F676B" w:rsidP="00984373">
            <w:pPr>
              <w:spacing w:line="240" w:lineRule="auto"/>
              <w:rPr>
                <w:rFonts w:ascii="Arial" w:eastAsia="MS PGothic" w:hAnsi="Arial" w:cs="Arial"/>
                <w:b/>
                <w:sz w:val="18"/>
                <w:szCs w:val="18"/>
                <w:lang w:val="en-US"/>
              </w:rPr>
            </w:pPr>
            <w:r w:rsidRPr="009F676B">
              <w:rPr>
                <w:rFonts w:ascii="Arial" w:eastAsia="MS PGothic" w:hAnsi="Arial" w:cs="Arial"/>
                <w:color w:val="000000"/>
                <w:sz w:val="18"/>
                <w:szCs w:val="18"/>
              </w:rPr>
              <w:t>Arginine</w:t>
            </w:r>
          </w:p>
        </w:tc>
        <w:tc>
          <w:tcPr>
            <w:tcW w:w="1531" w:type="dxa"/>
            <w:tcBorders>
              <w:left w:val="nil"/>
              <w:right w:val="single" w:sz="4" w:space="0" w:color="auto"/>
            </w:tcBorders>
            <w:shd w:val="clear" w:color="auto" w:fill="D9D9D9" w:themeFill="background1" w:themeFillShade="D9"/>
            <w:noWrap/>
            <w:vAlign w:val="center"/>
          </w:tcPr>
          <w:p w:rsidR="009F676B" w:rsidRPr="009F676B" w:rsidRDefault="009F676B" w:rsidP="00984373">
            <w:pPr>
              <w:spacing w:line="240" w:lineRule="auto"/>
              <w:rPr>
                <w:rFonts w:ascii="Arial" w:eastAsia="MS PGothic" w:hAnsi="Arial" w:cs="Arial"/>
                <w:sz w:val="18"/>
                <w:szCs w:val="18"/>
                <w:lang w:val="en-US"/>
              </w:rPr>
            </w:pPr>
            <w:r w:rsidRPr="009F676B">
              <w:rPr>
                <w:rFonts w:ascii="Arial" w:eastAsia="MS PGothic" w:hAnsi="Arial" w:cs="Arial"/>
                <w:color w:val="000000"/>
                <w:sz w:val="18"/>
                <w:szCs w:val="18"/>
              </w:rPr>
              <w:t>Uracil</w:t>
            </w:r>
          </w:p>
        </w:tc>
        <w:tc>
          <w:tcPr>
            <w:tcW w:w="1531" w:type="dxa"/>
            <w:tcBorders>
              <w:left w:val="single" w:sz="4" w:space="0" w:color="auto"/>
              <w:right w:val="nil"/>
            </w:tcBorders>
            <w:shd w:val="clear" w:color="auto" w:fill="auto"/>
            <w:noWrap/>
            <w:vAlign w:val="center"/>
          </w:tcPr>
          <w:p w:rsidR="009F676B" w:rsidRPr="009F676B" w:rsidRDefault="009F676B" w:rsidP="00984373">
            <w:pPr>
              <w:spacing w:line="240" w:lineRule="auto"/>
              <w:rPr>
                <w:rFonts w:ascii="Arial" w:eastAsia="MS PGothic" w:hAnsi="Arial" w:cs="Arial"/>
                <w:sz w:val="18"/>
                <w:szCs w:val="18"/>
                <w:lang w:val="en-US"/>
              </w:rPr>
            </w:pPr>
            <w:r w:rsidRPr="009F676B">
              <w:rPr>
                <w:rFonts w:ascii="Arial" w:eastAsia="MS PGothic" w:hAnsi="Arial" w:cs="Arial"/>
                <w:color w:val="000000"/>
                <w:sz w:val="18"/>
                <w:szCs w:val="18"/>
              </w:rPr>
              <w:t>Asparagine</w:t>
            </w:r>
          </w:p>
        </w:tc>
        <w:tc>
          <w:tcPr>
            <w:tcW w:w="1531" w:type="dxa"/>
            <w:tcBorders>
              <w:left w:val="nil"/>
              <w:right w:val="nil"/>
            </w:tcBorders>
            <w:shd w:val="clear" w:color="auto" w:fill="auto"/>
            <w:noWrap/>
            <w:vAlign w:val="center"/>
          </w:tcPr>
          <w:p w:rsidR="009F676B" w:rsidRPr="009F676B" w:rsidRDefault="009F676B" w:rsidP="00984373">
            <w:pPr>
              <w:spacing w:line="240" w:lineRule="auto"/>
              <w:rPr>
                <w:rFonts w:ascii="Arial" w:eastAsia="MS PGothic" w:hAnsi="Arial" w:cs="Arial"/>
                <w:sz w:val="18"/>
                <w:szCs w:val="18"/>
                <w:lang w:val="en-US"/>
              </w:rPr>
            </w:pPr>
            <w:proofErr w:type="spellStart"/>
            <w:r w:rsidRPr="009F676B">
              <w:rPr>
                <w:rFonts w:ascii="Arial" w:eastAsia="MS PGothic" w:hAnsi="Arial" w:cs="Arial"/>
                <w:color w:val="000000"/>
                <w:sz w:val="18"/>
                <w:szCs w:val="18"/>
              </w:rPr>
              <w:t>Glycerate</w:t>
            </w:r>
            <w:proofErr w:type="spellEnd"/>
          </w:p>
        </w:tc>
        <w:tc>
          <w:tcPr>
            <w:tcW w:w="1531" w:type="dxa"/>
            <w:tcBorders>
              <w:left w:val="nil"/>
              <w:right w:val="nil"/>
            </w:tcBorders>
            <w:shd w:val="clear" w:color="auto" w:fill="auto"/>
            <w:noWrap/>
            <w:vAlign w:val="center"/>
          </w:tcPr>
          <w:p w:rsidR="009F676B" w:rsidRPr="009F676B" w:rsidRDefault="009F676B" w:rsidP="00984373">
            <w:pPr>
              <w:spacing w:line="240" w:lineRule="auto"/>
              <w:rPr>
                <w:rFonts w:ascii="Arial" w:eastAsia="MS PGothic" w:hAnsi="Arial" w:cs="Arial"/>
                <w:sz w:val="18"/>
                <w:szCs w:val="18"/>
                <w:lang w:val="en-US"/>
              </w:rPr>
            </w:pPr>
            <w:r w:rsidRPr="009F676B">
              <w:rPr>
                <w:rFonts w:ascii="Arial" w:eastAsia="MS PGothic" w:hAnsi="Arial" w:cs="Arial"/>
                <w:color w:val="000000"/>
                <w:sz w:val="18"/>
                <w:szCs w:val="18"/>
              </w:rPr>
              <w:t>UMP</w:t>
            </w:r>
          </w:p>
        </w:tc>
        <w:tc>
          <w:tcPr>
            <w:tcW w:w="1531" w:type="dxa"/>
            <w:tcBorders>
              <w:left w:val="nil"/>
              <w:right w:val="nil"/>
            </w:tcBorders>
            <w:vAlign w:val="center"/>
          </w:tcPr>
          <w:p w:rsidR="009F676B" w:rsidRPr="009F676B" w:rsidRDefault="009F676B" w:rsidP="00984373">
            <w:pPr>
              <w:spacing w:line="240" w:lineRule="auto"/>
              <w:rPr>
                <w:rFonts w:ascii="Arial" w:eastAsia="MS PGothic" w:hAnsi="Arial" w:cs="Arial"/>
                <w:color w:val="000000"/>
                <w:sz w:val="18"/>
                <w:szCs w:val="18"/>
              </w:rPr>
            </w:pPr>
            <w:r w:rsidRPr="009F676B">
              <w:rPr>
                <w:rFonts w:ascii="Arial" w:eastAsia="MS PGothic" w:hAnsi="Arial" w:cs="Arial"/>
                <w:color w:val="000000"/>
                <w:sz w:val="18"/>
                <w:szCs w:val="18"/>
              </w:rPr>
              <w:t>SBP</w:t>
            </w:r>
          </w:p>
        </w:tc>
      </w:tr>
      <w:tr w:rsidR="009F676B" w:rsidRPr="009F676B" w:rsidTr="009F676B">
        <w:trPr>
          <w:trHeight w:val="397"/>
        </w:trPr>
        <w:tc>
          <w:tcPr>
            <w:tcW w:w="1531" w:type="dxa"/>
            <w:tcBorders>
              <w:left w:val="nil"/>
              <w:right w:val="nil"/>
            </w:tcBorders>
            <w:shd w:val="clear" w:color="auto" w:fill="auto"/>
            <w:noWrap/>
            <w:vAlign w:val="center"/>
          </w:tcPr>
          <w:p w:rsidR="009F676B" w:rsidRPr="009F676B" w:rsidRDefault="009F676B" w:rsidP="00984373">
            <w:pPr>
              <w:spacing w:line="240" w:lineRule="auto"/>
              <w:rPr>
                <w:rFonts w:ascii="Arial" w:eastAsia="MS PGothic" w:hAnsi="Arial" w:cs="Arial"/>
                <w:b/>
                <w:sz w:val="18"/>
                <w:szCs w:val="18"/>
                <w:lang w:val="en-US"/>
              </w:rPr>
            </w:pPr>
            <w:r w:rsidRPr="009F676B">
              <w:rPr>
                <w:rFonts w:ascii="Arial" w:eastAsia="MS PGothic" w:hAnsi="Arial" w:cs="Arial"/>
                <w:color w:val="000000"/>
                <w:sz w:val="18"/>
                <w:szCs w:val="18"/>
              </w:rPr>
              <w:t>Asparagine</w:t>
            </w:r>
          </w:p>
        </w:tc>
        <w:tc>
          <w:tcPr>
            <w:tcW w:w="1531" w:type="dxa"/>
            <w:tcBorders>
              <w:left w:val="nil"/>
              <w:right w:val="single" w:sz="4" w:space="0" w:color="auto"/>
            </w:tcBorders>
            <w:shd w:val="clear" w:color="auto" w:fill="auto"/>
            <w:noWrap/>
            <w:vAlign w:val="center"/>
          </w:tcPr>
          <w:p w:rsidR="009F676B" w:rsidRPr="009F676B" w:rsidRDefault="009F676B" w:rsidP="00984373">
            <w:pPr>
              <w:spacing w:line="240" w:lineRule="auto"/>
              <w:rPr>
                <w:rFonts w:ascii="Arial" w:eastAsia="MS PGothic" w:hAnsi="Arial" w:cs="Arial"/>
                <w:sz w:val="18"/>
                <w:szCs w:val="18"/>
                <w:lang w:val="en-US"/>
              </w:rPr>
            </w:pPr>
            <w:r w:rsidRPr="009F676B">
              <w:rPr>
                <w:rFonts w:ascii="Arial" w:eastAsia="MS PGothic" w:hAnsi="Arial" w:cs="Arial"/>
                <w:color w:val="000000"/>
                <w:sz w:val="18"/>
                <w:szCs w:val="18"/>
              </w:rPr>
              <w:t>Uridine</w:t>
            </w:r>
          </w:p>
        </w:tc>
        <w:tc>
          <w:tcPr>
            <w:tcW w:w="1531" w:type="dxa"/>
            <w:tcBorders>
              <w:left w:val="single" w:sz="4" w:space="0" w:color="auto"/>
              <w:right w:val="nil"/>
            </w:tcBorders>
            <w:shd w:val="clear" w:color="auto" w:fill="auto"/>
            <w:noWrap/>
            <w:vAlign w:val="center"/>
          </w:tcPr>
          <w:p w:rsidR="009F676B" w:rsidRPr="009F676B" w:rsidRDefault="009F676B" w:rsidP="00984373">
            <w:pPr>
              <w:spacing w:line="240" w:lineRule="auto"/>
              <w:rPr>
                <w:rFonts w:ascii="Arial" w:eastAsia="MS PGothic" w:hAnsi="Arial" w:cs="Arial"/>
                <w:sz w:val="18"/>
                <w:szCs w:val="18"/>
                <w:lang w:val="en-US"/>
              </w:rPr>
            </w:pPr>
            <w:r w:rsidRPr="009F676B">
              <w:rPr>
                <w:rFonts w:ascii="Arial" w:eastAsia="MS PGothic" w:hAnsi="Arial" w:cs="Arial"/>
                <w:color w:val="000000"/>
                <w:sz w:val="18"/>
                <w:szCs w:val="18"/>
              </w:rPr>
              <w:t>Alanine</w:t>
            </w:r>
          </w:p>
        </w:tc>
        <w:tc>
          <w:tcPr>
            <w:tcW w:w="1531" w:type="dxa"/>
            <w:tcBorders>
              <w:left w:val="nil"/>
              <w:right w:val="nil"/>
            </w:tcBorders>
            <w:shd w:val="clear" w:color="auto" w:fill="auto"/>
            <w:noWrap/>
            <w:vAlign w:val="center"/>
          </w:tcPr>
          <w:p w:rsidR="009F676B" w:rsidRPr="009F676B" w:rsidRDefault="009F676B" w:rsidP="00984373">
            <w:pPr>
              <w:spacing w:line="240" w:lineRule="auto"/>
              <w:rPr>
                <w:rFonts w:ascii="Arial" w:eastAsia="MS PGothic" w:hAnsi="Arial" w:cs="Arial"/>
                <w:sz w:val="18"/>
                <w:szCs w:val="18"/>
                <w:lang w:val="en-US"/>
              </w:rPr>
            </w:pPr>
            <w:proofErr w:type="spellStart"/>
            <w:r w:rsidRPr="009F676B">
              <w:rPr>
                <w:rFonts w:ascii="Arial" w:eastAsia="MS PGothic" w:hAnsi="Arial" w:cs="Arial"/>
                <w:color w:val="000000"/>
                <w:sz w:val="18"/>
                <w:szCs w:val="18"/>
              </w:rPr>
              <w:t>Glycolate</w:t>
            </w:r>
            <w:proofErr w:type="spellEnd"/>
          </w:p>
        </w:tc>
        <w:tc>
          <w:tcPr>
            <w:tcW w:w="1531" w:type="dxa"/>
            <w:tcBorders>
              <w:left w:val="nil"/>
              <w:right w:val="nil"/>
            </w:tcBorders>
            <w:shd w:val="clear" w:color="auto" w:fill="auto"/>
            <w:noWrap/>
            <w:vAlign w:val="center"/>
          </w:tcPr>
          <w:p w:rsidR="009F676B" w:rsidRPr="009F676B" w:rsidRDefault="009F676B" w:rsidP="00984373">
            <w:pPr>
              <w:spacing w:line="240" w:lineRule="auto"/>
              <w:rPr>
                <w:rFonts w:ascii="Arial" w:eastAsia="MS PGothic" w:hAnsi="Arial" w:cs="Arial"/>
                <w:sz w:val="18"/>
                <w:szCs w:val="18"/>
                <w:lang w:val="en-US"/>
              </w:rPr>
            </w:pPr>
            <w:r w:rsidRPr="009F676B">
              <w:rPr>
                <w:rFonts w:ascii="Arial" w:eastAsia="MS PGothic" w:hAnsi="Arial" w:cs="Arial"/>
                <w:color w:val="000000"/>
                <w:sz w:val="18"/>
                <w:szCs w:val="18"/>
              </w:rPr>
              <w:t>GMP</w:t>
            </w:r>
          </w:p>
        </w:tc>
        <w:tc>
          <w:tcPr>
            <w:tcW w:w="1531" w:type="dxa"/>
            <w:tcBorders>
              <w:left w:val="nil"/>
              <w:right w:val="nil"/>
            </w:tcBorders>
            <w:vAlign w:val="center"/>
          </w:tcPr>
          <w:p w:rsidR="009F676B" w:rsidRPr="009F676B" w:rsidRDefault="009F676B" w:rsidP="00984373">
            <w:pPr>
              <w:spacing w:line="240" w:lineRule="auto"/>
              <w:rPr>
                <w:rFonts w:ascii="Arial" w:eastAsia="MS PGothic" w:hAnsi="Arial" w:cs="Arial"/>
                <w:color w:val="000000"/>
                <w:sz w:val="18"/>
                <w:szCs w:val="18"/>
              </w:rPr>
            </w:pPr>
            <w:r w:rsidRPr="009F676B">
              <w:rPr>
                <w:rFonts w:ascii="Arial" w:eastAsia="MS PGothic" w:hAnsi="Arial" w:cs="Arial"/>
                <w:color w:val="000000"/>
                <w:sz w:val="18"/>
                <w:szCs w:val="18"/>
              </w:rPr>
              <w:t>NADH</w:t>
            </w:r>
          </w:p>
        </w:tc>
      </w:tr>
      <w:tr w:rsidR="009F676B" w:rsidRPr="009F676B" w:rsidTr="009F676B">
        <w:trPr>
          <w:trHeight w:val="397"/>
        </w:trPr>
        <w:tc>
          <w:tcPr>
            <w:tcW w:w="1531" w:type="dxa"/>
            <w:tcBorders>
              <w:left w:val="nil"/>
              <w:right w:val="nil"/>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r w:rsidRPr="009F676B">
              <w:rPr>
                <w:rFonts w:ascii="Arial" w:eastAsia="MS PGothic" w:hAnsi="Arial" w:cs="Arial"/>
                <w:color w:val="000000"/>
                <w:sz w:val="18"/>
                <w:szCs w:val="18"/>
              </w:rPr>
              <w:t>Aspartic acid</w:t>
            </w:r>
          </w:p>
        </w:tc>
        <w:tc>
          <w:tcPr>
            <w:tcW w:w="1531" w:type="dxa"/>
            <w:tcBorders>
              <w:left w:val="nil"/>
              <w:right w:val="single" w:sz="4" w:space="0" w:color="auto"/>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r w:rsidRPr="009F676B">
              <w:rPr>
                <w:rFonts w:ascii="Arial" w:eastAsia="MS PGothic" w:hAnsi="Arial" w:cs="Arial"/>
                <w:color w:val="000000"/>
                <w:sz w:val="18"/>
                <w:szCs w:val="18"/>
              </w:rPr>
              <w:t>Valine</w:t>
            </w:r>
          </w:p>
        </w:tc>
        <w:tc>
          <w:tcPr>
            <w:tcW w:w="1531" w:type="dxa"/>
            <w:tcBorders>
              <w:left w:val="single" w:sz="4" w:space="0" w:color="auto"/>
              <w:right w:val="nil"/>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r w:rsidRPr="009F676B">
              <w:rPr>
                <w:rFonts w:ascii="Arial" w:eastAsia="MS PGothic" w:hAnsi="Arial" w:cs="Arial"/>
                <w:color w:val="000000"/>
                <w:sz w:val="18"/>
                <w:szCs w:val="18"/>
              </w:rPr>
              <w:t>Ornithine</w:t>
            </w:r>
          </w:p>
        </w:tc>
        <w:tc>
          <w:tcPr>
            <w:tcW w:w="1531" w:type="dxa"/>
            <w:tcBorders>
              <w:left w:val="nil"/>
              <w:right w:val="nil"/>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r w:rsidRPr="009F676B">
              <w:rPr>
                <w:rFonts w:ascii="Arial" w:eastAsia="MS PGothic" w:hAnsi="Arial" w:cs="Arial"/>
                <w:color w:val="000000"/>
                <w:sz w:val="18"/>
                <w:szCs w:val="18"/>
              </w:rPr>
              <w:t>Ascorbate</w:t>
            </w:r>
          </w:p>
        </w:tc>
        <w:tc>
          <w:tcPr>
            <w:tcW w:w="1531" w:type="dxa"/>
            <w:tcBorders>
              <w:left w:val="nil"/>
              <w:right w:val="nil"/>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r w:rsidRPr="009F676B">
              <w:rPr>
                <w:rFonts w:ascii="Arial" w:eastAsia="MS PGothic" w:hAnsi="Arial" w:cs="Arial"/>
                <w:color w:val="000000"/>
                <w:sz w:val="18"/>
                <w:szCs w:val="18"/>
              </w:rPr>
              <w:t>TMP</w:t>
            </w:r>
          </w:p>
        </w:tc>
        <w:tc>
          <w:tcPr>
            <w:tcW w:w="1531" w:type="dxa"/>
            <w:tcBorders>
              <w:left w:val="nil"/>
              <w:right w:val="nil"/>
            </w:tcBorders>
            <w:vAlign w:val="center"/>
          </w:tcPr>
          <w:p w:rsidR="009F676B" w:rsidRPr="009F676B" w:rsidRDefault="009F676B" w:rsidP="00984373">
            <w:pPr>
              <w:spacing w:line="240" w:lineRule="auto"/>
              <w:rPr>
                <w:rFonts w:ascii="Arial" w:eastAsia="MS PGothic" w:hAnsi="Arial" w:cs="Arial"/>
                <w:color w:val="000000"/>
                <w:sz w:val="18"/>
                <w:szCs w:val="18"/>
              </w:rPr>
            </w:pPr>
            <w:proofErr w:type="spellStart"/>
            <w:r w:rsidRPr="009F676B">
              <w:rPr>
                <w:rFonts w:ascii="Arial" w:eastAsia="MS PGothic" w:hAnsi="Arial" w:cs="Arial"/>
                <w:color w:val="000000"/>
                <w:sz w:val="18"/>
                <w:szCs w:val="18"/>
              </w:rPr>
              <w:t>Phosphoenol</w:t>
            </w:r>
            <w:proofErr w:type="spellEnd"/>
            <w:r w:rsidRPr="009F676B">
              <w:rPr>
                <w:rFonts w:ascii="Arial" w:eastAsia="MS PGothic" w:hAnsi="Arial" w:cs="Arial"/>
                <w:color w:val="000000"/>
                <w:sz w:val="18"/>
                <w:szCs w:val="18"/>
              </w:rPr>
              <w:t>-pyruvate</w:t>
            </w:r>
          </w:p>
        </w:tc>
      </w:tr>
      <w:tr w:rsidR="009F676B" w:rsidRPr="009F676B" w:rsidTr="009F676B">
        <w:trPr>
          <w:trHeight w:val="397"/>
        </w:trPr>
        <w:tc>
          <w:tcPr>
            <w:tcW w:w="1531" w:type="dxa"/>
            <w:tcBorders>
              <w:left w:val="nil"/>
              <w:right w:val="nil"/>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r w:rsidRPr="009F676B">
              <w:rPr>
                <w:rFonts w:ascii="Arial" w:eastAsia="MS PGothic" w:hAnsi="Arial" w:cs="Arial"/>
                <w:color w:val="000000"/>
                <w:sz w:val="18"/>
                <w:szCs w:val="18"/>
              </w:rPr>
              <w:t>-Alanine</w:t>
            </w:r>
          </w:p>
        </w:tc>
        <w:tc>
          <w:tcPr>
            <w:tcW w:w="1531" w:type="dxa"/>
            <w:tcBorders>
              <w:left w:val="nil"/>
              <w:right w:val="single" w:sz="4" w:space="0" w:color="auto"/>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r w:rsidRPr="009F676B">
              <w:rPr>
                <w:rFonts w:ascii="Arial" w:eastAsia="MS PGothic" w:hAnsi="Arial" w:cs="Arial"/>
                <w:color w:val="000000"/>
                <w:sz w:val="18"/>
                <w:szCs w:val="18"/>
              </w:rPr>
              <w:t>Xanthine</w:t>
            </w:r>
          </w:p>
        </w:tc>
        <w:tc>
          <w:tcPr>
            <w:tcW w:w="1531" w:type="dxa"/>
            <w:tcBorders>
              <w:left w:val="single" w:sz="4" w:space="0" w:color="auto"/>
              <w:right w:val="nil"/>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r w:rsidRPr="009F676B">
              <w:rPr>
                <w:rFonts w:ascii="Arial" w:eastAsia="MS PGothic" w:hAnsi="Arial" w:cs="Arial"/>
                <w:color w:val="000000"/>
                <w:sz w:val="18"/>
                <w:szCs w:val="18"/>
              </w:rPr>
              <w:t>Inositol</w:t>
            </w:r>
          </w:p>
        </w:tc>
        <w:tc>
          <w:tcPr>
            <w:tcW w:w="1531" w:type="dxa"/>
            <w:tcBorders>
              <w:left w:val="nil"/>
              <w:right w:val="nil"/>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proofErr w:type="spellStart"/>
            <w:r w:rsidRPr="009F676B">
              <w:rPr>
                <w:rFonts w:ascii="Arial" w:eastAsia="MS PGothic" w:hAnsi="Arial" w:cs="Arial"/>
                <w:color w:val="000000"/>
                <w:sz w:val="18"/>
                <w:szCs w:val="18"/>
              </w:rPr>
              <w:t>Glyoxylate</w:t>
            </w:r>
            <w:proofErr w:type="spellEnd"/>
          </w:p>
        </w:tc>
        <w:tc>
          <w:tcPr>
            <w:tcW w:w="1531" w:type="dxa"/>
            <w:tcBorders>
              <w:left w:val="nil"/>
              <w:right w:val="nil"/>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r w:rsidRPr="009F676B">
              <w:rPr>
                <w:rFonts w:ascii="Arial" w:eastAsia="MS PGothic" w:hAnsi="Arial" w:cs="Arial"/>
                <w:color w:val="000000"/>
                <w:sz w:val="18"/>
                <w:szCs w:val="18"/>
              </w:rPr>
              <w:t>AMP</w:t>
            </w:r>
          </w:p>
        </w:tc>
        <w:tc>
          <w:tcPr>
            <w:tcW w:w="1531" w:type="dxa"/>
            <w:tcBorders>
              <w:left w:val="nil"/>
              <w:right w:val="nil"/>
            </w:tcBorders>
            <w:vAlign w:val="center"/>
          </w:tcPr>
          <w:p w:rsidR="009F676B" w:rsidRPr="009F676B" w:rsidRDefault="009F676B" w:rsidP="00984373">
            <w:pPr>
              <w:spacing w:line="240" w:lineRule="auto"/>
              <w:rPr>
                <w:rFonts w:ascii="Arial" w:eastAsia="MS PGothic" w:hAnsi="Arial" w:cs="Arial"/>
                <w:color w:val="000000"/>
                <w:sz w:val="18"/>
                <w:szCs w:val="18"/>
              </w:rPr>
            </w:pPr>
            <w:r w:rsidRPr="009F676B">
              <w:rPr>
                <w:rFonts w:ascii="Arial" w:eastAsia="MS PGothic" w:hAnsi="Arial" w:cs="Arial"/>
                <w:color w:val="000000"/>
                <w:sz w:val="18"/>
                <w:szCs w:val="18"/>
              </w:rPr>
              <w:t>ADP</w:t>
            </w:r>
          </w:p>
        </w:tc>
      </w:tr>
      <w:tr w:rsidR="009F676B" w:rsidRPr="009F676B" w:rsidTr="009F676B">
        <w:trPr>
          <w:trHeight w:val="397"/>
        </w:trPr>
        <w:tc>
          <w:tcPr>
            <w:tcW w:w="1531" w:type="dxa"/>
            <w:tcBorders>
              <w:left w:val="nil"/>
              <w:right w:val="nil"/>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r w:rsidRPr="009F676B">
              <w:rPr>
                <w:rFonts w:ascii="Arial" w:eastAsia="MS PGothic" w:hAnsi="Arial" w:cs="Arial"/>
                <w:color w:val="000000"/>
                <w:sz w:val="18"/>
                <w:szCs w:val="18"/>
              </w:rPr>
              <w:t>Cysteine</w:t>
            </w:r>
          </w:p>
        </w:tc>
        <w:tc>
          <w:tcPr>
            <w:tcW w:w="1531" w:type="dxa"/>
            <w:tcBorders>
              <w:left w:val="nil"/>
              <w:right w:val="single" w:sz="4" w:space="0" w:color="auto"/>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p>
        </w:tc>
        <w:tc>
          <w:tcPr>
            <w:tcW w:w="1531" w:type="dxa"/>
            <w:tcBorders>
              <w:left w:val="single" w:sz="4" w:space="0" w:color="auto"/>
              <w:right w:val="nil"/>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r w:rsidRPr="009F676B">
              <w:rPr>
                <w:rFonts w:ascii="Arial" w:eastAsia="MS PGothic" w:hAnsi="Arial" w:cs="Arial"/>
                <w:color w:val="000000"/>
                <w:sz w:val="18"/>
                <w:szCs w:val="18"/>
              </w:rPr>
              <w:t>Glutamine</w:t>
            </w:r>
          </w:p>
        </w:tc>
        <w:tc>
          <w:tcPr>
            <w:tcW w:w="1531" w:type="dxa"/>
            <w:tcBorders>
              <w:left w:val="nil"/>
              <w:right w:val="nil"/>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r w:rsidRPr="009F676B">
              <w:rPr>
                <w:rFonts w:ascii="Arial" w:eastAsia="MS PGothic" w:hAnsi="Arial" w:cs="Arial"/>
                <w:color w:val="000000"/>
                <w:sz w:val="18"/>
                <w:szCs w:val="18"/>
              </w:rPr>
              <w:t>G6P</w:t>
            </w:r>
          </w:p>
        </w:tc>
        <w:tc>
          <w:tcPr>
            <w:tcW w:w="1531" w:type="dxa"/>
            <w:tcBorders>
              <w:left w:val="nil"/>
              <w:right w:val="nil"/>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r w:rsidRPr="009F676B">
              <w:rPr>
                <w:rFonts w:ascii="Arial" w:eastAsia="MS PGothic" w:hAnsi="Arial" w:cs="Arial"/>
                <w:color w:val="000000"/>
                <w:sz w:val="18"/>
                <w:szCs w:val="18"/>
              </w:rPr>
              <w:t>Nicotinate</w:t>
            </w:r>
          </w:p>
        </w:tc>
        <w:tc>
          <w:tcPr>
            <w:tcW w:w="1531" w:type="dxa"/>
            <w:tcBorders>
              <w:left w:val="nil"/>
              <w:right w:val="nil"/>
            </w:tcBorders>
            <w:vAlign w:val="center"/>
          </w:tcPr>
          <w:p w:rsidR="009F676B" w:rsidRPr="009F676B" w:rsidRDefault="009F676B" w:rsidP="00984373">
            <w:pPr>
              <w:spacing w:line="240" w:lineRule="auto"/>
              <w:rPr>
                <w:rFonts w:ascii="Arial" w:eastAsia="MS PGothic" w:hAnsi="Arial" w:cs="Arial"/>
                <w:color w:val="000000"/>
                <w:sz w:val="18"/>
                <w:szCs w:val="18"/>
              </w:rPr>
            </w:pPr>
            <w:r w:rsidRPr="009F676B">
              <w:rPr>
                <w:rFonts w:ascii="Arial" w:eastAsia="MS PGothic" w:hAnsi="Arial" w:cs="Arial"/>
                <w:color w:val="000000"/>
                <w:sz w:val="18"/>
                <w:szCs w:val="18"/>
              </w:rPr>
              <w:t>FMN</w:t>
            </w:r>
          </w:p>
        </w:tc>
      </w:tr>
      <w:tr w:rsidR="009F676B" w:rsidRPr="009F676B" w:rsidTr="009F676B">
        <w:trPr>
          <w:trHeight w:val="397"/>
        </w:trPr>
        <w:tc>
          <w:tcPr>
            <w:tcW w:w="1531" w:type="dxa"/>
            <w:tcBorders>
              <w:left w:val="nil"/>
              <w:right w:val="nil"/>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proofErr w:type="spellStart"/>
            <w:r w:rsidRPr="009F676B">
              <w:rPr>
                <w:rFonts w:ascii="Arial" w:eastAsia="MS PGothic" w:hAnsi="Arial" w:cs="Arial"/>
                <w:color w:val="000000"/>
                <w:sz w:val="18"/>
                <w:szCs w:val="18"/>
              </w:rPr>
              <w:t>Cystine</w:t>
            </w:r>
            <w:proofErr w:type="spellEnd"/>
          </w:p>
        </w:tc>
        <w:tc>
          <w:tcPr>
            <w:tcW w:w="1531" w:type="dxa"/>
            <w:tcBorders>
              <w:left w:val="nil"/>
              <w:right w:val="single" w:sz="4" w:space="0" w:color="auto"/>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p>
        </w:tc>
        <w:tc>
          <w:tcPr>
            <w:tcW w:w="1531" w:type="dxa"/>
            <w:tcBorders>
              <w:left w:val="single" w:sz="4" w:space="0" w:color="auto"/>
              <w:right w:val="nil"/>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r w:rsidRPr="009F676B">
              <w:rPr>
                <w:rFonts w:ascii="Arial" w:eastAsia="MS PGothic" w:hAnsi="Arial" w:cs="Arial"/>
                <w:color w:val="000000"/>
                <w:sz w:val="18"/>
                <w:szCs w:val="18"/>
              </w:rPr>
              <w:t>Lysine</w:t>
            </w:r>
          </w:p>
        </w:tc>
        <w:tc>
          <w:tcPr>
            <w:tcW w:w="1531" w:type="dxa"/>
            <w:tcBorders>
              <w:left w:val="nil"/>
              <w:right w:val="nil"/>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r w:rsidRPr="009F676B">
              <w:rPr>
                <w:rFonts w:ascii="Arial" w:eastAsia="MS PGothic" w:hAnsi="Arial" w:cs="Arial"/>
                <w:color w:val="000000"/>
                <w:sz w:val="18"/>
                <w:szCs w:val="18"/>
              </w:rPr>
              <w:t>Disaccharide-P</w:t>
            </w:r>
          </w:p>
        </w:tc>
        <w:tc>
          <w:tcPr>
            <w:tcW w:w="1531" w:type="dxa"/>
            <w:tcBorders>
              <w:left w:val="nil"/>
              <w:right w:val="nil"/>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proofErr w:type="spellStart"/>
            <w:r w:rsidRPr="009F676B">
              <w:rPr>
                <w:rFonts w:ascii="Arial" w:eastAsia="MS PGothic" w:hAnsi="Arial" w:cs="Arial"/>
                <w:color w:val="000000"/>
                <w:sz w:val="18"/>
                <w:szCs w:val="18"/>
              </w:rPr>
              <w:t>Pantothenate</w:t>
            </w:r>
            <w:proofErr w:type="spellEnd"/>
          </w:p>
        </w:tc>
        <w:tc>
          <w:tcPr>
            <w:tcW w:w="1531" w:type="dxa"/>
            <w:tcBorders>
              <w:left w:val="nil"/>
              <w:right w:val="nil"/>
            </w:tcBorders>
            <w:vAlign w:val="center"/>
          </w:tcPr>
          <w:p w:rsidR="009F676B" w:rsidRPr="009F676B" w:rsidRDefault="009F676B" w:rsidP="00984373">
            <w:pPr>
              <w:spacing w:line="240" w:lineRule="auto"/>
              <w:rPr>
                <w:rFonts w:ascii="Arial" w:eastAsia="MS PGothic" w:hAnsi="Arial" w:cs="Arial"/>
                <w:color w:val="000000"/>
                <w:sz w:val="18"/>
                <w:szCs w:val="18"/>
              </w:rPr>
            </w:pPr>
            <w:r w:rsidRPr="009F676B">
              <w:rPr>
                <w:rFonts w:ascii="Arial" w:eastAsia="MS PGothic" w:hAnsi="Arial" w:cs="Arial"/>
                <w:color w:val="000000"/>
                <w:sz w:val="18"/>
                <w:szCs w:val="18"/>
              </w:rPr>
              <w:t>HMBPP</w:t>
            </w:r>
          </w:p>
        </w:tc>
      </w:tr>
      <w:tr w:rsidR="009F676B" w:rsidRPr="009F676B" w:rsidTr="009F676B">
        <w:trPr>
          <w:trHeight w:val="397"/>
        </w:trPr>
        <w:tc>
          <w:tcPr>
            <w:tcW w:w="1531" w:type="dxa"/>
            <w:tcBorders>
              <w:left w:val="nil"/>
              <w:right w:val="nil"/>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r w:rsidRPr="009F676B">
              <w:rPr>
                <w:rFonts w:ascii="Arial" w:eastAsia="MS PGothic" w:hAnsi="Arial" w:cs="Arial"/>
                <w:color w:val="000000"/>
                <w:sz w:val="18"/>
                <w:szCs w:val="18"/>
              </w:rPr>
              <w:t>Cytidine</w:t>
            </w:r>
          </w:p>
        </w:tc>
        <w:tc>
          <w:tcPr>
            <w:tcW w:w="1531" w:type="dxa"/>
            <w:tcBorders>
              <w:left w:val="nil"/>
              <w:right w:val="single" w:sz="4" w:space="0" w:color="auto"/>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p>
        </w:tc>
        <w:tc>
          <w:tcPr>
            <w:tcW w:w="1531" w:type="dxa"/>
            <w:tcBorders>
              <w:left w:val="single" w:sz="4" w:space="0" w:color="auto"/>
              <w:right w:val="nil"/>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r w:rsidRPr="009F676B">
              <w:rPr>
                <w:rFonts w:ascii="Arial" w:eastAsia="MS PGothic" w:hAnsi="Arial" w:cs="Arial"/>
                <w:color w:val="000000"/>
                <w:sz w:val="18"/>
                <w:szCs w:val="18"/>
              </w:rPr>
              <w:t>Threonine</w:t>
            </w:r>
          </w:p>
        </w:tc>
        <w:tc>
          <w:tcPr>
            <w:tcW w:w="1531" w:type="dxa"/>
            <w:tcBorders>
              <w:left w:val="nil"/>
              <w:right w:val="nil"/>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proofErr w:type="spellStart"/>
            <w:r w:rsidRPr="009F676B">
              <w:rPr>
                <w:rFonts w:ascii="Arial" w:eastAsia="MS PGothic" w:hAnsi="Arial" w:cs="Arial"/>
                <w:color w:val="000000"/>
                <w:sz w:val="18"/>
                <w:szCs w:val="18"/>
              </w:rPr>
              <w:t>Succinicsemi</w:t>
            </w:r>
            <w:proofErr w:type="spellEnd"/>
            <w:r w:rsidRPr="009F676B">
              <w:rPr>
                <w:rFonts w:ascii="Arial" w:eastAsia="MS PGothic" w:hAnsi="Arial" w:cs="Arial"/>
                <w:color w:val="000000"/>
                <w:sz w:val="18"/>
                <w:szCs w:val="18"/>
              </w:rPr>
              <w:t>-aldehyde</w:t>
            </w:r>
          </w:p>
        </w:tc>
        <w:tc>
          <w:tcPr>
            <w:tcW w:w="1531" w:type="dxa"/>
            <w:tcBorders>
              <w:left w:val="nil"/>
              <w:right w:val="nil"/>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r w:rsidRPr="009F676B">
              <w:rPr>
                <w:rFonts w:ascii="Arial" w:eastAsia="MS PGothic" w:hAnsi="Arial" w:cs="Arial"/>
                <w:color w:val="000000"/>
                <w:sz w:val="18"/>
                <w:szCs w:val="18"/>
              </w:rPr>
              <w:t>Succinate</w:t>
            </w:r>
          </w:p>
        </w:tc>
        <w:tc>
          <w:tcPr>
            <w:tcW w:w="1531" w:type="dxa"/>
            <w:tcBorders>
              <w:left w:val="nil"/>
              <w:right w:val="nil"/>
            </w:tcBorders>
            <w:vAlign w:val="center"/>
          </w:tcPr>
          <w:p w:rsidR="009F676B" w:rsidRPr="009F676B" w:rsidRDefault="009F676B" w:rsidP="00984373">
            <w:pPr>
              <w:spacing w:line="240" w:lineRule="auto"/>
              <w:rPr>
                <w:rFonts w:ascii="Arial" w:eastAsia="MS PGothic" w:hAnsi="Arial" w:cs="Arial"/>
                <w:color w:val="000000"/>
                <w:sz w:val="18"/>
                <w:szCs w:val="18"/>
              </w:rPr>
            </w:pPr>
            <w:r w:rsidRPr="009F676B">
              <w:rPr>
                <w:rFonts w:ascii="Arial" w:eastAsia="MS PGothic" w:hAnsi="Arial" w:cs="Arial"/>
                <w:color w:val="000000"/>
                <w:sz w:val="18"/>
                <w:szCs w:val="18"/>
              </w:rPr>
              <w:t>FAD</w:t>
            </w:r>
          </w:p>
        </w:tc>
      </w:tr>
      <w:tr w:rsidR="009F676B" w:rsidRPr="009F676B" w:rsidTr="009F676B">
        <w:trPr>
          <w:trHeight w:val="397"/>
        </w:trPr>
        <w:tc>
          <w:tcPr>
            <w:tcW w:w="1531" w:type="dxa"/>
            <w:tcBorders>
              <w:left w:val="nil"/>
              <w:right w:val="nil"/>
            </w:tcBorders>
            <w:shd w:val="clear" w:color="auto" w:fill="D9D9D9" w:themeFill="background1" w:themeFillShade="D9"/>
            <w:noWrap/>
            <w:vAlign w:val="center"/>
          </w:tcPr>
          <w:p w:rsidR="009F676B" w:rsidRPr="009F676B" w:rsidRDefault="009F676B" w:rsidP="00984373">
            <w:pPr>
              <w:spacing w:line="240" w:lineRule="auto"/>
              <w:rPr>
                <w:rFonts w:ascii="Arial" w:eastAsia="MS PGothic" w:hAnsi="Arial" w:cs="Arial"/>
                <w:color w:val="000000"/>
                <w:sz w:val="18"/>
                <w:szCs w:val="18"/>
              </w:rPr>
            </w:pPr>
            <w:r w:rsidRPr="009F676B">
              <w:rPr>
                <w:rFonts w:ascii="Arial" w:eastAsia="MS PGothic" w:hAnsi="Arial" w:cs="Arial"/>
                <w:color w:val="000000"/>
                <w:sz w:val="18"/>
                <w:szCs w:val="18"/>
              </w:rPr>
              <w:t>Cytosine</w:t>
            </w:r>
          </w:p>
        </w:tc>
        <w:tc>
          <w:tcPr>
            <w:tcW w:w="1531" w:type="dxa"/>
            <w:tcBorders>
              <w:left w:val="nil"/>
              <w:right w:val="single" w:sz="4" w:space="0" w:color="auto"/>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p>
        </w:tc>
        <w:tc>
          <w:tcPr>
            <w:tcW w:w="1531" w:type="dxa"/>
            <w:tcBorders>
              <w:left w:val="single" w:sz="4" w:space="0" w:color="auto"/>
              <w:right w:val="nil"/>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proofErr w:type="spellStart"/>
            <w:r w:rsidRPr="009F676B">
              <w:rPr>
                <w:rFonts w:ascii="Arial" w:eastAsia="MS PGothic" w:hAnsi="Arial" w:cs="Arial"/>
                <w:color w:val="000000"/>
                <w:sz w:val="18"/>
                <w:szCs w:val="18"/>
              </w:rPr>
              <w:t>Hydroxy</w:t>
            </w:r>
            <w:proofErr w:type="spellEnd"/>
            <w:r w:rsidRPr="009F676B">
              <w:rPr>
                <w:rFonts w:ascii="Arial" w:eastAsia="MS PGothic" w:hAnsi="Arial" w:cs="Arial"/>
                <w:color w:val="000000"/>
                <w:sz w:val="18"/>
                <w:szCs w:val="18"/>
              </w:rPr>
              <w:t>-proline</w:t>
            </w:r>
          </w:p>
        </w:tc>
        <w:tc>
          <w:tcPr>
            <w:tcW w:w="1531" w:type="dxa"/>
            <w:tcBorders>
              <w:left w:val="nil"/>
              <w:right w:val="nil"/>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r w:rsidRPr="009F676B">
              <w:rPr>
                <w:rFonts w:ascii="Arial" w:eastAsia="MS PGothic" w:hAnsi="Arial" w:cs="Arial"/>
                <w:color w:val="000000"/>
                <w:sz w:val="18"/>
                <w:szCs w:val="18"/>
              </w:rPr>
              <w:t>R5P</w:t>
            </w:r>
          </w:p>
        </w:tc>
        <w:tc>
          <w:tcPr>
            <w:tcW w:w="1531" w:type="dxa"/>
            <w:tcBorders>
              <w:left w:val="nil"/>
              <w:right w:val="nil"/>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proofErr w:type="spellStart"/>
            <w:r w:rsidRPr="009F676B">
              <w:rPr>
                <w:rFonts w:ascii="Arial" w:eastAsia="MS PGothic" w:hAnsi="Arial" w:cs="Arial"/>
                <w:color w:val="000000"/>
                <w:sz w:val="18"/>
                <w:szCs w:val="18"/>
              </w:rPr>
              <w:t>cAMP</w:t>
            </w:r>
            <w:proofErr w:type="spellEnd"/>
          </w:p>
        </w:tc>
        <w:tc>
          <w:tcPr>
            <w:tcW w:w="1531" w:type="dxa"/>
            <w:tcBorders>
              <w:left w:val="nil"/>
              <w:right w:val="nil"/>
            </w:tcBorders>
            <w:vAlign w:val="center"/>
          </w:tcPr>
          <w:p w:rsidR="009F676B" w:rsidRPr="009F676B" w:rsidRDefault="009F676B" w:rsidP="00984373">
            <w:pPr>
              <w:spacing w:line="240" w:lineRule="auto"/>
              <w:rPr>
                <w:rFonts w:ascii="Arial" w:eastAsia="MS PGothic" w:hAnsi="Arial" w:cs="Arial"/>
                <w:color w:val="000000"/>
                <w:sz w:val="18"/>
                <w:szCs w:val="18"/>
              </w:rPr>
            </w:pPr>
            <w:r w:rsidRPr="009F676B">
              <w:rPr>
                <w:rFonts w:ascii="Arial" w:eastAsia="MS PGothic" w:hAnsi="Arial" w:cs="Arial"/>
                <w:color w:val="000000"/>
                <w:sz w:val="18"/>
                <w:szCs w:val="18"/>
              </w:rPr>
              <w:t>CTP</w:t>
            </w:r>
          </w:p>
        </w:tc>
      </w:tr>
      <w:tr w:rsidR="009F676B" w:rsidRPr="009F676B" w:rsidTr="009F676B">
        <w:trPr>
          <w:trHeight w:val="397"/>
        </w:trPr>
        <w:tc>
          <w:tcPr>
            <w:tcW w:w="1531" w:type="dxa"/>
            <w:tcBorders>
              <w:left w:val="nil"/>
              <w:right w:val="nil"/>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r w:rsidRPr="009F676B">
              <w:rPr>
                <w:rFonts w:ascii="Arial" w:eastAsia="MS PGothic" w:hAnsi="Arial" w:cs="Arial"/>
                <w:color w:val="000000"/>
                <w:sz w:val="18"/>
                <w:szCs w:val="18"/>
              </w:rPr>
              <w:t>Deoxy-adenosine</w:t>
            </w:r>
          </w:p>
        </w:tc>
        <w:tc>
          <w:tcPr>
            <w:tcW w:w="1531" w:type="dxa"/>
            <w:tcBorders>
              <w:left w:val="nil"/>
              <w:right w:val="single" w:sz="4" w:space="0" w:color="auto"/>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p>
        </w:tc>
        <w:tc>
          <w:tcPr>
            <w:tcW w:w="1531" w:type="dxa"/>
            <w:tcBorders>
              <w:left w:val="single" w:sz="4" w:space="0" w:color="auto"/>
              <w:right w:val="nil"/>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r w:rsidRPr="009F676B">
              <w:rPr>
                <w:rFonts w:ascii="Arial" w:eastAsia="MS PGothic" w:hAnsi="Arial" w:cs="Arial"/>
                <w:color w:val="000000"/>
                <w:sz w:val="18"/>
                <w:szCs w:val="18"/>
              </w:rPr>
              <w:t>Cysteine</w:t>
            </w:r>
          </w:p>
        </w:tc>
        <w:tc>
          <w:tcPr>
            <w:tcW w:w="1531" w:type="dxa"/>
            <w:tcBorders>
              <w:left w:val="nil"/>
              <w:right w:val="nil"/>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r w:rsidRPr="009F676B">
              <w:rPr>
                <w:rFonts w:ascii="Arial" w:eastAsia="MS PGothic" w:hAnsi="Arial" w:cs="Arial"/>
                <w:color w:val="000000"/>
                <w:sz w:val="18"/>
                <w:szCs w:val="18"/>
              </w:rPr>
              <w:t>Pyroglutamate</w:t>
            </w:r>
          </w:p>
        </w:tc>
        <w:tc>
          <w:tcPr>
            <w:tcW w:w="1531" w:type="dxa"/>
            <w:tcBorders>
              <w:left w:val="nil"/>
              <w:right w:val="nil"/>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r w:rsidRPr="009F676B">
              <w:rPr>
                <w:rFonts w:ascii="Arial" w:eastAsia="MS PGothic" w:hAnsi="Arial" w:cs="Arial"/>
                <w:color w:val="000000"/>
                <w:sz w:val="18"/>
                <w:szCs w:val="18"/>
              </w:rPr>
              <w:t>Glutathione</w:t>
            </w:r>
          </w:p>
        </w:tc>
        <w:tc>
          <w:tcPr>
            <w:tcW w:w="1531" w:type="dxa"/>
            <w:tcBorders>
              <w:left w:val="nil"/>
              <w:right w:val="nil"/>
            </w:tcBorders>
            <w:vAlign w:val="center"/>
          </w:tcPr>
          <w:p w:rsidR="009F676B" w:rsidRPr="009F676B" w:rsidRDefault="009F676B" w:rsidP="00984373">
            <w:pPr>
              <w:spacing w:line="240" w:lineRule="auto"/>
              <w:rPr>
                <w:rFonts w:ascii="Arial" w:eastAsia="MS PGothic" w:hAnsi="Arial" w:cs="Arial"/>
                <w:color w:val="000000"/>
                <w:sz w:val="18"/>
                <w:szCs w:val="18"/>
              </w:rPr>
            </w:pPr>
            <w:r w:rsidRPr="009F676B">
              <w:rPr>
                <w:rFonts w:ascii="Arial" w:eastAsia="MS PGothic" w:hAnsi="Arial" w:cs="Arial"/>
                <w:color w:val="000000"/>
                <w:sz w:val="18"/>
                <w:szCs w:val="18"/>
              </w:rPr>
              <w:t>GTP</w:t>
            </w:r>
          </w:p>
        </w:tc>
      </w:tr>
      <w:tr w:rsidR="009F676B" w:rsidRPr="009F676B" w:rsidTr="009F676B">
        <w:trPr>
          <w:trHeight w:val="397"/>
        </w:trPr>
        <w:tc>
          <w:tcPr>
            <w:tcW w:w="1531" w:type="dxa"/>
            <w:tcBorders>
              <w:left w:val="nil"/>
              <w:right w:val="nil"/>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r w:rsidRPr="009F676B">
              <w:rPr>
                <w:rFonts w:ascii="Arial" w:eastAsia="MS PGothic" w:hAnsi="Arial" w:cs="Arial"/>
                <w:color w:val="000000"/>
                <w:sz w:val="18"/>
                <w:szCs w:val="18"/>
              </w:rPr>
              <w:t>Deoxycytidine</w:t>
            </w:r>
          </w:p>
        </w:tc>
        <w:tc>
          <w:tcPr>
            <w:tcW w:w="1531" w:type="dxa"/>
            <w:tcBorders>
              <w:left w:val="nil"/>
              <w:right w:val="single" w:sz="4" w:space="0" w:color="auto"/>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p>
        </w:tc>
        <w:tc>
          <w:tcPr>
            <w:tcW w:w="1531" w:type="dxa"/>
            <w:tcBorders>
              <w:left w:val="single" w:sz="4" w:space="0" w:color="auto"/>
              <w:right w:val="nil"/>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r w:rsidRPr="009F676B">
              <w:rPr>
                <w:rFonts w:ascii="Arial" w:eastAsia="MS PGothic" w:hAnsi="Arial" w:cs="Arial"/>
                <w:color w:val="000000"/>
                <w:sz w:val="18"/>
                <w:szCs w:val="18"/>
              </w:rPr>
              <w:t>Hexose</w:t>
            </w:r>
          </w:p>
        </w:tc>
        <w:tc>
          <w:tcPr>
            <w:tcW w:w="1531" w:type="dxa"/>
            <w:tcBorders>
              <w:left w:val="nil"/>
              <w:right w:val="nil"/>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r w:rsidRPr="009F676B">
              <w:rPr>
                <w:rFonts w:ascii="Arial" w:eastAsia="MS PGothic" w:hAnsi="Arial" w:cs="Arial"/>
                <w:color w:val="000000"/>
                <w:sz w:val="18"/>
                <w:szCs w:val="18"/>
              </w:rPr>
              <w:t>Tryptophan</w:t>
            </w:r>
          </w:p>
        </w:tc>
        <w:tc>
          <w:tcPr>
            <w:tcW w:w="1531" w:type="dxa"/>
            <w:tcBorders>
              <w:left w:val="nil"/>
              <w:right w:val="nil"/>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r w:rsidRPr="009F676B">
              <w:rPr>
                <w:rFonts w:ascii="Arial" w:eastAsia="MS PGothic" w:hAnsi="Arial" w:cs="Arial"/>
                <w:color w:val="000000"/>
                <w:sz w:val="18"/>
                <w:szCs w:val="18"/>
              </w:rPr>
              <w:t>Malate</w:t>
            </w:r>
          </w:p>
        </w:tc>
        <w:tc>
          <w:tcPr>
            <w:tcW w:w="1531" w:type="dxa"/>
            <w:tcBorders>
              <w:left w:val="nil"/>
              <w:right w:val="nil"/>
            </w:tcBorders>
            <w:vAlign w:val="center"/>
          </w:tcPr>
          <w:p w:rsidR="009F676B" w:rsidRPr="009F676B" w:rsidRDefault="009F676B" w:rsidP="00984373">
            <w:pPr>
              <w:spacing w:line="240" w:lineRule="auto"/>
              <w:rPr>
                <w:rFonts w:ascii="Arial" w:eastAsia="MS PGothic" w:hAnsi="Arial" w:cs="Arial"/>
                <w:color w:val="000000"/>
                <w:sz w:val="18"/>
                <w:szCs w:val="18"/>
              </w:rPr>
            </w:pPr>
            <w:r w:rsidRPr="009F676B">
              <w:rPr>
                <w:rFonts w:ascii="Arial" w:eastAsia="MS PGothic" w:hAnsi="Arial" w:cs="Arial"/>
                <w:color w:val="000000"/>
                <w:sz w:val="18"/>
                <w:szCs w:val="18"/>
              </w:rPr>
              <w:t>BPG</w:t>
            </w:r>
          </w:p>
        </w:tc>
      </w:tr>
      <w:tr w:rsidR="009F676B" w:rsidRPr="009F676B" w:rsidTr="009F676B">
        <w:trPr>
          <w:trHeight w:val="397"/>
        </w:trPr>
        <w:tc>
          <w:tcPr>
            <w:tcW w:w="1531" w:type="dxa"/>
            <w:tcBorders>
              <w:left w:val="nil"/>
              <w:right w:val="nil"/>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r w:rsidRPr="009F676B">
              <w:rPr>
                <w:rFonts w:ascii="Arial" w:eastAsia="MS PGothic" w:hAnsi="Arial" w:cs="Arial"/>
                <w:color w:val="000000"/>
                <w:sz w:val="18"/>
                <w:szCs w:val="18"/>
              </w:rPr>
              <w:t>Deoxy-guanosine</w:t>
            </w:r>
          </w:p>
        </w:tc>
        <w:tc>
          <w:tcPr>
            <w:tcW w:w="1531" w:type="dxa"/>
            <w:tcBorders>
              <w:left w:val="nil"/>
              <w:right w:val="single" w:sz="4" w:space="0" w:color="auto"/>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p>
        </w:tc>
        <w:tc>
          <w:tcPr>
            <w:tcW w:w="1531" w:type="dxa"/>
            <w:tcBorders>
              <w:left w:val="single" w:sz="4" w:space="0" w:color="auto"/>
              <w:right w:val="nil"/>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r w:rsidRPr="009F676B">
              <w:rPr>
                <w:rFonts w:ascii="Arial" w:eastAsia="MS PGothic" w:hAnsi="Arial" w:cs="Arial"/>
                <w:color w:val="000000"/>
                <w:sz w:val="18"/>
                <w:szCs w:val="18"/>
              </w:rPr>
              <w:t>2-Amino-butyrate</w:t>
            </w:r>
          </w:p>
        </w:tc>
        <w:tc>
          <w:tcPr>
            <w:tcW w:w="1531" w:type="dxa"/>
            <w:tcBorders>
              <w:left w:val="nil"/>
              <w:right w:val="nil"/>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r w:rsidRPr="009F676B">
              <w:rPr>
                <w:rFonts w:ascii="Arial" w:eastAsia="MS PGothic" w:hAnsi="Arial" w:cs="Arial"/>
                <w:color w:val="000000"/>
                <w:sz w:val="18"/>
                <w:szCs w:val="18"/>
              </w:rPr>
              <w:t>S7P</w:t>
            </w:r>
          </w:p>
        </w:tc>
        <w:tc>
          <w:tcPr>
            <w:tcW w:w="1531" w:type="dxa"/>
            <w:tcBorders>
              <w:left w:val="nil"/>
              <w:right w:val="nil"/>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r w:rsidRPr="009F676B">
              <w:rPr>
                <w:rFonts w:ascii="Arial" w:eastAsia="MS PGothic" w:hAnsi="Arial" w:cs="Arial"/>
                <w:color w:val="000000"/>
                <w:sz w:val="18"/>
                <w:szCs w:val="18"/>
              </w:rPr>
              <w:t>XMP</w:t>
            </w:r>
          </w:p>
        </w:tc>
        <w:tc>
          <w:tcPr>
            <w:tcW w:w="1531" w:type="dxa"/>
            <w:tcBorders>
              <w:left w:val="nil"/>
              <w:right w:val="nil"/>
            </w:tcBorders>
            <w:vAlign w:val="center"/>
          </w:tcPr>
          <w:p w:rsidR="009F676B" w:rsidRPr="009F676B" w:rsidRDefault="009F676B" w:rsidP="00984373">
            <w:pPr>
              <w:spacing w:line="240" w:lineRule="auto"/>
              <w:rPr>
                <w:rFonts w:ascii="Arial" w:eastAsia="MS PGothic" w:hAnsi="Arial" w:cs="Arial"/>
                <w:color w:val="000000"/>
                <w:sz w:val="18"/>
                <w:szCs w:val="18"/>
              </w:rPr>
            </w:pPr>
            <w:r w:rsidRPr="009F676B">
              <w:rPr>
                <w:rFonts w:ascii="Arial" w:eastAsia="MS PGothic" w:hAnsi="Arial" w:cs="Arial"/>
                <w:color w:val="000000"/>
                <w:sz w:val="18"/>
                <w:szCs w:val="18"/>
              </w:rPr>
              <w:t>PRPP</w:t>
            </w:r>
          </w:p>
        </w:tc>
      </w:tr>
      <w:tr w:rsidR="009F676B" w:rsidRPr="009F676B" w:rsidTr="009F676B">
        <w:trPr>
          <w:trHeight w:val="397"/>
        </w:trPr>
        <w:tc>
          <w:tcPr>
            <w:tcW w:w="1531" w:type="dxa"/>
            <w:tcBorders>
              <w:left w:val="nil"/>
              <w:right w:val="nil"/>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r w:rsidRPr="009F676B">
              <w:rPr>
                <w:rFonts w:ascii="Arial" w:eastAsia="MS PGothic" w:hAnsi="Arial" w:cs="Arial"/>
                <w:color w:val="000000"/>
                <w:sz w:val="18"/>
                <w:szCs w:val="18"/>
              </w:rPr>
              <w:t>Glutamate</w:t>
            </w:r>
          </w:p>
        </w:tc>
        <w:tc>
          <w:tcPr>
            <w:tcW w:w="1531" w:type="dxa"/>
            <w:tcBorders>
              <w:left w:val="nil"/>
              <w:right w:val="single" w:sz="4" w:space="0" w:color="auto"/>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p>
        </w:tc>
        <w:tc>
          <w:tcPr>
            <w:tcW w:w="1531" w:type="dxa"/>
            <w:tcBorders>
              <w:left w:val="single" w:sz="4" w:space="0" w:color="auto"/>
              <w:right w:val="nil"/>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r w:rsidRPr="009F676B">
              <w:rPr>
                <w:rFonts w:ascii="Arial" w:eastAsia="MS PGothic" w:hAnsi="Arial" w:cs="Arial"/>
                <w:color w:val="000000"/>
                <w:sz w:val="18"/>
                <w:szCs w:val="18"/>
              </w:rPr>
              <w:t>Disaccharide</w:t>
            </w:r>
          </w:p>
        </w:tc>
        <w:tc>
          <w:tcPr>
            <w:tcW w:w="1531" w:type="dxa"/>
            <w:tcBorders>
              <w:left w:val="nil"/>
              <w:right w:val="nil"/>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r w:rsidRPr="009F676B">
              <w:rPr>
                <w:rFonts w:ascii="Arial" w:eastAsia="MS PGothic" w:hAnsi="Arial" w:cs="Arial"/>
                <w:color w:val="000000"/>
                <w:sz w:val="18"/>
                <w:szCs w:val="18"/>
              </w:rPr>
              <w:t>Lactate</w:t>
            </w:r>
          </w:p>
        </w:tc>
        <w:tc>
          <w:tcPr>
            <w:tcW w:w="1531" w:type="dxa"/>
            <w:tcBorders>
              <w:left w:val="nil"/>
              <w:right w:val="nil"/>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r w:rsidRPr="009F676B">
              <w:rPr>
                <w:rFonts w:ascii="Arial" w:eastAsia="MS PGothic" w:hAnsi="Arial" w:cs="Arial"/>
                <w:color w:val="000000"/>
                <w:sz w:val="18"/>
                <w:szCs w:val="18"/>
              </w:rPr>
              <w:t>Acetyl-phosphate</w:t>
            </w:r>
          </w:p>
        </w:tc>
        <w:tc>
          <w:tcPr>
            <w:tcW w:w="1531" w:type="dxa"/>
            <w:tcBorders>
              <w:left w:val="nil"/>
              <w:right w:val="nil"/>
            </w:tcBorders>
            <w:vAlign w:val="center"/>
          </w:tcPr>
          <w:p w:rsidR="009F676B" w:rsidRPr="009F676B" w:rsidRDefault="009F676B" w:rsidP="00984373">
            <w:pPr>
              <w:spacing w:line="240" w:lineRule="auto"/>
              <w:rPr>
                <w:rFonts w:ascii="Arial" w:eastAsia="MS PGothic" w:hAnsi="Arial" w:cs="Arial"/>
                <w:color w:val="000000"/>
                <w:sz w:val="18"/>
                <w:szCs w:val="18"/>
              </w:rPr>
            </w:pPr>
            <w:r w:rsidRPr="009F676B">
              <w:rPr>
                <w:rFonts w:ascii="Arial" w:eastAsia="MS PGothic" w:hAnsi="Arial" w:cs="Arial"/>
                <w:color w:val="000000"/>
                <w:sz w:val="18"/>
                <w:szCs w:val="18"/>
              </w:rPr>
              <w:t>UTP</w:t>
            </w:r>
          </w:p>
        </w:tc>
      </w:tr>
      <w:tr w:rsidR="009F676B" w:rsidRPr="009F676B" w:rsidTr="009F676B">
        <w:trPr>
          <w:trHeight w:val="397"/>
        </w:trPr>
        <w:tc>
          <w:tcPr>
            <w:tcW w:w="1531" w:type="dxa"/>
            <w:tcBorders>
              <w:left w:val="nil"/>
              <w:right w:val="nil"/>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r w:rsidRPr="009F676B">
              <w:rPr>
                <w:rFonts w:ascii="Arial" w:eastAsia="MS PGothic" w:hAnsi="Arial" w:cs="Arial"/>
                <w:color w:val="000000"/>
                <w:sz w:val="18"/>
                <w:szCs w:val="18"/>
              </w:rPr>
              <w:t>Glycine</w:t>
            </w:r>
          </w:p>
        </w:tc>
        <w:tc>
          <w:tcPr>
            <w:tcW w:w="1531" w:type="dxa"/>
            <w:tcBorders>
              <w:left w:val="nil"/>
              <w:right w:val="single" w:sz="4" w:space="0" w:color="auto"/>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p>
        </w:tc>
        <w:tc>
          <w:tcPr>
            <w:tcW w:w="1531" w:type="dxa"/>
            <w:tcBorders>
              <w:left w:val="single" w:sz="4" w:space="0" w:color="auto"/>
              <w:right w:val="nil"/>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r w:rsidRPr="009F676B">
              <w:rPr>
                <w:rFonts w:ascii="Arial" w:eastAsia="MS PGothic" w:hAnsi="Arial" w:cs="Arial"/>
                <w:color w:val="000000"/>
                <w:sz w:val="18"/>
                <w:szCs w:val="18"/>
              </w:rPr>
              <w:t>D-Glucono-1,5-lactone</w:t>
            </w:r>
          </w:p>
        </w:tc>
        <w:tc>
          <w:tcPr>
            <w:tcW w:w="1531" w:type="dxa"/>
            <w:tcBorders>
              <w:left w:val="nil"/>
              <w:right w:val="nil"/>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r w:rsidRPr="009F676B">
              <w:rPr>
                <w:rFonts w:ascii="Arial" w:eastAsia="MS PGothic" w:hAnsi="Arial" w:cs="Arial"/>
                <w:color w:val="000000"/>
                <w:sz w:val="18"/>
                <w:szCs w:val="18"/>
              </w:rPr>
              <w:t>Guanosine</w:t>
            </w:r>
          </w:p>
        </w:tc>
        <w:tc>
          <w:tcPr>
            <w:tcW w:w="1531" w:type="dxa"/>
            <w:tcBorders>
              <w:left w:val="nil"/>
              <w:right w:val="nil"/>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r w:rsidRPr="009F676B">
              <w:rPr>
                <w:rFonts w:ascii="Arial" w:eastAsia="MS PGothic" w:hAnsi="Arial" w:cs="Arial"/>
                <w:color w:val="000000"/>
                <w:sz w:val="18"/>
                <w:szCs w:val="18"/>
              </w:rPr>
              <w:t>GDP</w:t>
            </w:r>
          </w:p>
        </w:tc>
        <w:tc>
          <w:tcPr>
            <w:tcW w:w="1531" w:type="dxa"/>
            <w:tcBorders>
              <w:left w:val="nil"/>
              <w:right w:val="nil"/>
            </w:tcBorders>
            <w:vAlign w:val="center"/>
          </w:tcPr>
          <w:p w:rsidR="009F676B" w:rsidRPr="009F676B" w:rsidRDefault="009F676B" w:rsidP="00984373">
            <w:pPr>
              <w:spacing w:line="240" w:lineRule="auto"/>
              <w:rPr>
                <w:rFonts w:ascii="Arial" w:eastAsia="MS PGothic" w:hAnsi="Arial" w:cs="Arial"/>
                <w:color w:val="000000"/>
                <w:sz w:val="18"/>
                <w:szCs w:val="18"/>
              </w:rPr>
            </w:pPr>
            <w:r w:rsidRPr="009F676B">
              <w:rPr>
                <w:rFonts w:ascii="Arial" w:eastAsia="MS PGothic" w:hAnsi="Arial" w:cs="Arial"/>
                <w:color w:val="000000"/>
                <w:sz w:val="18"/>
                <w:szCs w:val="18"/>
              </w:rPr>
              <w:t>NADPH</w:t>
            </w:r>
          </w:p>
        </w:tc>
      </w:tr>
      <w:tr w:rsidR="009F676B" w:rsidRPr="009F676B" w:rsidTr="009F676B">
        <w:trPr>
          <w:trHeight w:val="397"/>
        </w:trPr>
        <w:tc>
          <w:tcPr>
            <w:tcW w:w="1531" w:type="dxa"/>
            <w:tcBorders>
              <w:left w:val="nil"/>
              <w:right w:val="nil"/>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r w:rsidRPr="009F676B">
              <w:rPr>
                <w:rFonts w:ascii="Arial" w:eastAsia="MS PGothic" w:hAnsi="Arial" w:cs="Arial"/>
                <w:color w:val="000000"/>
                <w:sz w:val="18"/>
                <w:szCs w:val="18"/>
              </w:rPr>
              <w:t>Guanosine</w:t>
            </w:r>
          </w:p>
        </w:tc>
        <w:tc>
          <w:tcPr>
            <w:tcW w:w="1531" w:type="dxa"/>
            <w:tcBorders>
              <w:left w:val="nil"/>
              <w:right w:val="single" w:sz="4" w:space="0" w:color="auto"/>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p>
        </w:tc>
        <w:tc>
          <w:tcPr>
            <w:tcW w:w="1531" w:type="dxa"/>
            <w:tcBorders>
              <w:left w:val="single" w:sz="4" w:space="0" w:color="auto"/>
              <w:right w:val="nil"/>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r w:rsidRPr="009F676B">
              <w:rPr>
                <w:rFonts w:ascii="Arial" w:eastAsia="MS PGothic" w:hAnsi="Arial" w:cs="Arial"/>
                <w:color w:val="000000"/>
                <w:sz w:val="18"/>
                <w:szCs w:val="18"/>
              </w:rPr>
              <w:t>Proline</w:t>
            </w:r>
          </w:p>
        </w:tc>
        <w:tc>
          <w:tcPr>
            <w:tcW w:w="1531" w:type="dxa"/>
            <w:tcBorders>
              <w:left w:val="nil"/>
              <w:right w:val="nil"/>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r w:rsidRPr="009F676B">
              <w:rPr>
                <w:rFonts w:ascii="Arial" w:eastAsia="MS PGothic" w:hAnsi="Arial" w:cs="Arial"/>
                <w:color w:val="000000"/>
                <w:sz w:val="18"/>
                <w:szCs w:val="18"/>
              </w:rPr>
              <w:t>F6P</w:t>
            </w:r>
          </w:p>
        </w:tc>
        <w:tc>
          <w:tcPr>
            <w:tcW w:w="1531" w:type="dxa"/>
            <w:tcBorders>
              <w:left w:val="nil"/>
              <w:right w:val="nil"/>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r w:rsidRPr="009F676B">
              <w:rPr>
                <w:rFonts w:ascii="Arial" w:eastAsia="MS PGothic" w:hAnsi="Arial" w:cs="Arial"/>
                <w:color w:val="000000"/>
                <w:sz w:val="18"/>
                <w:szCs w:val="18"/>
              </w:rPr>
              <w:t>2-Oxoglutarate</w:t>
            </w:r>
          </w:p>
        </w:tc>
        <w:tc>
          <w:tcPr>
            <w:tcW w:w="1531" w:type="dxa"/>
            <w:tcBorders>
              <w:left w:val="nil"/>
              <w:right w:val="nil"/>
            </w:tcBorders>
            <w:vAlign w:val="center"/>
          </w:tcPr>
          <w:p w:rsidR="009F676B" w:rsidRPr="009F676B" w:rsidRDefault="009F676B" w:rsidP="00984373">
            <w:pPr>
              <w:spacing w:line="240" w:lineRule="auto"/>
              <w:rPr>
                <w:rFonts w:ascii="Arial" w:eastAsia="MS PGothic" w:hAnsi="Arial" w:cs="Arial"/>
                <w:color w:val="000000"/>
                <w:sz w:val="18"/>
                <w:szCs w:val="18"/>
              </w:rPr>
            </w:pPr>
            <w:r w:rsidRPr="009F676B">
              <w:rPr>
                <w:rFonts w:ascii="Arial" w:eastAsia="MS PGothic" w:hAnsi="Arial" w:cs="Arial"/>
                <w:color w:val="000000"/>
                <w:sz w:val="18"/>
                <w:szCs w:val="18"/>
              </w:rPr>
              <w:t>Camphor-sulfonic acid</w:t>
            </w:r>
          </w:p>
        </w:tc>
      </w:tr>
      <w:tr w:rsidR="009F676B" w:rsidRPr="009F676B" w:rsidTr="009F676B">
        <w:trPr>
          <w:trHeight w:val="397"/>
        </w:trPr>
        <w:tc>
          <w:tcPr>
            <w:tcW w:w="1531" w:type="dxa"/>
            <w:tcBorders>
              <w:left w:val="nil"/>
              <w:right w:val="nil"/>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r w:rsidRPr="009F676B">
              <w:rPr>
                <w:rFonts w:ascii="Arial" w:eastAsia="MS PGothic" w:hAnsi="Arial" w:cs="Arial"/>
                <w:color w:val="000000"/>
                <w:sz w:val="18"/>
                <w:szCs w:val="18"/>
              </w:rPr>
              <w:t>Histidine</w:t>
            </w:r>
          </w:p>
        </w:tc>
        <w:tc>
          <w:tcPr>
            <w:tcW w:w="1531" w:type="dxa"/>
            <w:tcBorders>
              <w:left w:val="nil"/>
              <w:right w:val="single" w:sz="4" w:space="0" w:color="auto"/>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p>
        </w:tc>
        <w:tc>
          <w:tcPr>
            <w:tcW w:w="1531" w:type="dxa"/>
            <w:tcBorders>
              <w:left w:val="single" w:sz="4" w:space="0" w:color="auto"/>
              <w:right w:val="nil"/>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r w:rsidRPr="009F676B">
              <w:rPr>
                <w:rFonts w:ascii="Arial" w:eastAsia="MS PGothic" w:hAnsi="Arial" w:cs="Arial"/>
                <w:color w:val="000000"/>
                <w:sz w:val="18"/>
                <w:szCs w:val="18"/>
              </w:rPr>
              <w:t>Valine</w:t>
            </w:r>
          </w:p>
        </w:tc>
        <w:tc>
          <w:tcPr>
            <w:tcW w:w="1531" w:type="dxa"/>
            <w:tcBorders>
              <w:left w:val="nil"/>
              <w:right w:val="nil"/>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r w:rsidRPr="009F676B">
              <w:rPr>
                <w:rFonts w:ascii="Arial" w:eastAsia="MS PGothic" w:hAnsi="Arial" w:cs="Arial"/>
                <w:color w:val="000000"/>
                <w:sz w:val="18"/>
                <w:szCs w:val="18"/>
              </w:rPr>
              <w:t>G1P</w:t>
            </w:r>
          </w:p>
        </w:tc>
        <w:tc>
          <w:tcPr>
            <w:tcW w:w="1531" w:type="dxa"/>
            <w:tcBorders>
              <w:left w:val="nil"/>
              <w:right w:val="nil"/>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r w:rsidRPr="009F676B">
              <w:rPr>
                <w:rFonts w:ascii="Arial" w:eastAsia="MS PGothic" w:hAnsi="Arial" w:cs="Arial"/>
                <w:color w:val="000000"/>
                <w:sz w:val="18"/>
                <w:szCs w:val="18"/>
              </w:rPr>
              <w:t>UDP-</w:t>
            </w:r>
            <w:proofErr w:type="spellStart"/>
            <w:r w:rsidRPr="009F676B">
              <w:rPr>
                <w:rFonts w:ascii="Arial" w:eastAsia="MS PGothic" w:hAnsi="Arial" w:cs="Arial"/>
                <w:color w:val="000000"/>
                <w:sz w:val="18"/>
                <w:szCs w:val="18"/>
              </w:rPr>
              <w:t>Glc</w:t>
            </w:r>
            <w:proofErr w:type="spellEnd"/>
          </w:p>
        </w:tc>
        <w:tc>
          <w:tcPr>
            <w:tcW w:w="1531" w:type="dxa"/>
            <w:tcBorders>
              <w:left w:val="nil"/>
              <w:right w:val="nil"/>
            </w:tcBorders>
            <w:vAlign w:val="center"/>
          </w:tcPr>
          <w:p w:rsidR="009F676B" w:rsidRPr="009F676B" w:rsidRDefault="009F676B" w:rsidP="00984373">
            <w:pPr>
              <w:spacing w:line="240" w:lineRule="auto"/>
              <w:rPr>
                <w:rFonts w:ascii="Arial" w:eastAsia="MS PGothic" w:hAnsi="Arial" w:cs="Arial"/>
                <w:color w:val="000000"/>
                <w:sz w:val="18"/>
                <w:szCs w:val="18"/>
              </w:rPr>
            </w:pPr>
            <w:r w:rsidRPr="009F676B">
              <w:rPr>
                <w:rFonts w:ascii="Arial" w:eastAsia="MS PGothic" w:hAnsi="Arial" w:cs="Arial"/>
                <w:color w:val="000000"/>
                <w:sz w:val="18"/>
                <w:szCs w:val="18"/>
              </w:rPr>
              <w:t>ATP</w:t>
            </w:r>
          </w:p>
        </w:tc>
      </w:tr>
      <w:tr w:rsidR="009F676B" w:rsidRPr="009F676B" w:rsidTr="009F676B">
        <w:trPr>
          <w:trHeight w:val="397"/>
        </w:trPr>
        <w:tc>
          <w:tcPr>
            <w:tcW w:w="1531" w:type="dxa"/>
            <w:tcBorders>
              <w:left w:val="nil"/>
              <w:right w:val="nil"/>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r w:rsidRPr="009F676B">
              <w:rPr>
                <w:rFonts w:ascii="Arial" w:eastAsia="MS PGothic" w:hAnsi="Arial" w:cs="Arial"/>
                <w:color w:val="000000"/>
                <w:sz w:val="18"/>
                <w:szCs w:val="18"/>
              </w:rPr>
              <w:t>Hypoxanthine</w:t>
            </w:r>
          </w:p>
        </w:tc>
        <w:tc>
          <w:tcPr>
            <w:tcW w:w="1531" w:type="dxa"/>
            <w:tcBorders>
              <w:left w:val="nil"/>
              <w:right w:val="single" w:sz="4" w:space="0" w:color="auto"/>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p>
        </w:tc>
        <w:tc>
          <w:tcPr>
            <w:tcW w:w="1531" w:type="dxa"/>
            <w:tcBorders>
              <w:left w:val="single" w:sz="4" w:space="0" w:color="auto"/>
              <w:right w:val="nil"/>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r w:rsidRPr="009F676B">
              <w:rPr>
                <w:rFonts w:ascii="Arial" w:eastAsia="MS PGothic" w:hAnsi="Arial" w:cs="Arial"/>
                <w:color w:val="000000"/>
                <w:sz w:val="18"/>
                <w:szCs w:val="18"/>
              </w:rPr>
              <w:t>Cytidine</w:t>
            </w:r>
          </w:p>
        </w:tc>
        <w:tc>
          <w:tcPr>
            <w:tcW w:w="1531" w:type="dxa"/>
            <w:tcBorders>
              <w:left w:val="nil"/>
              <w:right w:val="nil"/>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r w:rsidRPr="009F676B">
              <w:rPr>
                <w:rFonts w:ascii="Arial" w:eastAsia="MS PGothic" w:hAnsi="Arial" w:cs="Arial"/>
                <w:color w:val="000000"/>
                <w:sz w:val="18"/>
                <w:szCs w:val="18"/>
              </w:rPr>
              <w:t>-</w:t>
            </w:r>
            <w:proofErr w:type="spellStart"/>
            <w:r w:rsidRPr="009F676B">
              <w:rPr>
                <w:rFonts w:ascii="Arial" w:eastAsia="MS PGothic" w:hAnsi="Arial" w:cs="Arial"/>
                <w:color w:val="000000"/>
                <w:sz w:val="18"/>
                <w:szCs w:val="18"/>
              </w:rPr>
              <w:t>Glycero</w:t>
            </w:r>
            <w:proofErr w:type="spellEnd"/>
            <w:r w:rsidRPr="009F676B">
              <w:rPr>
                <w:rFonts w:ascii="Arial" w:eastAsia="MS PGothic" w:hAnsi="Arial" w:cs="Arial"/>
                <w:color w:val="000000"/>
                <w:sz w:val="18"/>
                <w:szCs w:val="18"/>
              </w:rPr>
              <w:t>-phosphate</w:t>
            </w:r>
          </w:p>
        </w:tc>
        <w:tc>
          <w:tcPr>
            <w:tcW w:w="1531" w:type="dxa"/>
            <w:tcBorders>
              <w:left w:val="nil"/>
              <w:right w:val="nil"/>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r w:rsidRPr="009F676B">
              <w:rPr>
                <w:rFonts w:ascii="Arial" w:eastAsia="MS PGothic" w:hAnsi="Arial" w:cs="Arial"/>
                <w:color w:val="000000"/>
                <w:sz w:val="18"/>
                <w:szCs w:val="18"/>
              </w:rPr>
              <w:t>CDP</w:t>
            </w:r>
          </w:p>
        </w:tc>
        <w:tc>
          <w:tcPr>
            <w:tcW w:w="1531" w:type="dxa"/>
            <w:tcBorders>
              <w:left w:val="nil"/>
              <w:right w:val="nil"/>
            </w:tcBorders>
            <w:vAlign w:val="center"/>
          </w:tcPr>
          <w:p w:rsidR="009F676B" w:rsidRPr="009F676B" w:rsidRDefault="009F676B" w:rsidP="00984373">
            <w:pPr>
              <w:spacing w:line="240" w:lineRule="auto"/>
              <w:rPr>
                <w:rFonts w:ascii="Arial" w:eastAsia="MS PGothic" w:hAnsi="Arial" w:cs="Arial"/>
                <w:color w:val="000000"/>
                <w:sz w:val="18"/>
                <w:szCs w:val="18"/>
              </w:rPr>
            </w:pPr>
            <w:r w:rsidRPr="009F676B">
              <w:rPr>
                <w:rFonts w:ascii="Arial" w:eastAsia="MS PGothic" w:hAnsi="Arial" w:cs="Arial"/>
                <w:color w:val="000000"/>
                <w:sz w:val="18"/>
                <w:szCs w:val="18"/>
              </w:rPr>
              <w:t>PQQ</w:t>
            </w:r>
          </w:p>
        </w:tc>
      </w:tr>
      <w:tr w:rsidR="009F676B" w:rsidRPr="009F676B" w:rsidTr="009F676B">
        <w:trPr>
          <w:trHeight w:val="397"/>
        </w:trPr>
        <w:tc>
          <w:tcPr>
            <w:tcW w:w="1531" w:type="dxa"/>
            <w:tcBorders>
              <w:left w:val="nil"/>
              <w:right w:val="nil"/>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r w:rsidRPr="009F676B">
              <w:rPr>
                <w:rFonts w:ascii="Arial" w:eastAsia="MS PGothic" w:hAnsi="Arial" w:cs="Arial"/>
                <w:color w:val="000000"/>
                <w:sz w:val="18"/>
                <w:szCs w:val="18"/>
              </w:rPr>
              <w:t>Isoleucine</w:t>
            </w:r>
          </w:p>
        </w:tc>
        <w:tc>
          <w:tcPr>
            <w:tcW w:w="1531" w:type="dxa"/>
            <w:tcBorders>
              <w:left w:val="nil"/>
              <w:right w:val="single" w:sz="4" w:space="0" w:color="auto"/>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p>
        </w:tc>
        <w:tc>
          <w:tcPr>
            <w:tcW w:w="1531" w:type="dxa"/>
            <w:tcBorders>
              <w:left w:val="single" w:sz="4" w:space="0" w:color="auto"/>
              <w:right w:val="nil"/>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r w:rsidRPr="009F676B">
              <w:rPr>
                <w:rFonts w:ascii="Arial" w:eastAsia="MS PGothic" w:hAnsi="Arial" w:cs="Arial"/>
                <w:color w:val="000000"/>
                <w:sz w:val="18"/>
                <w:szCs w:val="18"/>
              </w:rPr>
              <w:t>Methionine</w:t>
            </w:r>
          </w:p>
        </w:tc>
        <w:tc>
          <w:tcPr>
            <w:tcW w:w="1531" w:type="dxa"/>
            <w:tcBorders>
              <w:left w:val="nil"/>
              <w:right w:val="nil"/>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r w:rsidRPr="009F676B">
              <w:rPr>
                <w:rFonts w:ascii="Arial" w:eastAsia="MS PGothic" w:hAnsi="Arial" w:cs="Arial"/>
                <w:color w:val="000000"/>
                <w:sz w:val="18"/>
                <w:szCs w:val="18"/>
              </w:rPr>
              <w:t>GAP</w:t>
            </w:r>
          </w:p>
        </w:tc>
        <w:tc>
          <w:tcPr>
            <w:tcW w:w="1531" w:type="dxa"/>
            <w:tcBorders>
              <w:left w:val="nil"/>
              <w:right w:val="nil"/>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r w:rsidRPr="009F676B">
              <w:rPr>
                <w:rFonts w:ascii="Arial" w:eastAsia="MS PGothic" w:hAnsi="Arial" w:cs="Arial"/>
                <w:color w:val="000000"/>
                <w:sz w:val="18"/>
                <w:szCs w:val="18"/>
              </w:rPr>
              <w:t>Fumarate</w:t>
            </w:r>
          </w:p>
        </w:tc>
        <w:tc>
          <w:tcPr>
            <w:tcW w:w="1531" w:type="dxa"/>
            <w:tcBorders>
              <w:left w:val="nil"/>
              <w:right w:val="nil"/>
            </w:tcBorders>
            <w:vAlign w:val="center"/>
          </w:tcPr>
          <w:p w:rsidR="009F676B" w:rsidRPr="009F676B" w:rsidRDefault="009F676B" w:rsidP="00984373">
            <w:pPr>
              <w:spacing w:line="240" w:lineRule="auto"/>
              <w:rPr>
                <w:rFonts w:ascii="Arial" w:eastAsia="MS PGothic" w:hAnsi="Arial" w:cs="Arial"/>
                <w:color w:val="000000"/>
                <w:sz w:val="18"/>
                <w:szCs w:val="18"/>
              </w:rPr>
            </w:pPr>
            <w:r w:rsidRPr="009F676B">
              <w:rPr>
                <w:rFonts w:ascii="Arial" w:eastAsia="MS PGothic" w:hAnsi="Arial" w:cs="Arial"/>
                <w:color w:val="000000"/>
                <w:sz w:val="18"/>
                <w:szCs w:val="18"/>
              </w:rPr>
              <w:t>CoA</w:t>
            </w:r>
          </w:p>
        </w:tc>
      </w:tr>
      <w:tr w:rsidR="009F676B" w:rsidRPr="009F676B" w:rsidTr="009F676B">
        <w:trPr>
          <w:trHeight w:val="397"/>
        </w:trPr>
        <w:tc>
          <w:tcPr>
            <w:tcW w:w="1531" w:type="dxa"/>
            <w:tcBorders>
              <w:left w:val="nil"/>
              <w:right w:val="nil"/>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r w:rsidRPr="009F676B">
              <w:rPr>
                <w:rFonts w:ascii="Arial" w:eastAsia="MS PGothic" w:hAnsi="Arial" w:cs="Arial"/>
                <w:color w:val="000000"/>
                <w:sz w:val="18"/>
                <w:szCs w:val="18"/>
              </w:rPr>
              <w:t>Leucine</w:t>
            </w:r>
          </w:p>
        </w:tc>
        <w:tc>
          <w:tcPr>
            <w:tcW w:w="1531" w:type="dxa"/>
            <w:tcBorders>
              <w:left w:val="nil"/>
              <w:right w:val="single" w:sz="4" w:space="0" w:color="auto"/>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p>
        </w:tc>
        <w:tc>
          <w:tcPr>
            <w:tcW w:w="1531" w:type="dxa"/>
            <w:tcBorders>
              <w:left w:val="single" w:sz="4" w:space="0" w:color="auto"/>
              <w:right w:val="nil"/>
            </w:tcBorders>
            <w:shd w:val="clear" w:color="auto" w:fill="D9D9D9" w:themeFill="background1" w:themeFillShade="D9"/>
            <w:noWrap/>
            <w:vAlign w:val="center"/>
          </w:tcPr>
          <w:p w:rsidR="009F676B" w:rsidRPr="009F676B" w:rsidRDefault="009F676B" w:rsidP="00984373">
            <w:pPr>
              <w:spacing w:line="240" w:lineRule="auto"/>
              <w:rPr>
                <w:rFonts w:ascii="Arial" w:eastAsia="MS PGothic" w:hAnsi="Arial" w:cs="Arial"/>
                <w:color w:val="000000"/>
                <w:sz w:val="18"/>
                <w:szCs w:val="18"/>
              </w:rPr>
            </w:pPr>
            <w:r w:rsidRPr="009F676B">
              <w:rPr>
                <w:rFonts w:ascii="Arial" w:eastAsia="MS PGothic" w:hAnsi="Arial" w:cs="Arial"/>
                <w:color w:val="000000"/>
                <w:sz w:val="18"/>
                <w:szCs w:val="18"/>
              </w:rPr>
              <w:t>Guanine</w:t>
            </w:r>
          </w:p>
        </w:tc>
        <w:tc>
          <w:tcPr>
            <w:tcW w:w="1531" w:type="dxa"/>
            <w:tcBorders>
              <w:left w:val="nil"/>
              <w:right w:val="nil"/>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r w:rsidRPr="009F676B">
              <w:rPr>
                <w:rFonts w:ascii="Arial" w:eastAsia="MS PGothic" w:hAnsi="Arial" w:cs="Arial"/>
                <w:color w:val="000000"/>
                <w:sz w:val="18"/>
                <w:szCs w:val="18"/>
              </w:rPr>
              <w:t>Thiamine pyrophosphate</w:t>
            </w:r>
          </w:p>
        </w:tc>
        <w:tc>
          <w:tcPr>
            <w:tcW w:w="1531" w:type="dxa"/>
            <w:tcBorders>
              <w:left w:val="nil"/>
              <w:right w:val="nil"/>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r w:rsidRPr="009F676B">
              <w:rPr>
                <w:rFonts w:ascii="Arial" w:eastAsia="MS PGothic" w:hAnsi="Arial" w:cs="Arial"/>
                <w:color w:val="000000"/>
                <w:sz w:val="18"/>
                <w:szCs w:val="18"/>
              </w:rPr>
              <w:t>3PGA</w:t>
            </w:r>
          </w:p>
        </w:tc>
        <w:tc>
          <w:tcPr>
            <w:tcW w:w="1531" w:type="dxa"/>
            <w:tcBorders>
              <w:left w:val="nil"/>
              <w:right w:val="nil"/>
            </w:tcBorders>
            <w:vAlign w:val="center"/>
          </w:tcPr>
          <w:p w:rsidR="009F676B" w:rsidRPr="009F676B" w:rsidRDefault="009F676B" w:rsidP="00984373">
            <w:pPr>
              <w:spacing w:line="240" w:lineRule="auto"/>
              <w:rPr>
                <w:rFonts w:ascii="Arial" w:eastAsia="MS PGothic" w:hAnsi="Arial" w:cs="Arial"/>
                <w:color w:val="000000"/>
                <w:sz w:val="18"/>
                <w:szCs w:val="18"/>
              </w:rPr>
            </w:pPr>
            <w:proofErr w:type="spellStart"/>
            <w:r w:rsidRPr="009F676B">
              <w:rPr>
                <w:rFonts w:ascii="Arial" w:eastAsia="MS PGothic" w:hAnsi="Arial" w:cs="Arial"/>
                <w:color w:val="000000"/>
                <w:sz w:val="18"/>
                <w:szCs w:val="18"/>
              </w:rPr>
              <w:t>Acetoacetyl</w:t>
            </w:r>
            <w:proofErr w:type="spellEnd"/>
            <w:r w:rsidRPr="009F676B">
              <w:rPr>
                <w:rFonts w:ascii="Arial" w:eastAsia="MS PGothic" w:hAnsi="Arial" w:cs="Arial"/>
                <w:color w:val="000000"/>
                <w:sz w:val="18"/>
                <w:szCs w:val="18"/>
              </w:rPr>
              <w:t xml:space="preserve"> CoA</w:t>
            </w:r>
          </w:p>
        </w:tc>
      </w:tr>
      <w:tr w:rsidR="009F676B" w:rsidRPr="009F676B" w:rsidTr="009F676B">
        <w:trPr>
          <w:trHeight w:val="397"/>
        </w:trPr>
        <w:tc>
          <w:tcPr>
            <w:tcW w:w="1531" w:type="dxa"/>
            <w:tcBorders>
              <w:left w:val="nil"/>
              <w:right w:val="nil"/>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r w:rsidRPr="009F676B">
              <w:rPr>
                <w:rFonts w:ascii="Arial" w:eastAsia="MS PGothic" w:hAnsi="Arial" w:cs="Arial"/>
                <w:color w:val="000000"/>
                <w:sz w:val="18"/>
                <w:szCs w:val="18"/>
              </w:rPr>
              <w:t>Lysine</w:t>
            </w:r>
          </w:p>
        </w:tc>
        <w:tc>
          <w:tcPr>
            <w:tcW w:w="1531" w:type="dxa"/>
            <w:tcBorders>
              <w:left w:val="nil"/>
              <w:right w:val="single" w:sz="4" w:space="0" w:color="auto"/>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p>
        </w:tc>
        <w:tc>
          <w:tcPr>
            <w:tcW w:w="1531" w:type="dxa"/>
            <w:tcBorders>
              <w:left w:val="single" w:sz="4" w:space="0" w:color="auto"/>
              <w:right w:val="nil"/>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r w:rsidRPr="009F676B">
              <w:rPr>
                <w:rFonts w:ascii="Arial" w:eastAsia="MS PGothic" w:hAnsi="Arial" w:cs="Arial"/>
                <w:color w:val="000000"/>
                <w:sz w:val="18"/>
                <w:szCs w:val="18"/>
              </w:rPr>
              <w:t>Leucine</w:t>
            </w:r>
          </w:p>
        </w:tc>
        <w:tc>
          <w:tcPr>
            <w:tcW w:w="1531" w:type="dxa"/>
            <w:tcBorders>
              <w:left w:val="nil"/>
              <w:right w:val="nil"/>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proofErr w:type="spellStart"/>
            <w:r w:rsidRPr="009F676B">
              <w:rPr>
                <w:rFonts w:ascii="Arial" w:eastAsia="MS PGothic" w:hAnsi="Arial" w:cs="Arial"/>
                <w:color w:val="000000"/>
                <w:sz w:val="18"/>
                <w:szCs w:val="18"/>
              </w:rPr>
              <w:t>Orotate</w:t>
            </w:r>
            <w:proofErr w:type="spellEnd"/>
          </w:p>
        </w:tc>
        <w:tc>
          <w:tcPr>
            <w:tcW w:w="1531" w:type="dxa"/>
            <w:tcBorders>
              <w:left w:val="nil"/>
              <w:right w:val="nil"/>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r w:rsidRPr="009F676B">
              <w:rPr>
                <w:rFonts w:ascii="Arial" w:eastAsia="MS PGothic" w:hAnsi="Arial" w:cs="Arial"/>
                <w:color w:val="000000"/>
                <w:sz w:val="18"/>
                <w:szCs w:val="18"/>
              </w:rPr>
              <w:t>ADP-</w:t>
            </w:r>
            <w:proofErr w:type="spellStart"/>
            <w:r w:rsidRPr="009F676B">
              <w:rPr>
                <w:rFonts w:ascii="Arial" w:eastAsia="MS PGothic" w:hAnsi="Arial" w:cs="Arial"/>
                <w:color w:val="000000"/>
                <w:sz w:val="18"/>
                <w:szCs w:val="18"/>
              </w:rPr>
              <w:t>Glc</w:t>
            </w:r>
            <w:proofErr w:type="spellEnd"/>
          </w:p>
        </w:tc>
        <w:tc>
          <w:tcPr>
            <w:tcW w:w="1531" w:type="dxa"/>
            <w:tcBorders>
              <w:left w:val="nil"/>
              <w:right w:val="nil"/>
            </w:tcBorders>
            <w:vAlign w:val="center"/>
          </w:tcPr>
          <w:p w:rsidR="009F676B" w:rsidRPr="009F676B" w:rsidRDefault="009F676B" w:rsidP="00984373">
            <w:pPr>
              <w:spacing w:line="240" w:lineRule="auto"/>
              <w:rPr>
                <w:rFonts w:ascii="Arial" w:eastAsia="MS PGothic" w:hAnsi="Arial" w:cs="Arial"/>
                <w:color w:val="000000"/>
                <w:sz w:val="18"/>
                <w:szCs w:val="18"/>
              </w:rPr>
            </w:pPr>
            <w:r w:rsidRPr="009F676B">
              <w:rPr>
                <w:rFonts w:ascii="Arial" w:eastAsia="MS PGothic" w:hAnsi="Arial" w:cs="Arial"/>
                <w:color w:val="000000"/>
                <w:sz w:val="18"/>
                <w:szCs w:val="18"/>
              </w:rPr>
              <w:t>3HB CoA</w:t>
            </w:r>
          </w:p>
        </w:tc>
      </w:tr>
      <w:tr w:rsidR="009F676B" w:rsidRPr="009F676B" w:rsidTr="009F676B">
        <w:trPr>
          <w:trHeight w:val="397"/>
        </w:trPr>
        <w:tc>
          <w:tcPr>
            <w:tcW w:w="1531" w:type="dxa"/>
            <w:tcBorders>
              <w:left w:val="nil"/>
              <w:right w:val="nil"/>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r w:rsidRPr="009F676B">
              <w:rPr>
                <w:rFonts w:ascii="Arial" w:eastAsia="MS PGothic" w:hAnsi="Arial" w:cs="Arial"/>
                <w:color w:val="000000"/>
                <w:sz w:val="18"/>
                <w:szCs w:val="18"/>
              </w:rPr>
              <w:t>Methionine</w:t>
            </w:r>
          </w:p>
        </w:tc>
        <w:tc>
          <w:tcPr>
            <w:tcW w:w="1531" w:type="dxa"/>
            <w:tcBorders>
              <w:left w:val="nil"/>
              <w:right w:val="single" w:sz="4" w:space="0" w:color="auto"/>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p>
        </w:tc>
        <w:tc>
          <w:tcPr>
            <w:tcW w:w="1531" w:type="dxa"/>
            <w:tcBorders>
              <w:left w:val="single" w:sz="4" w:space="0" w:color="auto"/>
              <w:right w:val="nil"/>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r w:rsidRPr="009F676B">
              <w:rPr>
                <w:rFonts w:ascii="Arial" w:eastAsia="MS PGothic" w:hAnsi="Arial" w:cs="Arial"/>
                <w:color w:val="000000"/>
                <w:sz w:val="18"/>
                <w:szCs w:val="18"/>
              </w:rPr>
              <w:t>Tyrosine</w:t>
            </w:r>
          </w:p>
        </w:tc>
        <w:tc>
          <w:tcPr>
            <w:tcW w:w="1531" w:type="dxa"/>
            <w:tcBorders>
              <w:left w:val="nil"/>
              <w:right w:val="nil"/>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r w:rsidRPr="009F676B">
              <w:rPr>
                <w:rFonts w:ascii="Arial" w:eastAsia="MS PGothic" w:hAnsi="Arial" w:cs="Arial"/>
                <w:color w:val="000000"/>
                <w:sz w:val="18"/>
                <w:szCs w:val="18"/>
              </w:rPr>
              <w:t>E4P</w:t>
            </w:r>
          </w:p>
        </w:tc>
        <w:tc>
          <w:tcPr>
            <w:tcW w:w="1531" w:type="dxa"/>
            <w:tcBorders>
              <w:left w:val="nil"/>
              <w:right w:val="nil"/>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r w:rsidRPr="009F676B">
              <w:rPr>
                <w:rFonts w:ascii="Arial" w:eastAsia="MS PGothic" w:hAnsi="Arial" w:cs="Arial"/>
                <w:color w:val="000000"/>
                <w:sz w:val="18"/>
                <w:szCs w:val="18"/>
              </w:rPr>
              <w:t>UDP</w:t>
            </w:r>
          </w:p>
        </w:tc>
        <w:tc>
          <w:tcPr>
            <w:tcW w:w="1531" w:type="dxa"/>
            <w:tcBorders>
              <w:left w:val="nil"/>
              <w:right w:val="nil"/>
            </w:tcBorders>
            <w:vAlign w:val="center"/>
          </w:tcPr>
          <w:p w:rsidR="009F676B" w:rsidRPr="009F676B" w:rsidRDefault="009F676B" w:rsidP="00984373">
            <w:pPr>
              <w:spacing w:line="240" w:lineRule="auto"/>
              <w:rPr>
                <w:rFonts w:ascii="Arial" w:eastAsia="MS PGothic" w:hAnsi="Arial" w:cs="Arial"/>
                <w:color w:val="000000"/>
                <w:sz w:val="18"/>
                <w:szCs w:val="18"/>
              </w:rPr>
            </w:pPr>
            <w:proofErr w:type="spellStart"/>
            <w:r w:rsidRPr="009F676B">
              <w:rPr>
                <w:rFonts w:ascii="Arial" w:eastAsia="MS PGothic" w:hAnsi="Arial" w:cs="Arial"/>
                <w:color w:val="000000"/>
                <w:sz w:val="18"/>
                <w:szCs w:val="18"/>
              </w:rPr>
              <w:t>Succinyl</w:t>
            </w:r>
            <w:proofErr w:type="spellEnd"/>
            <w:r w:rsidRPr="009F676B">
              <w:rPr>
                <w:rFonts w:ascii="Arial" w:eastAsia="MS PGothic" w:hAnsi="Arial" w:cs="Arial"/>
                <w:color w:val="000000"/>
                <w:sz w:val="18"/>
                <w:szCs w:val="18"/>
              </w:rPr>
              <w:t xml:space="preserve"> CoA</w:t>
            </w:r>
          </w:p>
        </w:tc>
      </w:tr>
      <w:tr w:rsidR="009F676B" w:rsidRPr="009F676B" w:rsidTr="009F676B">
        <w:trPr>
          <w:trHeight w:val="397"/>
        </w:trPr>
        <w:tc>
          <w:tcPr>
            <w:tcW w:w="1531" w:type="dxa"/>
            <w:tcBorders>
              <w:left w:val="nil"/>
              <w:right w:val="nil"/>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r w:rsidRPr="009F676B">
              <w:rPr>
                <w:rFonts w:ascii="Arial" w:eastAsia="MS PGothic" w:hAnsi="Arial" w:cs="Arial"/>
                <w:color w:val="000000"/>
                <w:sz w:val="18"/>
                <w:szCs w:val="18"/>
              </w:rPr>
              <w:t>Methionine sulfone</w:t>
            </w:r>
          </w:p>
        </w:tc>
        <w:tc>
          <w:tcPr>
            <w:tcW w:w="1531" w:type="dxa"/>
            <w:tcBorders>
              <w:left w:val="nil"/>
              <w:right w:val="single" w:sz="4" w:space="0" w:color="auto"/>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p>
        </w:tc>
        <w:tc>
          <w:tcPr>
            <w:tcW w:w="1531" w:type="dxa"/>
            <w:tcBorders>
              <w:left w:val="single" w:sz="4" w:space="0" w:color="auto"/>
              <w:right w:val="nil"/>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r w:rsidRPr="009F676B">
              <w:rPr>
                <w:rFonts w:ascii="Arial" w:eastAsia="MS PGothic" w:hAnsi="Arial" w:cs="Arial"/>
                <w:color w:val="000000"/>
                <w:sz w:val="18"/>
                <w:szCs w:val="18"/>
              </w:rPr>
              <w:t>Isoleucine</w:t>
            </w:r>
          </w:p>
        </w:tc>
        <w:tc>
          <w:tcPr>
            <w:tcW w:w="1531" w:type="dxa"/>
            <w:tcBorders>
              <w:left w:val="nil"/>
              <w:right w:val="nil"/>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r w:rsidRPr="009F676B">
              <w:rPr>
                <w:rFonts w:ascii="Arial" w:eastAsia="MS PGothic" w:hAnsi="Arial" w:cs="Arial"/>
                <w:color w:val="000000"/>
                <w:sz w:val="18"/>
                <w:szCs w:val="18"/>
              </w:rPr>
              <w:t>NAD</w:t>
            </w:r>
          </w:p>
        </w:tc>
        <w:tc>
          <w:tcPr>
            <w:tcW w:w="1531" w:type="dxa"/>
            <w:tcBorders>
              <w:left w:val="nil"/>
              <w:right w:val="nil"/>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r w:rsidRPr="009F676B">
              <w:rPr>
                <w:rFonts w:ascii="Arial" w:eastAsia="MS PGothic" w:hAnsi="Arial" w:cs="Arial"/>
                <w:color w:val="000000"/>
                <w:sz w:val="18"/>
                <w:szCs w:val="18"/>
              </w:rPr>
              <w:t>KDPG</w:t>
            </w:r>
          </w:p>
        </w:tc>
        <w:tc>
          <w:tcPr>
            <w:tcW w:w="1531" w:type="dxa"/>
            <w:tcBorders>
              <w:left w:val="nil"/>
              <w:right w:val="nil"/>
            </w:tcBorders>
            <w:vAlign w:val="center"/>
          </w:tcPr>
          <w:p w:rsidR="009F676B" w:rsidRPr="009F676B" w:rsidRDefault="009F676B" w:rsidP="00984373">
            <w:pPr>
              <w:spacing w:line="240" w:lineRule="auto"/>
              <w:rPr>
                <w:rFonts w:ascii="Arial" w:eastAsia="MS PGothic" w:hAnsi="Arial" w:cs="Arial"/>
                <w:color w:val="000000"/>
                <w:sz w:val="18"/>
                <w:szCs w:val="18"/>
              </w:rPr>
            </w:pPr>
            <w:r w:rsidRPr="009F676B">
              <w:rPr>
                <w:rFonts w:ascii="Arial" w:eastAsia="MS PGothic" w:hAnsi="Arial" w:cs="Arial"/>
                <w:color w:val="000000"/>
                <w:sz w:val="18"/>
                <w:szCs w:val="18"/>
              </w:rPr>
              <w:t>Acetyl CoA</w:t>
            </w:r>
          </w:p>
        </w:tc>
      </w:tr>
      <w:tr w:rsidR="009F676B" w:rsidRPr="009F676B" w:rsidTr="009F676B">
        <w:trPr>
          <w:trHeight w:val="397"/>
        </w:trPr>
        <w:tc>
          <w:tcPr>
            <w:tcW w:w="1531" w:type="dxa"/>
            <w:tcBorders>
              <w:left w:val="nil"/>
              <w:right w:val="nil"/>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r w:rsidRPr="009F676B">
              <w:rPr>
                <w:rFonts w:ascii="Arial" w:eastAsia="MS PGothic" w:hAnsi="Arial" w:cs="Arial"/>
                <w:color w:val="000000"/>
                <w:sz w:val="18"/>
                <w:szCs w:val="18"/>
              </w:rPr>
              <w:t>Phenylalanine</w:t>
            </w:r>
          </w:p>
        </w:tc>
        <w:tc>
          <w:tcPr>
            <w:tcW w:w="1531" w:type="dxa"/>
            <w:tcBorders>
              <w:left w:val="nil"/>
              <w:right w:val="single" w:sz="4" w:space="0" w:color="auto"/>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p>
        </w:tc>
        <w:tc>
          <w:tcPr>
            <w:tcW w:w="1531" w:type="dxa"/>
            <w:tcBorders>
              <w:left w:val="single" w:sz="4" w:space="0" w:color="auto"/>
              <w:right w:val="nil"/>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r w:rsidRPr="009F676B">
              <w:rPr>
                <w:rFonts w:ascii="Arial" w:eastAsia="MS PGothic" w:hAnsi="Arial" w:cs="Arial"/>
                <w:color w:val="000000"/>
                <w:sz w:val="18"/>
                <w:szCs w:val="18"/>
              </w:rPr>
              <w:t>Uridine</w:t>
            </w:r>
          </w:p>
        </w:tc>
        <w:tc>
          <w:tcPr>
            <w:tcW w:w="1531" w:type="dxa"/>
            <w:tcBorders>
              <w:left w:val="nil"/>
              <w:right w:val="nil"/>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r w:rsidRPr="009F676B">
              <w:rPr>
                <w:rFonts w:ascii="Arial" w:eastAsia="MS PGothic" w:hAnsi="Arial" w:cs="Arial"/>
                <w:color w:val="000000"/>
                <w:sz w:val="18"/>
                <w:szCs w:val="18"/>
              </w:rPr>
              <w:t>Ru5P</w:t>
            </w:r>
          </w:p>
        </w:tc>
        <w:tc>
          <w:tcPr>
            <w:tcW w:w="1531" w:type="dxa"/>
            <w:tcBorders>
              <w:left w:val="nil"/>
              <w:right w:val="nil"/>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r w:rsidRPr="009F676B">
              <w:rPr>
                <w:rFonts w:ascii="Arial" w:eastAsia="MS PGothic" w:hAnsi="Arial" w:cs="Arial"/>
                <w:color w:val="000000"/>
                <w:sz w:val="18"/>
                <w:szCs w:val="18"/>
              </w:rPr>
              <w:t>NADP</w:t>
            </w:r>
          </w:p>
        </w:tc>
        <w:tc>
          <w:tcPr>
            <w:tcW w:w="1531" w:type="dxa"/>
            <w:tcBorders>
              <w:left w:val="nil"/>
              <w:right w:val="nil"/>
            </w:tcBorders>
            <w:vAlign w:val="center"/>
          </w:tcPr>
          <w:p w:rsidR="009F676B" w:rsidRPr="009F676B" w:rsidRDefault="009F676B" w:rsidP="00984373">
            <w:pPr>
              <w:spacing w:line="240" w:lineRule="auto"/>
              <w:rPr>
                <w:rFonts w:ascii="Arial" w:eastAsia="MS PGothic" w:hAnsi="Arial" w:cs="Arial"/>
                <w:color w:val="000000"/>
                <w:sz w:val="18"/>
                <w:szCs w:val="18"/>
              </w:rPr>
            </w:pPr>
            <w:proofErr w:type="spellStart"/>
            <w:r w:rsidRPr="009F676B">
              <w:rPr>
                <w:rFonts w:ascii="Arial" w:eastAsia="MS PGothic" w:hAnsi="Arial" w:cs="Arial"/>
                <w:color w:val="000000"/>
                <w:sz w:val="18"/>
                <w:szCs w:val="18"/>
              </w:rPr>
              <w:t>Malonyl</w:t>
            </w:r>
            <w:proofErr w:type="spellEnd"/>
            <w:r w:rsidRPr="009F676B">
              <w:rPr>
                <w:rFonts w:ascii="Arial" w:eastAsia="MS PGothic" w:hAnsi="Arial" w:cs="Arial"/>
                <w:color w:val="000000"/>
                <w:sz w:val="18"/>
                <w:szCs w:val="18"/>
              </w:rPr>
              <w:t xml:space="preserve"> CoA</w:t>
            </w:r>
          </w:p>
        </w:tc>
      </w:tr>
      <w:tr w:rsidR="009F676B" w:rsidRPr="009F676B" w:rsidTr="009F676B">
        <w:trPr>
          <w:trHeight w:val="397"/>
        </w:trPr>
        <w:tc>
          <w:tcPr>
            <w:tcW w:w="1531" w:type="dxa"/>
            <w:tcBorders>
              <w:left w:val="nil"/>
              <w:right w:val="nil"/>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r w:rsidRPr="009F676B">
              <w:rPr>
                <w:rFonts w:ascii="Arial" w:eastAsia="MS PGothic" w:hAnsi="Arial" w:cs="Arial"/>
                <w:color w:val="000000"/>
                <w:sz w:val="18"/>
                <w:szCs w:val="18"/>
              </w:rPr>
              <w:t>Proline</w:t>
            </w:r>
          </w:p>
        </w:tc>
        <w:tc>
          <w:tcPr>
            <w:tcW w:w="1531" w:type="dxa"/>
            <w:tcBorders>
              <w:left w:val="nil"/>
              <w:right w:val="single" w:sz="4" w:space="0" w:color="auto"/>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p>
        </w:tc>
        <w:tc>
          <w:tcPr>
            <w:tcW w:w="1531" w:type="dxa"/>
            <w:tcBorders>
              <w:left w:val="single" w:sz="4" w:space="0" w:color="auto"/>
              <w:right w:val="nil"/>
            </w:tcBorders>
            <w:shd w:val="clear" w:color="auto" w:fill="D9D9D9" w:themeFill="background1" w:themeFillShade="D9"/>
            <w:noWrap/>
            <w:vAlign w:val="center"/>
          </w:tcPr>
          <w:p w:rsidR="009F676B" w:rsidRPr="009F676B" w:rsidRDefault="009F676B" w:rsidP="00984373">
            <w:pPr>
              <w:spacing w:line="240" w:lineRule="auto"/>
              <w:rPr>
                <w:rFonts w:ascii="Arial" w:eastAsia="MS PGothic" w:hAnsi="Arial" w:cs="Arial"/>
                <w:color w:val="000000"/>
                <w:sz w:val="18"/>
                <w:szCs w:val="18"/>
              </w:rPr>
            </w:pPr>
            <w:r w:rsidRPr="009F676B">
              <w:rPr>
                <w:rFonts w:ascii="Arial" w:eastAsia="MS PGothic" w:hAnsi="Arial" w:cs="Arial"/>
                <w:color w:val="000000"/>
                <w:sz w:val="18"/>
                <w:szCs w:val="18"/>
              </w:rPr>
              <w:t>Thymine</w:t>
            </w:r>
          </w:p>
        </w:tc>
        <w:tc>
          <w:tcPr>
            <w:tcW w:w="1531" w:type="dxa"/>
            <w:tcBorders>
              <w:left w:val="nil"/>
              <w:right w:val="nil"/>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r w:rsidRPr="009F676B">
              <w:rPr>
                <w:rFonts w:ascii="Arial" w:eastAsia="MS PGothic" w:hAnsi="Arial" w:cs="Arial"/>
                <w:color w:val="000000"/>
                <w:sz w:val="18"/>
                <w:szCs w:val="18"/>
              </w:rPr>
              <w:t>-</w:t>
            </w:r>
            <w:proofErr w:type="spellStart"/>
            <w:r w:rsidRPr="009F676B">
              <w:rPr>
                <w:rFonts w:ascii="Arial" w:eastAsia="MS PGothic" w:hAnsi="Arial" w:cs="Arial"/>
                <w:color w:val="000000"/>
                <w:sz w:val="18"/>
                <w:szCs w:val="18"/>
              </w:rPr>
              <w:t>Glycero</w:t>
            </w:r>
            <w:proofErr w:type="spellEnd"/>
            <w:r w:rsidRPr="009F676B">
              <w:rPr>
                <w:rFonts w:ascii="Arial" w:eastAsia="MS PGothic" w:hAnsi="Arial" w:cs="Arial"/>
                <w:color w:val="000000"/>
                <w:sz w:val="18"/>
                <w:szCs w:val="18"/>
              </w:rPr>
              <w:t>-phosphate</w:t>
            </w:r>
          </w:p>
        </w:tc>
        <w:tc>
          <w:tcPr>
            <w:tcW w:w="1531" w:type="dxa"/>
            <w:tcBorders>
              <w:left w:val="nil"/>
              <w:right w:val="nil"/>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r w:rsidRPr="009F676B">
              <w:rPr>
                <w:rFonts w:ascii="Arial" w:eastAsia="MS PGothic" w:hAnsi="Arial" w:cs="Arial"/>
                <w:color w:val="000000"/>
                <w:sz w:val="18"/>
                <w:szCs w:val="18"/>
              </w:rPr>
              <w:t>ADP-Rib</w:t>
            </w:r>
          </w:p>
        </w:tc>
        <w:tc>
          <w:tcPr>
            <w:tcW w:w="1531" w:type="dxa"/>
            <w:tcBorders>
              <w:left w:val="nil"/>
              <w:right w:val="nil"/>
            </w:tcBorders>
            <w:vAlign w:val="center"/>
          </w:tcPr>
          <w:p w:rsidR="009F676B" w:rsidRPr="009F676B" w:rsidRDefault="009F676B" w:rsidP="00984373">
            <w:pPr>
              <w:spacing w:line="240" w:lineRule="auto"/>
              <w:rPr>
                <w:rFonts w:ascii="Arial" w:eastAsia="MS PGothic" w:hAnsi="Arial" w:cs="Arial"/>
                <w:color w:val="000000"/>
                <w:sz w:val="18"/>
                <w:szCs w:val="18"/>
              </w:rPr>
            </w:pPr>
            <w:r w:rsidRPr="009F676B">
              <w:rPr>
                <w:rFonts w:ascii="Arial" w:eastAsia="MS PGothic" w:hAnsi="Arial" w:cs="Arial"/>
                <w:color w:val="000000"/>
                <w:sz w:val="18"/>
                <w:szCs w:val="18"/>
              </w:rPr>
              <w:t>HMG CoA</w:t>
            </w:r>
          </w:p>
        </w:tc>
      </w:tr>
      <w:tr w:rsidR="009F676B" w:rsidRPr="009F676B" w:rsidTr="009F676B">
        <w:trPr>
          <w:trHeight w:val="397"/>
        </w:trPr>
        <w:tc>
          <w:tcPr>
            <w:tcW w:w="1531" w:type="dxa"/>
            <w:tcBorders>
              <w:left w:val="nil"/>
              <w:right w:val="nil"/>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r w:rsidRPr="009F676B">
              <w:rPr>
                <w:rFonts w:ascii="Arial" w:eastAsia="MS PGothic" w:hAnsi="Arial" w:cs="Arial"/>
                <w:color w:val="000000"/>
                <w:sz w:val="18"/>
                <w:szCs w:val="18"/>
              </w:rPr>
              <w:t>Serine</w:t>
            </w:r>
          </w:p>
        </w:tc>
        <w:tc>
          <w:tcPr>
            <w:tcW w:w="1531" w:type="dxa"/>
            <w:tcBorders>
              <w:left w:val="nil"/>
              <w:right w:val="single" w:sz="4" w:space="0" w:color="auto"/>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p>
        </w:tc>
        <w:tc>
          <w:tcPr>
            <w:tcW w:w="1531" w:type="dxa"/>
            <w:tcBorders>
              <w:left w:val="single" w:sz="4" w:space="0" w:color="auto"/>
              <w:right w:val="nil"/>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r w:rsidRPr="009F676B">
              <w:rPr>
                <w:rFonts w:ascii="Arial" w:eastAsia="MS PGothic" w:hAnsi="Arial" w:cs="Arial"/>
                <w:color w:val="000000"/>
                <w:sz w:val="18"/>
                <w:szCs w:val="18"/>
              </w:rPr>
              <w:t>Glutamate</w:t>
            </w:r>
          </w:p>
        </w:tc>
        <w:tc>
          <w:tcPr>
            <w:tcW w:w="1531" w:type="dxa"/>
            <w:tcBorders>
              <w:left w:val="nil"/>
              <w:right w:val="nil"/>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r w:rsidRPr="009F676B">
              <w:rPr>
                <w:rFonts w:ascii="Arial" w:eastAsia="MS PGothic" w:hAnsi="Arial" w:cs="Arial"/>
                <w:color w:val="000000"/>
                <w:sz w:val="18"/>
                <w:szCs w:val="18"/>
              </w:rPr>
              <w:t>CMP</w:t>
            </w:r>
          </w:p>
        </w:tc>
        <w:tc>
          <w:tcPr>
            <w:tcW w:w="1531" w:type="dxa"/>
            <w:tcBorders>
              <w:left w:val="nil"/>
              <w:right w:val="nil"/>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r w:rsidRPr="009F676B">
              <w:rPr>
                <w:rFonts w:ascii="Arial" w:eastAsia="MS PGothic" w:hAnsi="Arial" w:cs="Arial"/>
                <w:color w:val="000000"/>
                <w:sz w:val="18"/>
                <w:szCs w:val="18"/>
              </w:rPr>
              <w:t>Citrate</w:t>
            </w:r>
          </w:p>
        </w:tc>
        <w:tc>
          <w:tcPr>
            <w:tcW w:w="1531" w:type="dxa"/>
            <w:tcBorders>
              <w:left w:val="nil"/>
              <w:right w:val="nil"/>
            </w:tcBorders>
            <w:vAlign w:val="center"/>
          </w:tcPr>
          <w:p w:rsidR="009F676B" w:rsidRPr="009F676B" w:rsidRDefault="009F676B" w:rsidP="00984373">
            <w:pPr>
              <w:spacing w:line="240" w:lineRule="auto"/>
              <w:rPr>
                <w:rFonts w:ascii="Arial" w:eastAsia="MS PGothic" w:hAnsi="Arial" w:cs="Arial"/>
                <w:color w:val="000000"/>
                <w:sz w:val="18"/>
                <w:szCs w:val="18"/>
              </w:rPr>
            </w:pPr>
            <w:proofErr w:type="spellStart"/>
            <w:r w:rsidRPr="009F676B">
              <w:rPr>
                <w:rFonts w:ascii="Arial" w:eastAsia="MS PGothic" w:hAnsi="Arial" w:cs="Arial"/>
                <w:color w:val="000000"/>
                <w:sz w:val="18"/>
                <w:szCs w:val="18"/>
              </w:rPr>
              <w:t>Crotonyl</w:t>
            </w:r>
            <w:proofErr w:type="spellEnd"/>
            <w:r w:rsidRPr="009F676B">
              <w:rPr>
                <w:rFonts w:ascii="Arial" w:eastAsia="MS PGothic" w:hAnsi="Arial" w:cs="Arial"/>
                <w:color w:val="000000"/>
                <w:sz w:val="18"/>
                <w:szCs w:val="18"/>
              </w:rPr>
              <w:t xml:space="preserve"> CoA</w:t>
            </w:r>
          </w:p>
        </w:tc>
      </w:tr>
      <w:tr w:rsidR="009F676B" w:rsidRPr="009F676B" w:rsidTr="009F676B">
        <w:trPr>
          <w:trHeight w:val="397"/>
        </w:trPr>
        <w:tc>
          <w:tcPr>
            <w:tcW w:w="1531" w:type="dxa"/>
            <w:tcBorders>
              <w:left w:val="nil"/>
              <w:bottom w:val="single" w:sz="4" w:space="0" w:color="auto"/>
              <w:right w:val="nil"/>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r w:rsidRPr="009F676B">
              <w:rPr>
                <w:rFonts w:ascii="Arial" w:eastAsia="MS PGothic" w:hAnsi="Arial" w:cs="Arial"/>
                <w:color w:val="000000"/>
                <w:sz w:val="18"/>
                <w:szCs w:val="18"/>
              </w:rPr>
              <w:t>Threonine</w:t>
            </w:r>
          </w:p>
        </w:tc>
        <w:tc>
          <w:tcPr>
            <w:tcW w:w="1531" w:type="dxa"/>
            <w:tcBorders>
              <w:left w:val="nil"/>
              <w:bottom w:val="single" w:sz="4" w:space="0" w:color="auto"/>
              <w:right w:val="single" w:sz="4" w:space="0" w:color="auto"/>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p>
        </w:tc>
        <w:tc>
          <w:tcPr>
            <w:tcW w:w="1531" w:type="dxa"/>
            <w:tcBorders>
              <w:left w:val="single" w:sz="4" w:space="0" w:color="auto"/>
              <w:bottom w:val="single" w:sz="4" w:space="0" w:color="auto"/>
              <w:right w:val="nil"/>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r w:rsidRPr="009F676B">
              <w:rPr>
                <w:rFonts w:ascii="Arial" w:eastAsia="MS PGothic" w:hAnsi="Arial" w:cs="Arial"/>
                <w:color w:val="000000"/>
                <w:sz w:val="18"/>
                <w:szCs w:val="18"/>
              </w:rPr>
              <w:t>Inosine</w:t>
            </w:r>
          </w:p>
        </w:tc>
        <w:tc>
          <w:tcPr>
            <w:tcW w:w="1531" w:type="dxa"/>
            <w:tcBorders>
              <w:left w:val="nil"/>
              <w:bottom w:val="single" w:sz="4" w:space="0" w:color="auto"/>
              <w:right w:val="nil"/>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r w:rsidRPr="009F676B">
              <w:rPr>
                <w:rFonts w:ascii="Arial" w:eastAsia="MS PGothic" w:hAnsi="Arial" w:cs="Arial"/>
                <w:color w:val="000000"/>
                <w:sz w:val="18"/>
                <w:szCs w:val="18"/>
              </w:rPr>
              <w:t>Aspartate</w:t>
            </w:r>
          </w:p>
        </w:tc>
        <w:tc>
          <w:tcPr>
            <w:tcW w:w="1531" w:type="dxa"/>
            <w:tcBorders>
              <w:left w:val="nil"/>
              <w:bottom w:val="single" w:sz="4" w:space="0" w:color="auto"/>
              <w:right w:val="nil"/>
            </w:tcBorders>
            <w:shd w:val="clear" w:color="auto" w:fill="auto"/>
            <w:noWrap/>
            <w:vAlign w:val="center"/>
          </w:tcPr>
          <w:p w:rsidR="009F676B" w:rsidRPr="009F676B" w:rsidRDefault="009F676B" w:rsidP="00984373">
            <w:pPr>
              <w:spacing w:line="240" w:lineRule="auto"/>
              <w:rPr>
                <w:rFonts w:ascii="Arial" w:eastAsia="MS PGothic" w:hAnsi="Arial" w:cs="Arial"/>
                <w:color w:val="000000"/>
                <w:sz w:val="18"/>
                <w:szCs w:val="18"/>
              </w:rPr>
            </w:pPr>
            <w:r w:rsidRPr="009F676B">
              <w:rPr>
                <w:rFonts w:ascii="Arial" w:eastAsia="MS PGothic" w:hAnsi="Arial" w:cs="Arial"/>
                <w:color w:val="000000"/>
                <w:sz w:val="18"/>
                <w:szCs w:val="18"/>
              </w:rPr>
              <w:t>FBP</w:t>
            </w:r>
          </w:p>
        </w:tc>
        <w:tc>
          <w:tcPr>
            <w:tcW w:w="1531" w:type="dxa"/>
            <w:tcBorders>
              <w:left w:val="nil"/>
              <w:bottom w:val="single" w:sz="4" w:space="0" w:color="auto"/>
              <w:right w:val="nil"/>
            </w:tcBorders>
            <w:vAlign w:val="center"/>
          </w:tcPr>
          <w:p w:rsidR="009F676B" w:rsidRPr="009F676B" w:rsidRDefault="009F676B" w:rsidP="00984373">
            <w:pPr>
              <w:spacing w:line="240" w:lineRule="auto"/>
              <w:rPr>
                <w:rFonts w:ascii="Arial" w:eastAsia="MS PGothic" w:hAnsi="Arial" w:cs="Arial"/>
                <w:color w:val="000000"/>
                <w:sz w:val="18"/>
                <w:szCs w:val="18"/>
              </w:rPr>
            </w:pPr>
            <w:proofErr w:type="spellStart"/>
            <w:r w:rsidRPr="009F676B">
              <w:rPr>
                <w:rFonts w:ascii="Arial" w:eastAsia="MS PGothic" w:hAnsi="Arial" w:cs="Arial"/>
                <w:color w:val="000000"/>
                <w:sz w:val="18"/>
                <w:szCs w:val="18"/>
              </w:rPr>
              <w:t>Butyryl</w:t>
            </w:r>
            <w:proofErr w:type="spellEnd"/>
            <w:r w:rsidRPr="009F676B">
              <w:rPr>
                <w:rFonts w:ascii="Arial" w:eastAsia="MS PGothic" w:hAnsi="Arial" w:cs="Arial"/>
                <w:color w:val="000000"/>
                <w:sz w:val="18"/>
                <w:szCs w:val="18"/>
              </w:rPr>
              <w:t xml:space="preserve"> CoA</w:t>
            </w:r>
          </w:p>
        </w:tc>
      </w:tr>
    </w:tbl>
    <w:p w:rsidR="003502AC" w:rsidRDefault="003502AC"/>
    <w:sectPr w:rsidR="003502AC" w:rsidSect="00176421">
      <w:pgSz w:w="11906" w:h="16838" w:code="9"/>
      <w:pgMar w:top="1440" w:right="1418" w:bottom="1440" w:left="1418" w:header="709" w:footer="709" w:gutter="0"/>
      <w:lnNumType w:countBy="5"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ヒラギノ明朝 ProN W3">
    <w:altName w:val="MS Mincho"/>
    <w:charset w:val="80"/>
    <w:family w:val="auto"/>
    <w:pitch w:val="variable"/>
    <w:sig w:usb0="00000000" w:usb1="7AC7FFFF" w:usb2="00000012" w:usb3="00000000" w:csb0="0002000D" w:csb1="00000000"/>
  </w:font>
  <w:font w:name="SimSun">
    <w:altName w:val="宋体"/>
    <w:panose1 w:val="02010600030101010101"/>
    <w:charset w:val="86"/>
    <w:family w:val="auto"/>
    <w:pitch w:val="variable"/>
    <w:sig w:usb0="00000003" w:usb1="288F0000" w:usb2="00000016" w:usb3="00000000" w:csb0="00040001"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E5F1EBA"/>
    <w:multiLevelType w:val="hybridMultilevel"/>
    <w:tmpl w:val="2D2698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676B"/>
    <w:rsid w:val="00012A4B"/>
    <w:rsid w:val="000719B5"/>
    <w:rsid w:val="000D4C6B"/>
    <w:rsid w:val="00130DB6"/>
    <w:rsid w:val="00152292"/>
    <w:rsid w:val="001C1F7C"/>
    <w:rsid w:val="00253CA5"/>
    <w:rsid w:val="00342DFE"/>
    <w:rsid w:val="003502AC"/>
    <w:rsid w:val="00434DB2"/>
    <w:rsid w:val="004A14D3"/>
    <w:rsid w:val="00662B96"/>
    <w:rsid w:val="00676C52"/>
    <w:rsid w:val="006B1F52"/>
    <w:rsid w:val="006E5582"/>
    <w:rsid w:val="008A0F8A"/>
    <w:rsid w:val="009640D4"/>
    <w:rsid w:val="009F676B"/>
    <w:rsid w:val="00A95B12"/>
    <w:rsid w:val="00B046B8"/>
    <w:rsid w:val="00B936DB"/>
    <w:rsid w:val="00C55BA6"/>
    <w:rsid w:val="00E24C50"/>
    <w:rsid w:val="00E824B1"/>
    <w:rsid w:val="00F874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9F676B"/>
    <w:pPr>
      <w:spacing w:after="0" w:line="480" w:lineRule="auto"/>
    </w:pPr>
    <w:rPr>
      <w:rFonts w:ascii="Times New Roman" w:eastAsia="Times New Roman" w:hAnsi="Times New Roman" w:cs="Times New Roman"/>
      <w:sz w:val="24"/>
      <w:szCs w:val="24"/>
      <w:lang w:val="en-G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9F676B"/>
    <w:pPr>
      <w:ind w:left="720"/>
      <w:contextualSpacing/>
    </w:pPr>
  </w:style>
  <w:style w:type="character" w:styleId="Zeilennummer">
    <w:name w:val="line number"/>
    <w:basedOn w:val="Absatz-Standardschriftart"/>
    <w:uiPriority w:val="99"/>
    <w:semiHidden/>
    <w:unhideWhenUsed/>
    <w:rsid w:val="009F676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9F676B"/>
    <w:pPr>
      <w:spacing w:after="0" w:line="480" w:lineRule="auto"/>
    </w:pPr>
    <w:rPr>
      <w:rFonts w:ascii="Times New Roman" w:eastAsia="Times New Roman" w:hAnsi="Times New Roman" w:cs="Times New Roman"/>
      <w:sz w:val="24"/>
      <w:szCs w:val="24"/>
      <w:lang w:val="en-G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9F676B"/>
    <w:pPr>
      <w:ind w:left="720"/>
      <w:contextualSpacing/>
    </w:pPr>
  </w:style>
  <w:style w:type="character" w:styleId="Zeilennummer">
    <w:name w:val="line number"/>
    <w:basedOn w:val="Absatz-Standardschriftart"/>
    <w:uiPriority w:val="99"/>
    <w:semiHidden/>
    <w:unhideWhenUsed/>
    <w:rsid w:val="009F67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2654</Words>
  <Characters>15129</Characters>
  <Application>Microsoft Office Word</Application>
  <DocSecurity>0</DocSecurity>
  <Lines>126</Lines>
  <Paragraphs>35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17748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Natalie Rahmen</dc:creator>
  <cp:lastModifiedBy>Natalie Rahmen</cp:lastModifiedBy>
  <cp:revision>2</cp:revision>
  <cp:lastPrinted>2015-05-22T04:43:00Z</cp:lastPrinted>
  <dcterms:created xsi:type="dcterms:W3CDTF">2015-05-22T04:37:00Z</dcterms:created>
  <dcterms:modified xsi:type="dcterms:W3CDTF">2015-09-25T07:04:00Z</dcterms:modified>
</cp:coreProperties>
</file>