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0558" w:rsidRPr="001E6E5F" w:rsidRDefault="009D0558" w:rsidP="00DA514C">
      <w:pPr>
        <w:ind w:leftChars="-540" w:left="-1" w:hangingChars="515" w:hanging="1133"/>
        <w:rPr>
          <w:rFonts w:ascii="Times New Roman" w:hAnsi="Times New Roman" w:cs="Times New Roman"/>
          <w:sz w:val="22"/>
        </w:rPr>
      </w:pPr>
      <w:r w:rsidRPr="001E6E5F">
        <w:rPr>
          <w:rFonts w:ascii="Times New Roman" w:hAnsi="Times New Roman" w:cs="Times New Roman"/>
          <w:b/>
          <w:sz w:val="22"/>
        </w:rPr>
        <w:t xml:space="preserve">Table S1. </w:t>
      </w:r>
      <w:r w:rsidRPr="001E6E5F">
        <w:rPr>
          <w:rFonts w:ascii="Times New Roman" w:hAnsi="Times New Roman" w:cs="Times New Roman"/>
          <w:sz w:val="22"/>
        </w:rPr>
        <w:t xml:space="preserve">Primers used for real-time PCR of immune genes in broiler chicken </w:t>
      </w:r>
    </w:p>
    <w:tbl>
      <w:tblPr>
        <w:tblW w:w="10579" w:type="dxa"/>
        <w:jc w:val="center"/>
        <w:tblLook w:val="04A0" w:firstRow="1" w:lastRow="0" w:firstColumn="1" w:lastColumn="0" w:noHBand="0" w:noVBand="1"/>
      </w:tblPr>
      <w:tblGrid>
        <w:gridCol w:w="1226"/>
        <w:gridCol w:w="1097"/>
        <w:gridCol w:w="1788"/>
        <w:gridCol w:w="4130"/>
        <w:gridCol w:w="2338"/>
      </w:tblGrid>
      <w:tr w:rsidR="009D0558" w:rsidRPr="001E6E5F" w:rsidTr="00DA514C">
        <w:trPr>
          <w:trHeight w:val="287"/>
          <w:jc w:val="center"/>
        </w:trPr>
        <w:tc>
          <w:tcPr>
            <w:tcW w:w="12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0558" w:rsidRPr="001E6E5F" w:rsidRDefault="009D0558" w:rsidP="001477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E6E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Type</w:t>
            </w:r>
            <w:r w:rsidRPr="001E6E5F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a</w:t>
            </w:r>
            <w:proofErr w:type="spellEnd"/>
          </w:p>
        </w:tc>
        <w:tc>
          <w:tcPr>
            <w:tcW w:w="109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0558" w:rsidRPr="001E6E5F" w:rsidRDefault="009D0558" w:rsidP="001477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E6E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Gene</w:t>
            </w:r>
            <w:bookmarkStart w:id="0" w:name="_GoBack"/>
            <w:r w:rsidRPr="001E6E5F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b</w:t>
            </w:r>
            <w:bookmarkEnd w:id="0"/>
            <w:proofErr w:type="spellEnd"/>
          </w:p>
        </w:tc>
        <w:tc>
          <w:tcPr>
            <w:tcW w:w="178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0558" w:rsidRPr="001E6E5F" w:rsidRDefault="009D0558" w:rsidP="001477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E6E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Genebank</w:t>
            </w:r>
            <w:proofErr w:type="spellEnd"/>
            <w:r w:rsidRPr="001E6E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Number</w:t>
            </w:r>
          </w:p>
        </w:tc>
        <w:tc>
          <w:tcPr>
            <w:tcW w:w="413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D0558" w:rsidRPr="001E6E5F" w:rsidRDefault="009D0558" w:rsidP="001477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E6E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Primers Sequence (5‘-3</w:t>
            </w:r>
            <w:proofErr w:type="gramStart"/>
            <w:r w:rsidRPr="001E6E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’)</w:t>
            </w:r>
            <w:r w:rsidRPr="001E6E5F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c</w:t>
            </w:r>
            <w:proofErr w:type="gramEnd"/>
          </w:p>
        </w:tc>
        <w:tc>
          <w:tcPr>
            <w:tcW w:w="233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0558" w:rsidRPr="001E6E5F" w:rsidRDefault="009D0558" w:rsidP="001477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E6E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Reference</w:t>
            </w:r>
          </w:p>
        </w:tc>
      </w:tr>
      <w:tr w:rsidR="009D0558" w:rsidRPr="001E6E5F" w:rsidTr="00DA514C">
        <w:trPr>
          <w:trHeight w:val="273"/>
          <w:jc w:val="center"/>
        </w:trPr>
        <w:tc>
          <w:tcPr>
            <w:tcW w:w="122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0558" w:rsidRPr="001E6E5F" w:rsidRDefault="009D0558" w:rsidP="001477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E6E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Reference</w:t>
            </w:r>
          </w:p>
        </w:tc>
        <w:tc>
          <w:tcPr>
            <w:tcW w:w="109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0558" w:rsidRPr="001E6E5F" w:rsidRDefault="009D0558" w:rsidP="001477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E6E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β-actin</w:t>
            </w:r>
          </w:p>
        </w:tc>
        <w:tc>
          <w:tcPr>
            <w:tcW w:w="178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0558" w:rsidRPr="001E6E5F" w:rsidRDefault="009D0558" w:rsidP="001477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E6E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L08165</w:t>
            </w:r>
          </w:p>
        </w:tc>
        <w:tc>
          <w:tcPr>
            <w:tcW w:w="413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0558" w:rsidRPr="001E6E5F" w:rsidRDefault="009D0558" w:rsidP="001477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E6E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F: ATTGTCCACCGCAAATGCTTC</w:t>
            </w:r>
          </w:p>
        </w:tc>
        <w:tc>
          <w:tcPr>
            <w:tcW w:w="2338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0558" w:rsidRPr="001E6E5F" w:rsidRDefault="009D0558" w:rsidP="001477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E6E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Shen et al., 2016 </w:t>
            </w:r>
            <w:r w:rsidRPr="001E6E5F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22"/>
              </w:rPr>
              <w:t>[1]</w:t>
            </w:r>
          </w:p>
        </w:tc>
      </w:tr>
      <w:tr w:rsidR="009D0558" w:rsidRPr="001E6E5F" w:rsidTr="00DA514C">
        <w:trPr>
          <w:trHeight w:val="273"/>
          <w:jc w:val="center"/>
        </w:trPr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0558" w:rsidRPr="001E6E5F" w:rsidRDefault="009D0558" w:rsidP="001477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0558" w:rsidRPr="001E6E5F" w:rsidRDefault="009D0558" w:rsidP="0014772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0558" w:rsidRPr="001E6E5F" w:rsidRDefault="009D0558" w:rsidP="0014772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0558" w:rsidRPr="001E6E5F" w:rsidRDefault="009D0558" w:rsidP="001477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E6E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R: AAATAAAGCCATGCCAATCTCGTC</w:t>
            </w:r>
          </w:p>
        </w:tc>
        <w:tc>
          <w:tcPr>
            <w:tcW w:w="23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0558" w:rsidRPr="001E6E5F" w:rsidRDefault="009D0558" w:rsidP="001477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9D0558" w:rsidRPr="001E6E5F" w:rsidTr="00DA514C">
        <w:trPr>
          <w:trHeight w:val="273"/>
          <w:jc w:val="center"/>
        </w:trPr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0558" w:rsidRPr="001E6E5F" w:rsidRDefault="009D0558" w:rsidP="001477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E6E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Th1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0558" w:rsidRPr="001E6E5F" w:rsidRDefault="009D0558" w:rsidP="001477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E6E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IFN-γ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0558" w:rsidRPr="001E6E5F" w:rsidRDefault="009D0558" w:rsidP="001477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E6E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NM_205149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0558" w:rsidRPr="001E6E5F" w:rsidRDefault="009D0558" w:rsidP="001477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E6E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F: AGCTGACGGTGGACCTATTATT</w:t>
            </w:r>
          </w:p>
        </w:tc>
        <w:tc>
          <w:tcPr>
            <w:tcW w:w="233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0558" w:rsidRPr="001E6E5F" w:rsidRDefault="009D0558" w:rsidP="001477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E6E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Lee et al., 2010 </w:t>
            </w:r>
            <w:r w:rsidRPr="001E6E5F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22"/>
              </w:rPr>
              <w:t>[2]</w:t>
            </w:r>
          </w:p>
        </w:tc>
      </w:tr>
      <w:tr w:rsidR="009D0558" w:rsidRPr="001E6E5F" w:rsidTr="00DA514C">
        <w:trPr>
          <w:trHeight w:val="273"/>
          <w:jc w:val="center"/>
        </w:trPr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0558" w:rsidRPr="001E6E5F" w:rsidRDefault="009D0558" w:rsidP="001477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0558" w:rsidRPr="001E6E5F" w:rsidRDefault="009D0558" w:rsidP="0014772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0558" w:rsidRPr="001E6E5F" w:rsidRDefault="009D0558" w:rsidP="0014772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0558" w:rsidRPr="001E6E5F" w:rsidRDefault="009D0558" w:rsidP="001477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E6E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R: GGCTTTGCGCTGGATTC</w:t>
            </w:r>
          </w:p>
        </w:tc>
        <w:tc>
          <w:tcPr>
            <w:tcW w:w="23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0558" w:rsidRPr="001E6E5F" w:rsidRDefault="009D0558" w:rsidP="001477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9D0558" w:rsidRPr="001E6E5F" w:rsidTr="00DA514C">
        <w:trPr>
          <w:trHeight w:val="273"/>
          <w:jc w:val="center"/>
        </w:trPr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0558" w:rsidRPr="001E6E5F" w:rsidRDefault="009D0558" w:rsidP="001477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E6E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Th2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0558" w:rsidRPr="001E6E5F" w:rsidRDefault="009D0558" w:rsidP="001477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E6E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IL-4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0558" w:rsidRPr="001E6E5F" w:rsidRDefault="009D0558" w:rsidP="001477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E6E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NM_001007079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0558" w:rsidRPr="001E6E5F" w:rsidRDefault="009D0558" w:rsidP="001477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E6E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F: TGTGCCCACGCTGTGCTTACA</w:t>
            </w:r>
          </w:p>
        </w:tc>
        <w:tc>
          <w:tcPr>
            <w:tcW w:w="233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0558" w:rsidRPr="001E6E5F" w:rsidRDefault="009D0558" w:rsidP="001477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E6E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Waititu</w:t>
            </w:r>
            <w:proofErr w:type="spellEnd"/>
            <w:r w:rsidRPr="001E6E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et al., 2014 </w:t>
            </w:r>
            <w:r w:rsidRPr="001E6E5F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22"/>
              </w:rPr>
              <w:t>[3]</w:t>
            </w:r>
          </w:p>
        </w:tc>
      </w:tr>
      <w:tr w:rsidR="009D0558" w:rsidRPr="001E6E5F" w:rsidTr="00DA514C">
        <w:trPr>
          <w:trHeight w:val="273"/>
          <w:jc w:val="center"/>
        </w:trPr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0558" w:rsidRPr="001E6E5F" w:rsidRDefault="009D0558" w:rsidP="001477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0558" w:rsidRPr="001E6E5F" w:rsidRDefault="009D0558" w:rsidP="0014772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0558" w:rsidRPr="001E6E5F" w:rsidRDefault="009D0558" w:rsidP="0014772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0558" w:rsidRPr="001E6E5F" w:rsidRDefault="009D0558" w:rsidP="001477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E6E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R: CTTGTGGCAGTGCTGGCTCTCC </w:t>
            </w:r>
          </w:p>
        </w:tc>
        <w:tc>
          <w:tcPr>
            <w:tcW w:w="23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0558" w:rsidRPr="001E6E5F" w:rsidRDefault="009D0558" w:rsidP="001477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9D0558" w:rsidRPr="001E6E5F" w:rsidTr="00DA514C">
        <w:trPr>
          <w:trHeight w:val="273"/>
          <w:jc w:val="center"/>
        </w:trPr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0558" w:rsidRPr="001E6E5F" w:rsidRDefault="009D0558" w:rsidP="001477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E6E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Treg</w:t>
            </w:r>
            <w:proofErr w:type="spellEnd"/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0558" w:rsidRPr="001E6E5F" w:rsidRDefault="009D0558" w:rsidP="001477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E6E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IL-10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0558" w:rsidRPr="001E6E5F" w:rsidRDefault="009D0558" w:rsidP="001477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E6E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NM_001004414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0558" w:rsidRPr="001E6E5F" w:rsidRDefault="009D0558" w:rsidP="001477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E6E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F: CGGGAGCTGAGGGTGAA</w:t>
            </w:r>
          </w:p>
        </w:tc>
        <w:tc>
          <w:tcPr>
            <w:tcW w:w="233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0558" w:rsidRPr="001E6E5F" w:rsidRDefault="009D0558" w:rsidP="001477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E6E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Lee et al., 2010 </w:t>
            </w:r>
            <w:r w:rsidRPr="001E6E5F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22"/>
              </w:rPr>
              <w:t>[2]</w:t>
            </w:r>
          </w:p>
        </w:tc>
      </w:tr>
      <w:tr w:rsidR="009D0558" w:rsidRPr="001E6E5F" w:rsidTr="00DA514C">
        <w:trPr>
          <w:trHeight w:val="273"/>
          <w:jc w:val="center"/>
        </w:trPr>
        <w:tc>
          <w:tcPr>
            <w:tcW w:w="12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0558" w:rsidRPr="001E6E5F" w:rsidRDefault="009D0558" w:rsidP="001477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0558" w:rsidRPr="001E6E5F" w:rsidRDefault="009D0558" w:rsidP="0014772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7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0558" w:rsidRPr="001E6E5F" w:rsidRDefault="009D0558" w:rsidP="0014772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41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0558" w:rsidRPr="001E6E5F" w:rsidRDefault="009D0558" w:rsidP="001477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E6E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R: GTGAAGAAGCGGTGACAGC</w:t>
            </w:r>
          </w:p>
        </w:tc>
        <w:tc>
          <w:tcPr>
            <w:tcW w:w="2338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9D0558" w:rsidRPr="001E6E5F" w:rsidRDefault="009D0558" w:rsidP="001477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9D0558" w:rsidRPr="001E6E5F" w:rsidTr="00DA514C">
        <w:trPr>
          <w:trHeight w:val="273"/>
          <w:jc w:val="center"/>
        </w:trPr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0558" w:rsidRPr="001E6E5F" w:rsidRDefault="009D0558" w:rsidP="001477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E6E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MHC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0558" w:rsidRPr="001E6E5F" w:rsidRDefault="009D0558" w:rsidP="001477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E6E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MHC-IIβ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0558" w:rsidRPr="001E6E5F" w:rsidRDefault="009D0558" w:rsidP="001477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E6E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NM001318995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0558" w:rsidRPr="001E6E5F" w:rsidRDefault="009D0558" w:rsidP="001477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E6E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F: CCCTCGGCGTTCTTCTTCTAC</w:t>
            </w:r>
          </w:p>
        </w:tc>
        <w:tc>
          <w:tcPr>
            <w:tcW w:w="2338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D0558" w:rsidRPr="001E6E5F" w:rsidRDefault="009D0558" w:rsidP="001477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E6E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Lian et al., 2010 </w:t>
            </w:r>
            <w:r w:rsidRPr="001E6E5F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22"/>
              </w:rPr>
              <w:t>[4]</w:t>
            </w:r>
          </w:p>
        </w:tc>
      </w:tr>
      <w:tr w:rsidR="009D0558" w:rsidRPr="001E6E5F" w:rsidTr="00DA514C">
        <w:trPr>
          <w:trHeight w:val="287"/>
          <w:jc w:val="center"/>
        </w:trPr>
        <w:tc>
          <w:tcPr>
            <w:tcW w:w="12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0558" w:rsidRPr="001E6E5F" w:rsidRDefault="009D0558" w:rsidP="001477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0558" w:rsidRPr="001E6E5F" w:rsidRDefault="009D0558" w:rsidP="001477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0558" w:rsidRPr="001E6E5F" w:rsidRDefault="009D0558" w:rsidP="001477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1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0558" w:rsidRPr="001E6E5F" w:rsidRDefault="009D0558" w:rsidP="001477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E6E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R: CCCACGTCGCTGTCGAA</w:t>
            </w:r>
          </w:p>
        </w:tc>
        <w:tc>
          <w:tcPr>
            <w:tcW w:w="2338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9D0558" w:rsidRPr="001E6E5F" w:rsidRDefault="009D0558" w:rsidP="001477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</w:tbl>
    <w:p w:rsidR="009D0558" w:rsidRPr="001E6E5F" w:rsidRDefault="009D0558" w:rsidP="00DA514C">
      <w:pPr>
        <w:ind w:leftChars="-473" w:left="-850" w:hangingChars="65" w:hanging="143"/>
        <w:rPr>
          <w:rFonts w:ascii="Times New Roman" w:hAnsi="Times New Roman" w:cs="Times New Roman"/>
          <w:sz w:val="22"/>
        </w:rPr>
      </w:pPr>
      <w:proofErr w:type="spellStart"/>
      <w:r w:rsidRPr="001E6E5F">
        <w:rPr>
          <w:rFonts w:ascii="Times New Roman" w:hAnsi="Times New Roman" w:cs="Times New Roman"/>
          <w:sz w:val="22"/>
          <w:vertAlign w:val="superscript"/>
        </w:rPr>
        <w:t>a</w:t>
      </w:r>
      <w:r w:rsidRPr="001E6E5F">
        <w:rPr>
          <w:rFonts w:ascii="Times New Roman" w:hAnsi="Times New Roman" w:cs="Times New Roman"/>
          <w:sz w:val="22"/>
        </w:rPr>
        <w:t>Th</w:t>
      </w:r>
      <w:proofErr w:type="spellEnd"/>
      <w:r w:rsidRPr="001E6E5F">
        <w:rPr>
          <w:rFonts w:ascii="Times New Roman" w:hAnsi="Times New Roman" w:cs="Times New Roman"/>
          <w:sz w:val="22"/>
        </w:rPr>
        <w:t xml:space="preserve"> = T helper cell; </w:t>
      </w:r>
      <w:proofErr w:type="spellStart"/>
      <w:r w:rsidRPr="001E6E5F">
        <w:rPr>
          <w:rFonts w:ascii="Times New Roman" w:hAnsi="Times New Roman" w:cs="Times New Roman"/>
          <w:sz w:val="22"/>
        </w:rPr>
        <w:t>Treg</w:t>
      </w:r>
      <w:proofErr w:type="spellEnd"/>
      <w:r w:rsidRPr="001E6E5F">
        <w:rPr>
          <w:rFonts w:ascii="Times New Roman" w:hAnsi="Times New Roman" w:cs="Times New Roman"/>
          <w:sz w:val="22"/>
        </w:rPr>
        <w:t xml:space="preserve"> = </w:t>
      </w:r>
      <w:bookmarkStart w:id="1" w:name="_Hlk512588510"/>
      <w:r w:rsidRPr="001E6E5F">
        <w:rPr>
          <w:rFonts w:ascii="Times New Roman" w:hAnsi="Times New Roman" w:cs="Times New Roman"/>
          <w:sz w:val="22"/>
        </w:rPr>
        <w:t>regulatory T cell, MHC = major histocompatibility complex</w:t>
      </w:r>
      <w:bookmarkEnd w:id="1"/>
      <w:r w:rsidRPr="001E6E5F">
        <w:rPr>
          <w:rFonts w:ascii="Times New Roman" w:hAnsi="Times New Roman" w:cs="Times New Roman"/>
          <w:sz w:val="22"/>
        </w:rPr>
        <w:t>.</w:t>
      </w:r>
    </w:p>
    <w:p w:rsidR="009D0558" w:rsidRPr="001E6E5F" w:rsidRDefault="009D0558" w:rsidP="00DA514C">
      <w:pPr>
        <w:tabs>
          <w:tab w:val="left" w:pos="1985"/>
        </w:tabs>
        <w:ind w:leftChars="-473" w:left="-425" w:hangingChars="258" w:hanging="568"/>
        <w:rPr>
          <w:rFonts w:ascii="Times New Roman" w:hAnsi="Times New Roman" w:cs="Times New Roman"/>
          <w:sz w:val="22"/>
        </w:rPr>
      </w:pPr>
      <w:proofErr w:type="spellStart"/>
      <w:r w:rsidRPr="001E6E5F">
        <w:rPr>
          <w:rFonts w:ascii="Times New Roman" w:hAnsi="Times New Roman" w:cs="Times New Roman"/>
          <w:sz w:val="22"/>
          <w:vertAlign w:val="superscript"/>
        </w:rPr>
        <w:t>b</w:t>
      </w:r>
      <w:r w:rsidRPr="001E6E5F">
        <w:rPr>
          <w:rFonts w:ascii="Times New Roman" w:hAnsi="Times New Roman" w:cs="Times New Roman"/>
          <w:sz w:val="22"/>
        </w:rPr>
        <w:t>IL</w:t>
      </w:r>
      <w:proofErr w:type="spellEnd"/>
      <w:r w:rsidRPr="001E6E5F">
        <w:rPr>
          <w:rFonts w:ascii="Times New Roman" w:hAnsi="Times New Roman" w:cs="Times New Roman"/>
          <w:sz w:val="22"/>
        </w:rPr>
        <w:t xml:space="preserve"> = interleukin; IFN = </w:t>
      </w:r>
      <w:proofErr w:type="spellStart"/>
      <w:r w:rsidRPr="001E6E5F">
        <w:rPr>
          <w:rFonts w:ascii="Times New Roman" w:hAnsi="Times New Roman" w:cs="Times New Roman"/>
          <w:sz w:val="22"/>
        </w:rPr>
        <w:t>intrferon</w:t>
      </w:r>
      <w:proofErr w:type="spellEnd"/>
      <w:r w:rsidRPr="001E6E5F">
        <w:rPr>
          <w:rFonts w:ascii="Times New Roman" w:hAnsi="Times New Roman" w:cs="Times New Roman"/>
          <w:sz w:val="22"/>
        </w:rPr>
        <w:t>.</w:t>
      </w:r>
    </w:p>
    <w:p w:rsidR="009D0558" w:rsidRPr="001E6E5F" w:rsidRDefault="009D0558" w:rsidP="00DA514C">
      <w:pPr>
        <w:ind w:leftChars="-472" w:left="-989" w:hanging="2"/>
        <w:rPr>
          <w:rFonts w:ascii="Times New Roman" w:hAnsi="Times New Roman" w:cs="Times New Roman"/>
          <w:sz w:val="22"/>
        </w:rPr>
      </w:pPr>
      <w:proofErr w:type="spellStart"/>
      <w:r w:rsidRPr="001E6E5F">
        <w:rPr>
          <w:rFonts w:ascii="Times New Roman" w:hAnsi="Times New Roman" w:cs="Times New Roman"/>
          <w:sz w:val="22"/>
          <w:vertAlign w:val="superscript"/>
        </w:rPr>
        <w:t>c</w:t>
      </w:r>
      <w:r w:rsidRPr="001E6E5F">
        <w:rPr>
          <w:rFonts w:ascii="Times New Roman" w:hAnsi="Times New Roman" w:cs="Times New Roman"/>
          <w:sz w:val="22"/>
        </w:rPr>
        <w:t>F</w:t>
      </w:r>
      <w:proofErr w:type="spellEnd"/>
      <w:r w:rsidRPr="001E6E5F">
        <w:rPr>
          <w:rFonts w:ascii="Times New Roman" w:hAnsi="Times New Roman" w:cs="Times New Roman"/>
          <w:sz w:val="22"/>
        </w:rPr>
        <w:t xml:space="preserve"> = forward primer; R = reverse primer.</w:t>
      </w:r>
    </w:p>
    <w:p w:rsidR="009D0558" w:rsidRPr="001E6E5F" w:rsidRDefault="009D0558" w:rsidP="004D3A47">
      <w:pPr>
        <w:rPr>
          <w:rFonts w:ascii="Times New Roman" w:hAnsi="Times New Roman" w:cs="Times New Roman"/>
          <w:sz w:val="22"/>
        </w:rPr>
      </w:pPr>
    </w:p>
    <w:p w:rsidR="009D0558" w:rsidRPr="001E6E5F" w:rsidRDefault="009D0558" w:rsidP="00357ED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D0558" w:rsidRPr="001E6E5F" w:rsidRDefault="009D0558" w:rsidP="00357ED8">
      <w:pPr>
        <w:pStyle w:val="EndNoteBibliography"/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1E6E5F">
        <w:rPr>
          <w:rFonts w:ascii="Times New Roman" w:hAnsi="Times New Roman" w:cs="Times New Roman"/>
          <w:sz w:val="24"/>
          <w:szCs w:val="24"/>
        </w:rPr>
        <w:t>1.</w:t>
      </w:r>
      <w:r w:rsidRPr="001E6E5F">
        <w:rPr>
          <w:rFonts w:ascii="Times New Roman" w:hAnsi="Times New Roman" w:cs="Times New Roman"/>
          <w:sz w:val="24"/>
          <w:szCs w:val="24"/>
        </w:rPr>
        <w:tab/>
        <w:t xml:space="preserve">Shen J, Liu Y, Ren X, Gao K, Li Y, Li S, Yao J, Yang X. Changes in DNA </w:t>
      </w:r>
      <w:r w:rsidR="00640CAC" w:rsidRPr="001E6E5F">
        <w:rPr>
          <w:rFonts w:ascii="Times New Roman" w:hAnsi="Times New Roman" w:cs="Times New Roman"/>
          <w:sz w:val="24"/>
          <w:szCs w:val="24"/>
        </w:rPr>
        <w:t>m</w:t>
      </w:r>
      <w:r w:rsidRPr="001E6E5F">
        <w:rPr>
          <w:rFonts w:ascii="Times New Roman" w:hAnsi="Times New Roman" w:cs="Times New Roman"/>
          <w:sz w:val="24"/>
          <w:szCs w:val="24"/>
        </w:rPr>
        <w:t xml:space="preserve">ethylation and </w:t>
      </w:r>
      <w:r w:rsidR="00640CAC" w:rsidRPr="001E6E5F">
        <w:rPr>
          <w:rFonts w:ascii="Times New Roman" w:hAnsi="Times New Roman" w:cs="Times New Roman"/>
          <w:sz w:val="24"/>
          <w:szCs w:val="24"/>
        </w:rPr>
        <w:t>c</w:t>
      </w:r>
      <w:r w:rsidRPr="001E6E5F">
        <w:rPr>
          <w:rFonts w:ascii="Times New Roman" w:hAnsi="Times New Roman" w:cs="Times New Roman"/>
          <w:sz w:val="24"/>
          <w:szCs w:val="24"/>
        </w:rPr>
        <w:t xml:space="preserve">hromatin </w:t>
      </w:r>
      <w:r w:rsidR="00640CAC" w:rsidRPr="001E6E5F">
        <w:rPr>
          <w:rFonts w:ascii="Times New Roman" w:hAnsi="Times New Roman" w:cs="Times New Roman"/>
          <w:sz w:val="24"/>
          <w:szCs w:val="24"/>
        </w:rPr>
        <w:t>s</w:t>
      </w:r>
      <w:r w:rsidRPr="001E6E5F">
        <w:rPr>
          <w:rFonts w:ascii="Times New Roman" w:hAnsi="Times New Roman" w:cs="Times New Roman"/>
          <w:sz w:val="24"/>
          <w:szCs w:val="24"/>
        </w:rPr>
        <w:t xml:space="preserve">tructure of </w:t>
      </w:r>
      <w:r w:rsidR="00640CAC" w:rsidRPr="001E6E5F">
        <w:rPr>
          <w:rFonts w:ascii="Times New Roman" w:hAnsi="Times New Roman" w:cs="Times New Roman"/>
          <w:sz w:val="24"/>
          <w:szCs w:val="24"/>
        </w:rPr>
        <w:t>p</w:t>
      </w:r>
      <w:r w:rsidRPr="001E6E5F">
        <w:rPr>
          <w:rFonts w:ascii="Times New Roman" w:hAnsi="Times New Roman" w:cs="Times New Roman"/>
          <w:sz w:val="24"/>
          <w:szCs w:val="24"/>
        </w:rPr>
        <w:t xml:space="preserve">ro-inflammatory </w:t>
      </w:r>
      <w:r w:rsidR="00640CAC" w:rsidRPr="001E6E5F">
        <w:rPr>
          <w:rFonts w:ascii="Times New Roman" w:hAnsi="Times New Roman" w:cs="Times New Roman"/>
          <w:sz w:val="24"/>
          <w:szCs w:val="24"/>
        </w:rPr>
        <w:t>c</w:t>
      </w:r>
      <w:r w:rsidRPr="001E6E5F">
        <w:rPr>
          <w:rFonts w:ascii="Times New Roman" w:hAnsi="Times New Roman" w:cs="Times New Roman"/>
          <w:sz w:val="24"/>
          <w:szCs w:val="24"/>
        </w:rPr>
        <w:t xml:space="preserve">ytokines </w:t>
      </w:r>
      <w:r w:rsidR="00640CAC" w:rsidRPr="001E6E5F">
        <w:rPr>
          <w:rFonts w:ascii="Times New Roman" w:hAnsi="Times New Roman" w:cs="Times New Roman"/>
          <w:sz w:val="24"/>
          <w:szCs w:val="24"/>
        </w:rPr>
        <w:t>s</w:t>
      </w:r>
      <w:r w:rsidRPr="001E6E5F">
        <w:rPr>
          <w:rFonts w:ascii="Times New Roman" w:hAnsi="Times New Roman" w:cs="Times New Roman"/>
          <w:sz w:val="24"/>
          <w:szCs w:val="24"/>
        </w:rPr>
        <w:t xml:space="preserve">timulated by LPS in </w:t>
      </w:r>
      <w:r w:rsidR="00640CAC" w:rsidRPr="001E6E5F">
        <w:rPr>
          <w:rFonts w:ascii="Times New Roman" w:hAnsi="Times New Roman" w:cs="Times New Roman"/>
          <w:sz w:val="24"/>
          <w:szCs w:val="24"/>
        </w:rPr>
        <w:t>b</w:t>
      </w:r>
      <w:r w:rsidRPr="001E6E5F">
        <w:rPr>
          <w:rFonts w:ascii="Times New Roman" w:hAnsi="Times New Roman" w:cs="Times New Roman"/>
          <w:sz w:val="24"/>
          <w:szCs w:val="24"/>
        </w:rPr>
        <w:t xml:space="preserve">roiler </w:t>
      </w:r>
      <w:r w:rsidR="00640CAC" w:rsidRPr="001E6E5F">
        <w:rPr>
          <w:rFonts w:ascii="Times New Roman" w:hAnsi="Times New Roman" w:cs="Times New Roman"/>
          <w:sz w:val="24"/>
          <w:szCs w:val="24"/>
        </w:rPr>
        <w:t>p</w:t>
      </w:r>
      <w:r w:rsidRPr="001E6E5F">
        <w:rPr>
          <w:rFonts w:ascii="Times New Roman" w:hAnsi="Times New Roman" w:cs="Times New Roman"/>
          <w:sz w:val="24"/>
          <w:szCs w:val="24"/>
        </w:rPr>
        <w:t xml:space="preserve">eripheral </w:t>
      </w:r>
      <w:r w:rsidR="00640CAC" w:rsidRPr="001E6E5F">
        <w:rPr>
          <w:rFonts w:ascii="Times New Roman" w:hAnsi="Times New Roman" w:cs="Times New Roman"/>
          <w:sz w:val="24"/>
          <w:szCs w:val="24"/>
        </w:rPr>
        <w:t>b</w:t>
      </w:r>
      <w:r w:rsidRPr="001E6E5F">
        <w:rPr>
          <w:rFonts w:ascii="Times New Roman" w:hAnsi="Times New Roman" w:cs="Times New Roman"/>
          <w:sz w:val="24"/>
          <w:szCs w:val="24"/>
        </w:rPr>
        <w:t xml:space="preserve">lood </w:t>
      </w:r>
      <w:r w:rsidR="00640CAC" w:rsidRPr="001E6E5F">
        <w:rPr>
          <w:rFonts w:ascii="Times New Roman" w:hAnsi="Times New Roman" w:cs="Times New Roman"/>
          <w:sz w:val="24"/>
          <w:szCs w:val="24"/>
        </w:rPr>
        <w:t>m</w:t>
      </w:r>
      <w:r w:rsidRPr="001E6E5F">
        <w:rPr>
          <w:rFonts w:ascii="Times New Roman" w:hAnsi="Times New Roman" w:cs="Times New Roman"/>
          <w:sz w:val="24"/>
          <w:szCs w:val="24"/>
        </w:rPr>
        <w:t xml:space="preserve">ononuclear </w:t>
      </w:r>
      <w:r w:rsidR="00640CAC" w:rsidRPr="001E6E5F">
        <w:rPr>
          <w:rFonts w:ascii="Times New Roman" w:hAnsi="Times New Roman" w:cs="Times New Roman"/>
          <w:sz w:val="24"/>
          <w:szCs w:val="24"/>
        </w:rPr>
        <w:t>c</w:t>
      </w:r>
      <w:r w:rsidRPr="001E6E5F">
        <w:rPr>
          <w:rFonts w:ascii="Times New Roman" w:hAnsi="Times New Roman" w:cs="Times New Roman"/>
          <w:sz w:val="24"/>
          <w:szCs w:val="24"/>
        </w:rPr>
        <w:t>ells</w:t>
      </w:r>
      <w:r w:rsidRPr="001E6E5F">
        <w:rPr>
          <w:rFonts w:ascii="Times New Roman" w:hAnsi="Times New Roman" w:cs="Times New Roman"/>
          <w:b/>
          <w:sz w:val="24"/>
          <w:szCs w:val="24"/>
        </w:rPr>
        <w:t>.</w:t>
      </w:r>
      <w:r w:rsidRPr="001E6E5F">
        <w:rPr>
          <w:rFonts w:ascii="Times New Roman" w:hAnsi="Times New Roman" w:cs="Times New Roman"/>
          <w:sz w:val="24"/>
          <w:szCs w:val="24"/>
        </w:rPr>
        <w:t xml:space="preserve"> Poultry Sci.</w:t>
      </w:r>
      <w:r w:rsidRPr="001E6E5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E6E5F">
        <w:rPr>
          <w:rFonts w:ascii="Times New Roman" w:hAnsi="Times New Roman" w:cs="Times New Roman"/>
          <w:sz w:val="24"/>
          <w:szCs w:val="24"/>
        </w:rPr>
        <w:t>2016;95</w:t>
      </w:r>
      <w:r w:rsidRPr="001E6E5F">
        <w:rPr>
          <w:rFonts w:ascii="Times New Roman" w:hAnsi="Times New Roman" w:cs="Times New Roman"/>
          <w:b/>
          <w:sz w:val="24"/>
          <w:szCs w:val="24"/>
        </w:rPr>
        <w:t>:</w:t>
      </w:r>
      <w:r w:rsidRPr="001E6E5F">
        <w:rPr>
          <w:rFonts w:ascii="Times New Roman" w:hAnsi="Times New Roman" w:cs="Times New Roman"/>
          <w:sz w:val="24"/>
          <w:szCs w:val="24"/>
        </w:rPr>
        <w:t>1636-45.</w:t>
      </w:r>
    </w:p>
    <w:p w:rsidR="009D0558" w:rsidRPr="001E6E5F" w:rsidRDefault="009D0558" w:rsidP="00357ED8">
      <w:pPr>
        <w:pStyle w:val="EndNoteBibliography"/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1E6E5F">
        <w:rPr>
          <w:rFonts w:ascii="Times New Roman" w:hAnsi="Times New Roman" w:cs="Times New Roman"/>
          <w:sz w:val="24"/>
          <w:szCs w:val="24"/>
        </w:rPr>
        <w:t>2.</w:t>
      </w:r>
      <w:r w:rsidRPr="001E6E5F">
        <w:rPr>
          <w:rFonts w:ascii="Times New Roman" w:hAnsi="Times New Roman" w:cs="Times New Roman"/>
          <w:sz w:val="24"/>
          <w:szCs w:val="24"/>
        </w:rPr>
        <w:tab/>
        <w:t>Lee S-H, Lillehoj HS, Jang SI, Hong Y-H, Min W, Lillehoj EP, Yancey RJ, Dominowski P. Embryo vaccination of chickens using a novel adjuvant formulation stimulates protective immunity against Eimeria maxima infection</w:t>
      </w:r>
      <w:r w:rsidRPr="001E6E5F">
        <w:rPr>
          <w:rFonts w:ascii="Times New Roman" w:hAnsi="Times New Roman" w:cs="Times New Roman"/>
          <w:b/>
          <w:sz w:val="24"/>
          <w:szCs w:val="24"/>
        </w:rPr>
        <w:t>.</w:t>
      </w:r>
      <w:r w:rsidRPr="001E6E5F">
        <w:rPr>
          <w:rFonts w:ascii="Times New Roman" w:hAnsi="Times New Roman" w:cs="Times New Roman"/>
          <w:sz w:val="24"/>
          <w:szCs w:val="24"/>
        </w:rPr>
        <w:t xml:space="preserve"> Vaccine.</w:t>
      </w:r>
      <w:r w:rsidRPr="001E6E5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E6E5F">
        <w:rPr>
          <w:rFonts w:ascii="Times New Roman" w:hAnsi="Times New Roman" w:cs="Times New Roman"/>
          <w:sz w:val="24"/>
          <w:szCs w:val="24"/>
        </w:rPr>
        <w:t>2010;28</w:t>
      </w:r>
      <w:r w:rsidRPr="001E6E5F">
        <w:rPr>
          <w:rFonts w:ascii="Times New Roman" w:hAnsi="Times New Roman" w:cs="Times New Roman"/>
          <w:b/>
          <w:sz w:val="24"/>
          <w:szCs w:val="24"/>
        </w:rPr>
        <w:t>:</w:t>
      </w:r>
      <w:r w:rsidRPr="001E6E5F">
        <w:rPr>
          <w:rFonts w:ascii="Times New Roman" w:hAnsi="Times New Roman" w:cs="Times New Roman"/>
          <w:sz w:val="24"/>
          <w:szCs w:val="24"/>
        </w:rPr>
        <w:t>7774-8.</w:t>
      </w:r>
    </w:p>
    <w:p w:rsidR="009D0558" w:rsidRPr="001E6E5F" w:rsidRDefault="009D0558" w:rsidP="00357ED8">
      <w:pPr>
        <w:pStyle w:val="EndNoteBibliography"/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1E6E5F">
        <w:rPr>
          <w:rFonts w:ascii="Times New Roman" w:hAnsi="Times New Roman" w:cs="Times New Roman"/>
          <w:sz w:val="24"/>
          <w:szCs w:val="24"/>
        </w:rPr>
        <w:t>3.</w:t>
      </w:r>
      <w:r w:rsidRPr="001E6E5F">
        <w:rPr>
          <w:rFonts w:ascii="Times New Roman" w:hAnsi="Times New Roman" w:cs="Times New Roman"/>
          <w:sz w:val="24"/>
          <w:szCs w:val="24"/>
        </w:rPr>
        <w:tab/>
        <w:t>Waititu SM, Yitbarek A, Matini E, Echeverry H, Kiarie E, Rodriguez-Lecompte JC, Nyachoti CM. Effect of supplementing direct-fed microbials on broiler performance, nutrient digestibilities, and immune responses1</w:t>
      </w:r>
      <w:r w:rsidRPr="001E6E5F">
        <w:rPr>
          <w:rFonts w:ascii="Times New Roman" w:hAnsi="Times New Roman" w:cs="Times New Roman"/>
          <w:b/>
          <w:sz w:val="24"/>
          <w:szCs w:val="24"/>
        </w:rPr>
        <w:t>.</w:t>
      </w:r>
      <w:r w:rsidRPr="001E6E5F">
        <w:rPr>
          <w:rFonts w:ascii="Times New Roman" w:hAnsi="Times New Roman" w:cs="Times New Roman"/>
          <w:sz w:val="24"/>
          <w:szCs w:val="24"/>
        </w:rPr>
        <w:t xml:space="preserve"> Poultry Sci.</w:t>
      </w:r>
      <w:r w:rsidRPr="001E6E5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E6E5F">
        <w:rPr>
          <w:rFonts w:ascii="Times New Roman" w:hAnsi="Times New Roman" w:cs="Times New Roman"/>
          <w:sz w:val="24"/>
          <w:szCs w:val="24"/>
        </w:rPr>
        <w:t>2014;93</w:t>
      </w:r>
      <w:r w:rsidRPr="001E6E5F">
        <w:rPr>
          <w:rFonts w:ascii="Times New Roman" w:hAnsi="Times New Roman" w:cs="Times New Roman"/>
          <w:b/>
          <w:sz w:val="24"/>
          <w:szCs w:val="24"/>
        </w:rPr>
        <w:t>:</w:t>
      </w:r>
      <w:r w:rsidRPr="001E6E5F">
        <w:rPr>
          <w:rFonts w:ascii="Times New Roman" w:hAnsi="Times New Roman" w:cs="Times New Roman"/>
          <w:sz w:val="24"/>
          <w:szCs w:val="24"/>
        </w:rPr>
        <w:t>625-35.</w:t>
      </w:r>
    </w:p>
    <w:p w:rsidR="00EB59F3" w:rsidRPr="001E6E5F" w:rsidRDefault="009D0558" w:rsidP="00D55218">
      <w:pPr>
        <w:pStyle w:val="EndNoteBibliography"/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1E6E5F">
        <w:rPr>
          <w:rFonts w:ascii="Times New Roman" w:hAnsi="Times New Roman" w:cs="Times New Roman"/>
          <w:sz w:val="24"/>
          <w:szCs w:val="24"/>
        </w:rPr>
        <w:t>4.</w:t>
      </w:r>
      <w:r w:rsidRPr="001E6E5F">
        <w:rPr>
          <w:rFonts w:ascii="Times New Roman" w:hAnsi="Times New Roman" w:cs="Times New Roman"/>
          <w:sz w:val="24"/>
          <w:szCs w:val="24"/>
        </w:rPr>
        <w:tab/>
        <w:t>Lian L, Qu LJ, Zheng JX, Liu CJ, Zhang YP, Chen YM, Xu GY, Yang N. Expression profiles of genes within a subregion of chicken major histocompatibility complex B in spleen after Marek's disease virus infection</w:t>
      </w:r>
      <w:r w:rsidRPr="001E6E5F">
        <w:rPr>
          <w:rFonts w:ascii="Times New Roman" w:hAnsi="Times New Roman" w:cs="Times New Roman"/>
          <w:b/>
          <w:sz w:val="24"/>
          <w:szCs w:val="24"/>
        </w:rPr>
        <w:t>.</w:t>
      </w:r>
      <w:r w:rsidRPr="001E6E5F">
        <w:rPr>
          <w:rFonts w:ascii="Times New Roman" w:hAnsi="Times New Roman" w:cs="Times New Roman"/>
          <w:sz w:val="24"/>
          <w:szCs w:val="24"/>
        </w:rPr>
        <w:t xml:space="preserve"> Poultry Sci.</w:t>
      </w:r>
      <w:r w:rsidRPr="001E6E5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E6E5F">
        <w:rPr>
          <w:rFonts w:ascii="Times New Roman" w:hAnsi="Times New Roman" w:cs="Times New Roman"/>
          <w:sz w:val="24"/>
          <w:szCs w:val="24"/>
        </w:rPr>
        <w:t>2010;89</w:t>
      </w:r>
      <w:r w:rsidRPr="001E6E5F">
        <w:rPr>
          <w:rFonts w:ascii="Times New Roman" w:hAnsi="Times New Roman" w:cs="Times New Roman"/>
          <w:b/>
          <w:sz w:val="24"/>
          <w:szCs w:val="24"/>
        </w:rPr>
        <w:t>:</w:t>
      </w:r>
      <w:r w:rsidRPr="001E6E5F">
        <w:rPr>
          <w:rFonts w:ascii="Times New Roman" w:hAnsi="Times New Roman" w:cs="Times New Roman"/>
          <w:sz w:val="24"/>
          <w:szCs w:val="24"/>
        </w:rPr>
        <w:t>2123-9.</w:t>
      </w:r>
    </w:p>
    <w:sectPr w:rsidR="00EB59F3" w:rsidRPr="001E6E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9D0558"/>
    <w:rsid w:val="001E6E5F"/>
    <w:rsid w:val="00640CAC"/>
    <w:rsid w:val="009D0558"/>
    <w:rsid w:val="00B923CF"/>
    <w:rsid w:val="00D55218"/>
    <w:rsid w:val="00EB5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700E00"/>
  <w15:chartTrackingRefBased/>
  <w15:docId w15:val="{E5BAC205-2AF5-495F-9150-DB32C3161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0558"/>
    <w:pPr>
      <w:widowControl w:val="0"/>
      <w:jc w:val="both"/>
    </w:pPr>
  </w:style>
  <w:style w:type="character" w:default="1" w:styleId="a0">
    <w:name w:val="Default Paragraph Font"/>
    <w:uiPriority w:val="1"/>
    <w:unhideWhenUsed/>
    <w:rsid w:val="009D0558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9D0558"/>
  </w:style>
  <w:style w:type="paragraph" w:styleId="a3">
    <w:name w:val="header"/>
    <w:basedOn w:val="a"/>
    <w:link w:val="a4"/>
    <w:uiPriority w:val="99"/>
    <w:unhideWhenUsed/>
    <w:rsid w:val="009D05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D055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D05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D0558"/>
    <w:rPr>
      <w:sz w:val="18"/>
      <w:szCs w:val="18"/>
    </w:rPr>
  </w:style>
  <w:style w:type="paragraph" w:styleId="a7">
    <w:name w:val="Normal (Web)"/>
    <w:basedOn w:val="a"/>
    <w:uiPriority w:val="99"/>
    <w:unhideWhenUsed/>
    <w:rsid w:val="009D055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EndNoteBibliographyTitle">
    <w:name w:val="EndNote Bibliography Title"/>
    <w:basedOn w:val="a"/>
    <w:link w:val="EndNoteBibliographyTitle0"/>
    <w:rsid w:val="009D0558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9D0558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9D0558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9D0558"/>
    <w:rPr>
      <w:rFonts w:ascii="等线" w:eastAsia="等线" w:hAnsi="等线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264</Words>
  <Characters>1508</Characters>
  <Application>Microsoft Office Word</Application>
  <DocSecurity>0</DocSecurity>
  <Lines>12</Lines>
  <Paragraphs>3</Paragraphs>
  <ScaleCrop>false</ScaleCrop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2020-02-21T13:06:00Z</dcterms:created>
  <dcterms:modified xsi:type="dcterms:W3CDTF">2020-02-21T13:08:00Z</dcterms:modified>
</cp:coreProperties>
</file>