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8DF" w:rsidRDefault="007128DF" w:rsidP="007128DF">
      <w:pPr>
        <w:rPr>
          <w:sz w:val="32"/>
          <w:szCs w:val="32"/>
        </w:rPr>
      </w:pPr>
      <w:proofErr w:type="gramStart"/>
      <w:r>
        <w:rPr>
          <w:b/>
          <w:bCs/>
          <w:sz w:val="32"/>
          <w:szCs w:val="32"/>
        </w:rPr>
        <w:t>a</w:t>
      </w:r>
      <w:proofErr w:type="gramEnd"/>
      <w:r>
        <w:rPr>
          <w:noProof/>
          <w:lang w:val="en-US"/>
        </w:rPr>
        <w:drawing>
          <wp:inline distT="0" distB="0" distL="0" distR="0" wp14:anchorId="1AD40079" wp14:editId="5222D1FC">
            <wp:extent cx="5731510" cy="30880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3088005"/>
                    </a:xfrm>
                    <a:prstGeom prst="rect">
                      <a:avLst/>
                    </a:prstGeom>
                  </pic:spPr>
                </pic:pic>
              </a:graphicData>
            </a:graphic>
          </wp:inline>
        </w:drawing>
      </w:r>
      <w:r w:rsidRPr="00703B72">
        <w:rPr>
          <w:sz w:val="32"/>
          <w:szCs w:val="32"/>
        </w:rPr>
        <w:t xml:space="preserve"> </w:t>
      </w:r>
    </w:p>
    <w:p w:rsidR="007128DF" w:rsidRPr="001E3EED" w:rsidRDefault="007128DF" w:rsidP="007128DF">
      <w:pPr>
        <w:rPr>
          <w:b/>
          <w:bCs/>
          <w:sz w:val="32"/>
          <w:szCs w:val="32"/>
        </w:rPr>
      </w:pPr>
      <w:proofErr w:type="gramStart"/>
      <w:r w:rsidRPr="001E3EED">
        <w:rPr>
          <w:b/>
          <w:bCs/>
          <w:sz w:val="32"/>
          <w:szCs w:val="32"/>
        </w:rPr>
        <w:t>b</w:t>
      </w:r>
      <w:proofErr w:type="gramEnd"/>
    </w:p>
    <w:p w:rsidR="007128DF" w:rsidRDefault="007128DF" w:rsidP="007128DF">
      <w:pPr>
        <w:rPr>
          <w:sz w:val="32"/>
          <w:szCs w:val="32"/>
        </w:rPr>
      </w:pPr>
      <w:r>
        <w:rPr>
          <w:noProof/>
          <w:lang w:val="en-US"/>
        </w:rPr>
        <w:drawing>
          <wp:inline distT="0" distB="0" distL="0" distR="0" wp14:anchorId="1CDE9AF3" wp14:editId="22EB0D0F">
            <wp:extent cx="5731510" cy="309626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096260"/>
                    </a:xfrm>
                    <a:prstGeom prst="rect">
                      <a:avLst/>
                    </a:prstGeom>
                  </pic:spPr>
                </pic:pic>
              </a:graphicData>
            </a:graphic>
          </wp:inline>
        </w:drawing>
      </w:r>
    </w:p>
    <w:p w:rsidR="007128DF" w:rsidRPr="00354861" w:rsidRDefault="007128DF" w:rsidP="007128DF">
      <w:r>
        <w:rPr>
          <w:b/>
          <w:bCs/>
        </w:rPr>
        <w:t>Supplementary</w:t>
      </w:r>
      <w:r w:rsidRPr="00113375">
        <w:rPr>
          <w:b/>
          <w:bCs/>
        </w:rPr>
        <w:t xml:space="preserve"> Figure 1</w:t>
      </w:r>
      <w:r>
        <w:rPr>
          <w:b/>
          <w:bCs/>
        </w:rPr>
        <w:t>.</w:t>
      </w:r>
      <w:r w:rsidRPr="00113375">
        <w:rPr>
          <w:b/>
          <w:bCs/>
        </w:rPr>
        <w:t xml:space="preserve"> The molecular control mechanism for exogenous protein production using the </w:t>
      </w:r>
      <w:r w:rsidRPr="00113375">
        <w:rPr>
          <w:b/>
          <w:bCs/>
          <w:i/>
        </w:rPr>
        <w:t>E. coli</w:t>
      </w:r>
      <w:r w:rsidRPr="00113375">
        <w:rPr>
          <w:b/>
          <w:bCs/>
        </w:rPr>
        <w:t xml:space="preserve"> </w:t>
      </w:r>
      <w:proofErr w:type="spellStart"/>
      <w:r w:rsidRPr="00113375">
        <w:rPr>
          <w:b/>
          <w:bCs/>
        </w:rPr>
        <w:t>pET</w:t>
      </w:r>
      <w:proofErr w:type="spellEnd"/>
      <w:r w:rsidRPr="00113375">
        <w:rPr>
          <w:b/>
          <w:bCs/>
        </w:rPr>
        <w:t xml:space="preserve"> expression system</w:t>
      </w:r>
      <w:r>
        <w:t xml:space="preserve">. </w:t>
      </w:r>
      <w:proofErr w:type="spellStart"/>
      <w:proofErr w:type="gramStart"/>
      <w:r>
        <w:rPr>
          <w:b/>
          <w:bCs/>
        </w:rPr>
        <w:t>a</w:t>
      </w:r>
      <w:proofErr w:type="spellEnd"/>
      <w:proofErr w:type="gramEnd"/>
      <w:r>
        <w:t xml:space="preserve"> The </w:t>
      </w:r>
      <w:r>
        <w:rPr>
          <w:i/>
        </w:rPr>
        <w:t xml:space="preserve">E. coli </w:t>
      </w:r>
      <w:r>
        <w:t xml:space="preserve">strains have the DE3 </w:t>
      </w:r>
      <w:proofErr w:type="spellStart"/>
      <w:r>
        <w:t>lysogen</w:t>
      </w:r>
      <w:proofErr w:type="spellEnd"/>
      <w:r>
        <w:t xml:space="preserve"> inserted into their genome and the lac repressor binds to the lacUV5 promoter preventing the transcription of the T7 RNAP polymerase (RNAP) gene. </w:t>
      </w:r>
      <w:proofErr w:type="gramStart"/>
      <w:r>
        <w:rPr>
          <w:b/>
          <w:bCs/>
        </w:rPr>
        <w:t>b</w:t>
      </w:r>
      <w:proofErr w:type="gramEnd"/>
      <w:r>
        <w:t xml:space="preserve"> Upon IPTG introduction, a complex is formed between the lac repressor and IPTG preventing it from binding to both the lacUV5 and T7 promoter sites. The endogenous </w:t>
      </w:r>
      <w:r>
        <w:rPr>
          <w:i/>
        </w:rPr>
        <w:t>E. coli</w:t>
      </w:r>
      <w:r>
        <w:t xml:space="preserve"> RNA polymerase is then free to transcribe the T7 RNAP gene which, once converted to protein, recognises and binds to the T7 promoter site on the </w:t>
      </w:r>
      <w:proofErr w:type="spellStart"/>
      <w:r>
        <w:t>pET</w:t>
      </w:r>
      <w:proofErr w:type="spellEnd"/>
      <w:r>
        <w:t xml:space="preserve"> vector resulting in the production of the exogenous target protein. To date, the assumption has been made that this occurs in all DE3 transformed cells. </w:t>
      </w:r>
    </w:p>
    <w:p w:rsidR="007128DF" w:rsidRDefault="007128DF" w:rsidP="007128DF"/>
    <w:p w:rsidR="007128DF" w:rsidRPr="001E3EED" w:rsidRDefault="007128DF" w:rsidP="007128DF">
      <w:pPr>
        <w:rPr>
          <w:b/>
          <w:bCs/>
          <w:sz w:val="32"/>
          <w:szCs w:val="32"/>
        </w:rPr>
      </w:pPr>
      <w:proofErr w:type="gramStart"/>
      <w:r>
        <w:rPr>
          <w:b/>
          <w:bCs/>
          <w:sz w:val="32"/>
          <w:szCs w:val="32"/>
        </w:rPr>
        <w:t>a</w:t>
      </w:r>
      <w:proofErr w:type="gramEnd"/>
    </w:p>
    <w:p w:rsidR="007128DF" w:rsidRDefault="007128DF" w:rsidP="007128DF">
      <w:pPr>
        <w:rPr>
          <w:rFonts w:cstheme="minorHAnsi"/>
        </w:rPr>
      </w:pPr>
      <w:r>
        <w:rPr>
          <w:noProof/>
          <w:lang w:val="en-US"/>
        </w:rPr>
        <w:drawing>
          <wp:inline distT="0" distB="0" distL="0" distR="0" wp14:anchorId="2E60B571" wp14:editId="4F1D8458">
            <wp:extent cx="5731510" cy="325437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254375"/>
                    </a:xfrm>
                    <a:prstGeom prst="rect">
                      <a:avLst/>
                    </a:prstGeom>
                  </pic:spPr>
                </pic:pic>
              </a:graphicData>
            </a:graphic>
          </wp:inline>
        </w:drawing>
      </w:r>
    </w:p>
    <w:p w:rsidR="007128DF" w:rsidRPr="001E3EED" w:rsidRDefault="007128DF" w:rsidP="007128DF">
      <w:pPr>
        <w:rPr>
          <w:b/>
          <w:bCs/>
          <w:sz w:val="32"/>
          <w:szCs w:val="32"/>
        </w:rPr>
      </w:pPr>
      <w:proofErr w:type="gramStart"/>
      <w:r>
        <w:rPr>
          <w:b/>
          <w:bCs/>
          <w:sz w:val="32"/>
          <w:szCs w:val="32"/>
        </w:rPr>
        <w:t>b</w:t>
      </w:r>
      <w:proofErr w:type="gramEnd"/>
    </w:p>
    <w:p w:rsidR="007128DF" w:rsidRDefault="007128DF" w:rsidP="007128DF">
      <w:r>
        <w:rPr>
          <w:noProof/>
          <w:lang w:val="en-US"/>
        </w:rPr>
        <w:drawing>
          <wp:inline distT="0" distB="0" distL="0" distR="0" wp14:anchorId="3A6B0B12" wp14:editId="379488FB">
            <wp:extent cx="5731510" cy="243395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433955"/>
                    </a:xfrm>
                    <a:prstGeom prst="rect">
                      <a:avLst/>
                    </a:prstGeom>
                  </pic:spPr>
                </pic:pic>
              </a:graphicData>
            </a:graphic>
          </wp:inline>
        </w:drawing>
      </w:r>
    </w:p>
    <w:p w:rsidR="007128DF" w:rsidRDefault="007128DF" w:rsidP="007128DF">
      <w:r>
        <w:rPr>
          <w:b/>
          <w:bCs/>
        </w:rPr>
        <w:t>Supplementary</w:t>
      </w:r>
      <w:r w:rsidRPr="00113375">
        <w:rPr>
          <w:b/>
          <w:bCs/>
        </w:rPr>
        <w:t xml:space="preserve"> Figure 2</w:t>
      </w:r>
      <w:r>
        <w:rPr>
          <w:b/>
          <w:bCs/>
        </w:rPr>
        <w:t>.</w:t>
      </w:r>
      <w:r w:rsidRPr="00113375">
        <w:rPr>
          <w:b/>
          <w:bCs/>
        </w:rPr>
        <w:t xml:space="preserve"> Representative plates of a 0.2 OD600 culture of </w:t>
      </w:r>
      <w:proofErr w:type="gramStart"/>
      <w:r w:rsidRPr="00113375">
        <w:rPr>
          <w:b/>
          <w:bCs/>
        </w:rPr>
        <w:t>BL21(</w:t>
      </w:r>
      <w:proofErr w:type="gramEnd"/>
      <w:r w:rsidRPr="00113375">
        <w:rPr>
          <w:b/>
          <w:bCs/>
        </w:rPr>
        <w:t xml:space="preserve">DE3) containing the </w:t>
      </w:r>
      <w:proofErr w:type="spellStart"/>
      <w:r w:rsidRPr="00113375">
        <w:rPr>
          <w:b/>
          <w:bCs/>
        </w:rPr>
        <w:t>sfGFP</w:t>
      </w:r>
      <w:proofErr w:type="spellEnd"/>
      <w:r w:rsidRPr="00113375">
        <w:rPr>
          <w:b/>
          <w:bCs/>
        </w:rPr>
        <w:t xml:space="preserve"> expression vector plated onto LB agar plus 50 </w:t>
      </w:r>
      <w:r w:rsidRPr="00113375">
        <w:rPr>
          <w:rFonts w:cstheme="minorHAnsi"/>
          <w:b/>
          <w:bCs/>
        </w:rPr>
        <w:t xml:space="preserve">µg/mL kanamycin and 0 to 1 </w:t>
      </w:r>
      <w:proofErr w:type="spellStart"/>
      <w:r w:rsidRPr="00113375">
        <w:rPr>
          <w:rFonts w:cstheme="minorHAnsi"/>
          <w:b/>
          <w:bCs/>
        </w:rPr>
        <w:t>mM</w:t>
      </w:r>
      <w:proofErr w:type="spellEnd"/>
      <w:r w:rsidRPr="00113375">
        <w:rPr>
          <w:rFonts w:cstheme="minorHAnsi"/>
          <w:b/>
          <w:bCs/>
        </w:rPr>
        <w:t xml:space="preserve"> IPTG</w:t>
      </w:r>
      <w:r>
        <w:rPr>
          <w:rFonts w:cstheme="minorHAnsi"/>
        </w:rPr>
        <w:t xml:space="preserve">. </w:t>
      </w:r>
      <w:r>
        <w:rPr>
          <w:rFonts w:cstheme="minorHAnsi"/>
          <w:b/>
          <w:bCs/>
        </w:rPr>
        <w:t>a</w:t>
      </w:r>
      <w:r>
        <w:rPr>
          <w:rFonts w:cstheme="minorHAnsi"/>
        </w:rPr>
        <w:t xml:space="preserve"> is an overview of the plates showing the uniform CFU colours from the 0 to 0.1 </w:t>
      </w:r>
      <w:proofErr w:type="spellStart"/>
      <w:r>
        <w:rPr>
          <w:rFonts w:cstheme="minorHAnsi"/>
        </w:rPr>
        <w:t>mM</w:t>
      </w:r>
      <w:proofErr w:type="spellEnd"/>
      <w:r>
        <w:rPr>
          <w:rFonts w:cstheme="minorHAnsi"/>
        </w:rPr>
        <w:t xml:space="preserve"> IPTG screen while </w:t>
      </w:r>
      <w:r>
        <w:rPr>
          <w:rFonts w:cstheme="minorHAnsi"/>
          <w:b/>
          <w:bCs/>
        </w:rPr>
        <w:t xml:space="preserve">b </w:t>
      </w:r>
      <w:r>
        <w:rPr>
          <w:rFonts w:cstheme="minorHAnsi"/>
        </w:rPr>
        <w:t xml:space="preserve">is a close-up view of the (A) images to show the various CFUs and particularly the large white (LW), large green (LG) and small colony variant (SCV) that were only observed from the 0.2 – 1 </w:t>
      </w:r>
      <w:proofErr w:type="spellStart"/>
      <w:r>
        <w:rPr>
          <w:rFonts w:cstheme="minorHAnsi"/>
        </w:rPr>
        <w:t>mM</w:t>
      </w:r>
      <w:proofErr w:type="spellEnd"/>
      <w:r>
        <w:rPr>
          <w:rFonts w:cstheme="minorHAnsi"/>
        </w:rPr>
        <w:t xml:space="preserve"> plates.</w:t>
      </w:r>
    </w:p>
    <w:p w:rsidR="007128DF" w:rsidRPr="00EB040E" w:rsidRDefault="007128DF" w:rsidP="007128DF">
      <w:r>
        <w:br w:type="page"/>
      </w:r>
      <w:proofErr w:type="gramStart"/>
      <w:r>
        <w:rPr>
          <w:b/>
          <w:bCs/>
          <w:sz w:val="32"/>
          <w:szCs w:val="32"/>
        </w:rPr>
        <w:lastRenderedPageBreak/>
        <w:t>a</w:t>
      </w:r>
      <w:proofErr w:type="gramEnd"/>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t xml:space="preserve">   b</w:t>
      </w:r>
    </w:p>
    <w:p w:rsidR="007128DF" w:rsidRDefault="007128DF" w:rsidP="007128DF">
      <w:r>
        <w:rPr>
          <w:noProof/>
          <w:lang w:val="en-US"/>
        </w:rPr>
        <w:drawing>
          <wp:inline distT="0" distB="0" distL="0" distR="0" wp14:anchorId="5857DE0C" wp14:editId="3DEE5C89">
            <wp:extent cx="2831555" cy="2390478"/>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Lst>
                    </a:blip>
                    <a:stretch>
                      <a:fillRect/>
                    </a:stretch>
                  </pic:blipFill>
                  <pic:spPr>
                    <a:xfrm>
                      <a:off x="0" y="0"/>
                      <a:ext cx="2844775" cy="2401639"/>
                    </a:xfrm>
                    <a:prstGeom prst="rect">
                      <a:avLst/>
                    </a:prstGeom>
                  </pic:spPr>
                </pic:pic>
              </a:graphicData>
            </a:graphic>
          </wp:inline>
        </w:drawing>
      </w:r>
      <w:r>
        <w:rPr>
          <w:noProof/>
          <w:lang w:val="en-US"/>
        </w:rPr>
        <w:drawing>
          <wp:inline distT="0" distB="0" distL="0" distR="0" wp14:anchorId="7C60B601" wp14:editId="25333415">
            <wp:extent cx="2823845" cy="23883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6832" cy="2407791"/>
                    </a:xfrm>
                    <a:prstGeom prst="rect">
                      <a:avLst/>
                    </a:prstGeom>
                  </pic:spPr>
                </pic:pic>
              </a:graphicData>
            </a:graphic>
          </wp:inline>
        </w:drawing>
      </w:r>
    </w:p>
    <w:p w:rsidR="007128DF" w:rsidRPr="001E3EED" w:rsidRDefault="007128DF" w:rsidP="007128DF">
      <w:pPr>
        <w:rPr>
          <w:b/>
          <w:bCs/>
          <w:sz w:val="32"/>
          <w:szCs w:val="32"/>
        </w:rPr>
      </w:pPr>
      <w:proofErr w:type="gramStart"/>
      <w:r>
        <w:rPr>
          <w:b/>
          <w:bCs/>
          <w:sz w:val="32"/>
          <w:szCs w:val="32"/>
        </w:rPr>
        <w:t>c</w:t>
      </w:r>
      <w:proofErr w:type="gramEnd"/>
    </w:p>
    <w:p w:rsidR="007128DF" w:rsidRDefault="007128DF" w:rsidP="007128DF">
      <w:r>
        <w:rPr>
          <w:noProof/>
        </w:rPr>
        <w:t xml:space="preserve"> </w:t>
      </w:r>
      <w:r>
        <w:rPr>
          <w:noProof/>
          <w:lang w:val="en-US"/>
        </w:rPr>
        <w:drawing>
          <wp:inline distT="0" distB="0" distL="0" distR="0" wp14:anchorId="3861DCE0" wp14:editId="1D634FA6">
            <wp:extent cx="5628591" cy="474370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rightnessContrast contrast="20000"/>
                              </a14:imgEffect>
                            </a14:imgLayer>
                          </a14:imgProps>
                        </a:ext>
                      </a:extLst>
                    </a:blip>
                    <a:stretch>
                      <a:fillRect/>
                    </a:stretch>
                  </pic:blipFill>
                  <pic:spPr>
                    <a:xfrm>
                      <a:off x="0" y="0"/>
                      <a:ext cx="5661610" cy="4771534"/>
                    </a:xfrm>
                    <a:prstGeom prst="rect">
                      <a:avLst/>
                    </a:prstGeom>
                  </pic:spPr>
                </pic:pic>
              </a:graphicData>
            </a:graphic>
          </wp:inline>
        </w:drawing>
      </w:r>
    </w:p>
    <w:p w:rsidR="007128DF" w:rsidRDefault="007128DF" w:rsidP="007128DF">
      <w:r>
        <w:rPr>
          <w:b/>
          <w:bCs/>
        </w:rPr>
        <w:t>Supplementary</w:t>
      </w:r>
      <w:r w:rsidRPr="00113375">
        <w:rPr>
          <w:b/>
          <w:bCs/>
        </w:rPr>
        <w:t xml:space="preserve"> Figure </w:t>
      </w:r>
      <w:r>
        <w:rPr>
          <w:b/>
          <w:bCs/>
        </w:rPr>
        <w:t>3.</w:t>
      </w:r>
      <w:r w:rsidRPr="00113375">
        <w:rPr>
          <w:b/>
          <w:bCs/>
        </w:rPr>
        <w:t xml:space="preserve"> Over-expression of </w:t>
      </w:r>
      <w:proofErr w:type="spellStart"/>
      <w:r w:rsidRPr="00113375">
        <w:rPr>
          <w:b/>
          <w:bCs/>
        </w:rPr>
        <w:t>mdfA</w:t>
      </w:r>
      <w:proofErr w:type="spellEnd"/>
      <w:r w:rsidRPr="00113375">
        <w:rPr>
          <w:b/>
          <w:bCs/>
        </w:rPr>
        <w:t xml:space="preserve"> in BL21-</w:t>
      </w:r>
      <w:proofErr w:type="gramStart"/>
      <w:r w:rsidRPr="00113375">
        <w:rPr>
          <w:b/>
          <w:bCs/>
        </w:rPr>
        <w:t>Gold(</w:t>
      </w:r>
      <w:proofErr w:type="gramEnd"/>
      <w:r w:rsidRPr="00113375">
        <w:rPr>
          <w:b/>
          <w:bCs/>
        </w:rPr>
        <w:t>DE3)</w:t>
      </w:r>
      <w:proofErr w:type="spellStart"/>
      <w:r w:rsidRPr="00113375">
        <w:rPr>
          <w:b/>
          <w:bCs/>
        </w:rPr>
        <w:t>pLysS</w:t>
      </w:r>
      <w:proofErr w:type="spellEnd"/>
      <w:r w:rsidRPr="00113375">
        <w:rPr>
          <w:b/>
          <w:bCs/>
        </w:rPr>
        <w:t xml:space="preserve"> is bactericidal</w:t>
      </w:r>
      <w:r>
        <w:t xml:space="preserve">. </w:t>
      </w:r>
      <w:proofErr w:type="gramStart"/>
      <w:r>
        <w:rPr>
          <w:b/>
          <w:bCs/>
        </w:rPr>
        <w:t>a</w:t>
      </w:r>
      <w:proofErr w:type="gramEnd"/>
      <w:r>
        <w:t xml:space="preserve"> False colour showing large colonies and SCVs generated after incubation of ~70,000 cells on LB agar containing 0.75 </w:t>
      </w:r>
      <w:proofErr w:type="spellStart"/>
      <w:r>
        <w:t>mM</w:t>
      </w:r>
      <w:proofErr w:type="spellEnd"/>
      <w:r>
        <w:t xml:space="preserve"> IPTG. </w:t>
      </w:r>
      <w:proofErr w:type="gramStart"/>
      <w:r>
        <w:rPr>
          <w:b/>
          <w:bCs/>
        </w:rPr>
        <w:t>b</w:t>
      </w:r>
      <w:proofErr w:type="gramEnd"/>
      <w:r>
        <w:t xml:space="preserve"> False colour replica plate generated from A grown overnight on LB agar with 0 </w:t>
      </w:r>
      <w:proofErr w:type="spellStart"/>
      <w:r>
        <w:t>mM</w:t>
      </w:r>
      <w:proofErr w:type="spellEnd"/>
      <w:r>
        <w:t xml:space="preserve"> IPTG. </w:t>
      </w:r>
      <w:r>
        <w:rPr>
          <w:b/>
          <w:bCs/>
        </w:rPr>
        <w:t>c</w:t>
      </w:r>
      <w:r>
        <w:t xml:space="preserve"> Manual overlap of A and B showing that only cells from pre-existing CFUs were </w:t>
      </w:r>
      <w:r>
        <w:lastRenderedPageBreak/>
        <w:t xml:space="preserve">able to grow on the 0 </w:t>
      </w:r>
      <w:proofErr w:type="spellStart"/>
      <w:r>
        <w:t>mM</w:t>
      </w:r>
      <w:proofErr w:type="spellEnd"/>
      <w:r>
        <w:t xml:space="preserve"> IPTG plate. False colouring and overlapping were performed using GIMP</w:t>
      </w:r>
      <w:r>
        <w:fldChar w:fldCharType="begin"/>
      </w:r>
      <w:r>
        <w:instrText xml:space="preserve"> ADDIN ZOTERO_ITEM CSL_CITATION {"citationID":"S9jrdqyH","properties":{"formattedCitation":"[49]","plainCitation":"[49]","noteIndex":0},"citationItems":[{"id":3131,"uris":["http://zotero.org/users/65840/items/7ILJSE6J"],"uri":["http://zotero.org/users/65840/items/7ILJSE6J"],"itemData":{"id":3131,"type":"book","title":"GNU Image Manipulation Program (GIMP)","URL":"https://www.gimp.org/","version":"2.10.12"}}],"schema":"https://github.com/citation-style-language/schema/raw/master/csl-citation.json"} </w:instrText>
      </w:r>
      <w:r>
        <w:fldChar w:fldCharType="separate"/>
      </w:r>
      <w:r w:rsidRPr="000F2A3D">
        <w:rPr>
          <w:rFonts w:ascii="Calibri" w:hAnsi="Calibri" w:cs="Calibri"/>
        </w:rPr>
        <w:t>[49]</w:t>
      </w:r>
      <w:r>
        <w:fldChar w:fldCharType="end"/>
      </w:r>
      <w:r>
        <w:t>. Approximately, 70,000 BL21-</w:t>
      </w:r>
      <w:proofErr w:type="gramStart"/>
      <w:r>
        <w:t>Gold(</w:t>
      </w:r>
      <w:proofErr w:type="gramEnd"/>
      <w:r>
        <w:t>DE3)</w:t>
      </w:r>
      <w:proofErr w:type="spellStart"/>
      <w:r>
        <w:t>pLysS</w:t>
      </w:r>
      <w:proofErr w:type="spellEnd"/>
      <w:r>
        <w:t xml:space="preserve"> cells transformed with the </w:t>
      </w:r>
      <w:proofErr w:type="spellStart"/>
      <w:r>
        <w:t>mdfA</w:t>
      </w:r>
      <w:proofErr w:type="spellEnd"/>
      <w:r>
        <w:t xml:space="preserve"> expression vector were grown on LB agar containing 0.75 </w:t>
      </w:r>
      <w:proofErr w:type="spellStart"/>
      <w:r>
        <w:t>mM</w:t>
      </w:r>
      <w:proofErr w:type="spellEnd"/>
      <w:r>
        <w:t xml:space="preserve"> IPTG. This number of cells will produce a lawn on a standard sized LB agar culture plate</w:t>
      </w:r>
      <w:r w:rsidRPr="0012272B">
        <w:t xml:space="preserve">. After overnight growth at 37 </w:t>
      </w:r>
      <w:r w:rsidRPr="0012272B">
        <w:rPr>
          <w:rFonts w:cstheme="minorHAnsi"/>
        </w:rPr>
        <w:t>°</w:t>
      </w:r>
      <w:r w:rsidRPr="0012272B">
        <w:t xml:space="preserve">C, replica plating onto LB agar plus kanamycin, but lacking IPTG, was performed. If exposure to high levels of IPTG is bacteriostatic then the high exogenous protein production rate, as a result of the use of 0.75 </w:t>
      </w:r>
      <w:proofErr w:type="spellStart"/>
      <w:r w:rsidRPr="0012272B">
        <w:t>mM</w:t>
      </w:r>
      <w:proofErr w:type="spellEnd"/>
      <w:r w:rsidRPr="0012272B">
        <w:t xml:space="preserve"> IPTG, would consume too many cellular resources, resulting first in the inhibition of cell growth and then cell death. Removal of the IPTG inducer by replica plating onto 0 </w:t>
      </w:r>
      <w:proofErr w:type="spellStart"/>
      <w:r w:rsidRPr="0012272B">
        <w:t>mM</w:t>
      </w:r>
      <w:proofErr w:type="spellEnd"/>
      <w:r w:rsidRPr="0012272B">
        <w:t xml:space="preserve"> IPTG would turn off exogenous protein production and thus be expected to restore cell growth therefore all cells would be expected to grow again, generating a bacterial lawn. If, however, the high induction rate of exogenous protein using 0.75 </w:t>
      </w:r>
      <w:proofErr w:type="spellStart"/>
      <w:r w:rsidRPr="0012272B">
        <w:t>mM</w:t>
      </w:r>
      <w:proofErr w:type="spellEnd"/>
      <w:r w:rsidRPr="0012272B">
        <w:t xml:space="preserve"> IPTG is bactericidal then only the modified surviving cells will grow on the 0 </w:t>
      </w:r>
      <w:proofErr w:type="spellStart"/>
      <w:r w:rsidRPr="0012272B">
        <w:t>mM</w:t>
      </w:r>
      <w:proofErr w:type="spellEnd"/>
      <w:r w:rsidRPr="0012272B">
        <w:t xml:space="preserve"> IPTG replica plate.</w:t>
      </w:r>
      <w:r>
        <w:t xml:space="preserve">  Six such replica plates were generated, all of which showed the same results. </w:t>
      </w:r>
    </w:p>
    <w:p w:rsidR="007128DF" w:rsidRDefault="007128DF" w:rsidP="007128DF"/>
    <w:p w:rsidR="007128DF" w:rsidRDefault="007128DF" w:rsidP="007128DF"/>
    <w:p w:rsidR="007128DF" w:rsidRDefault="007128DF" w:rsidP="007128DF"/>
    <w:p w:rsidR="007128DF" w:rsidRDefault="007128DF" w:rsidP="007128DF">
      <w:r>
        <w:br w:type="page"/>
      </w:r>
    </w:p>
    <w:p w:rsidR="007128DF" w:rsidRPr="00882E22" w:rsidRDefault="007128DF" w:rsidP="007128DF">
      <w:pPr>
        <w:rPr>
          <w:b/>
          <w:bCs/>
          <w:sz w:val="32"/>
          <w:szCs w:val="32"/>
        </w:rPr>
      </w:pPr>
      <w:proofErr w:type="gramStart"/>
      <w:r>
        <w:rPr>
          <w:b/>
          <w:bCs/>
          <w:sz w:val="32"/>
          <w:szCs w:val="32"/>
        </w:rPr>
        <w:lastRenderedPageBreak/>
        <w:t>a</w:t>
      </w:r>
      <w:proofErr w:type="gramEnd"/>
    </w:p>
    <w:p w:rsidR="007128DF" w:rsidRDefault="007128DF" w:rsidP="007128DF">
      <w:pPr>
        <w:rPr>
          <w:sz w:val="32"/>
          <w:szCs w:val="32"/>
        </w:rPr>
      </w:pPr>
      <w:r>
        <w:rPr>
          <w:noProof/>
          <w:lang w:val="en-US"/>
        </w:rPr>
        <w:drawing>
          <wp:inline distT="0" distB="0" distL="0" distR="0" wp14:anchorId="05F357B8" wp14:editId="6378DB19">
            <wp:extent cx="5731510" cy="356425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564255"/>
                    </a:xfrm>
                    <a:prstGeom prst="rect">
                      <a:avLst/>
                    </a:prstGeom>
                  </pic:spPr>
                </pic:pic>
              </a:graphicData>
            </a:graphic>
          </wp:inline>
        </w:drawing>
      </w:r>
    </w:p>
    <w:p w:rsidR="007128DF" w:rsidRPr="00882E22" w:rsidRDefault="007128DF" w:rsidP="007128DF">
      <w:pPr>
        <w:rPr>
          <w:b/>
          <w:bCs/>
          <w:sz w:val="32"/>
          <w:szCs w:val="32"/>
        </w:rPr>
      </w:pPr>
      <w:proofErr w:type="gramStart"/>
      <w:r>
        <w:rPr>
          <w:b/>
          <w:bCs/>
          <w:sz w:val="32"/>
          <w:szCs w:val="32"/>
        </w:rPr>
        <w:t>b</w:t>
      </w:r>
      <w:proofErr w:type="gramEnd"/>
    </w:p>
    <w:p w:rsidR="007128DF" w:rsidRDefault="007128DF" w:rsidP="007128DF">
      <w:r>
        <w:rPr>
          <w:noProof/>
          <w:lang w:val="en-US"/>
        </w:rPr>
        <w:drawing>
          <wp:inline distT="0" distB="0" distL="0" distR="0" wp14:anchorId="2E7A4332" wp14:editId="2370AB55">
            <wp:extent cx="4162097" cy="2550471"/>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7110" cy="2571927"/>
                    </a:xfrm>
                    <a:prstGeom prst="rect">
                      <a:avLst/>
                    </a:prstGeom>
                  </pic:spPr>
                </pic:pic>
              </a:graphicData>
            </a:graphic>
          </wp:inline>
        </w:drawing>
      </w:r>
    </w:p>
    <w:p w:rsidR="007128DF" w:rsidRDefault="007128DF" w:rsidP="007128DF">
      <w:r>
        <w:rPr>
          <w:b/>
          <w:bCs/>
        </w:rPr>
        <w:t>Supplementary</w:t>
      </w:r>
      <w:r w:rsidRPr="00113375">
        <w:rPr>
          <w:b/>
          <w:bCs/>
        </w:rPr>
        <w:t xml:space="preserve"> Figure </w:t>
      </w:r>
      <w:r>
        <w:rPr>
          <w:b/>
          <w:bCs/>
        </w:rPr>
        <w:t>4.</w:t>
      </w:r>
      <w:r w:rsidRPr="00113375">
        <w:rPr>
          <w:b/>
          <w:bCs/>
        </w:rPr>
        <w:t xml:space="preserve"> Methodology used to demonstrate the culture repopulation by mutant phenotypes after induction of </w:t>
      </w:r>
      <w:proofErr w:type="spellStart"/>
      <w:r w:rsidRPr="00113375">
        <w:rPr>
          <w:b/>
          <w:bCs/>
        </w:rPr>
        <w:t>exogeneous</w:t>
      </w:r>
      <w:proofErr w:type="spellEnd"/>
      <w:r w:rsidRPr="00113375">
        <w:rPr>
          <w:b/>
          <w:bCs/>
        </w:rPr>
        <w:t xml:space="preserve"> protein over-expression</w:t>
      </w:r>
      <w:r>
        <w:t xml:space="preserve">. </w:t>
      </w:r>
      <w:proofErr w:type="spellStart"/>
      <w:r>
        <w:rPr>
          <w:b/>
          <w:bCs/>
        </w:rPr>
        <w:t>a</w:t>
      </w:r>
      <w:proofErr w:type="spellEnd"/>
      <w:r>
        <w:t xml:space="preserve"> To determine total CFU numbers samples from culture medium were plated on LB agar +/- IPTG as indicated. The three graphs are the expected changes in total CFU numbers against OD600. </w:t>
      </w:r>
      <w:r>
        <w:rPr>
          <w:b/>
          <w:bCs/>
        </w:rPr>
        <w:t xml:space="preserve">B </w:t>
      </w:r>
      <w:r>
        <w:t xml:space="preserve">Schematic growth curve indicating sampling times for CFU counting in order to determine change in phenotypes over time. Protein production was induced with the addition of 0.4 </w:t>
      </w:r>
      <w:proofErr w:type="spellStart"/>
      <w:r>
        <w:t>mM</w:t>
      </w:r>
      <w:proofErr w:type="spellEnd"/>
      <w:r>
        <w:t xml:space="preserve"> IPTG when the OD600 reached ~0.6. This time was noted as </w:t>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oMath>
      <w:r>
        <w:rPr>
          <w:rFonts w:eastAsiaTheme="minorEastAsia"/>
        </w:rPr>
        <w:t>Preinduction (</w:t>
      </w:r>
      <w:proofErr w:type="spellStart"/>
      <w:r w:rsidRPr="007E436F">
        <w:rPr>
          <w:rFonts w:eastAsiaTheme="minorEastAsia"/>
          <w:i/>
          <w:iCs/>
        </w:rPr>
        <w:t>Pr</w:t>
      </w:r>
      <w:proofErr w:type="spellEnd"/>
      <w:r>
        <w:rPr>
          <w:rFonts w:eastAsiaTheme="minorEastAsia"/>
        </w:rPr>
        <w:t xml:space="preserve">) control samples were collected when the OD600 reached a value of 0.5. Additional samples were collected at times +0.5, +1.5, +2.5 hrs and an overnight (o/n) sample after the start of </w:t>
      </w:r>
      <w:proofErr w:type="spellStart"/>
      <w:r>
        <w:rPr>
          <w:rFonts w:eastAsiaTheme="minorEastAsia"/>
        </w:rPr>
        <w:t>exogeneous</w:t>
      </w:r>
      <w:proofErr w:type="spellEnd"/>
      <w:r>
        <w:rPr>
          <w:rFonts w:eastAsiaTheme="minorEastAsia"/>
        </w:rPr>
        <w:t xml:space="preserve"> protein induction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Pr>
          <w:rFonts w:eastAsiaTheme="minorEastAsia"/>
        </w:rPr>
        <w:t xml:space="preserve">).   </w:t>
      </w:r>
    </w:p>
    <w:p w:rsidR="007128DF" w:rsidRDefault="007128DF" w:rsidP="007128DF"/>
    <w:p w:rsidR="007128DF" w:rsidRPr="00113375" w:rsidRDefault="007128DF" w:rsidP="007128DF">
      <w:pPr>
        <w:rPr>
          <w:b/>
          <w:bCs/>
        </w:rPr>
      </w:pPr>
      <w:r>
        <w:rPr>
          <w:b/>
          <w:bCs/>
        </w:rPr>
        <w:t>Supplementary</w:t>
      </w:r>
      <w:r w:rsidRPr="00113375">
        <w:rPr>
          <w:b/>
          <w:bCs/>
        </w:rPr>
        <w:t xml:space="preserve"> Table </w:t>
      </w:r>
      <w:r>
        <w:rPr>
          <w:b/>
          <w:bCs/>
        </w:rPr>
        <w:t>1.</w:t>
      </w:r>
      <w:r w:rsidRPr="00113375">
        <w:rPr>
          <w:b/>
          <w:bCs/>
        </w:rPr>
        <w:t xml:space="preserve"> Description of samples used for genome sequencing. </w:t>
      </w:r>
    </w:p>
    <w:p w:rsidR="007128DF" w:rsidRDefault="007128DF" w:rsidP="007128DF"/>
    <w:tbl>
      <w:tblPr>
        <w:tblW w:w="9488"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073"/>
        <w:gridCol w:w="1367"/>
        <w:gridCol w:w="701"/>
        <w:gridCol w:w="1267"/>
        <w:gridCol w:w="1468"/>
        <w:gridCol w:w="1224"/>
        <w:gridCol w:w="2388"/>
      </w:tblGrid>
      <w:tr w:rsidR="007128DF" w:rsidRPr="003F1653" w:rsidTr="00A560DD">
        <w:tc>
          <w:tcPr>
            <w:tcW w:w="1073"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Sample</w:t>
            </w:r>
          </w:p>
        </w:tc>
        <w:tc>
          <w:tcPr>
            <w:tcW w:w="1367"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Target protein expressed</w:t>
            </w:r>
          </w:p>
        </w:tc>
        <w:tc>
          <w:tcPr>
            <w:tcW w:w="701"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 xml:space="preserve">SP </w:t>
            </w:r>
          </w:p>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or IMP</w:t>
            </w:r>
          </w:p>
        </w:tc>
        <w:tc>
          <w:tcPr>
            <w:tcW w:w="1267"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IPTG exposure (</w:t>
            </w:r>
            <w:proofErr w:type="spellStart"/>
            <w:r w:rsidRPr="003F012F">
              <w:rPr>
                <w:rFonts w:ascii="Calibri" w:eastAsia="Times New Roman" w:hAnsi="Calibri" w:cs="Calibri"/>
                <w:sz w:val="24"/>
                <w:szCs w:val="24"/>
                <w:lang w:eastAsia="en-GB"/>
              </w:rPr>
              <w:t>mM</w:t>
            </w:r>
            <w:proofErr w:type="spellEnd"/>
            <w:r w:rsidRPr="003F012F">
              <w:rPr>
                <w:rFonts w:ascii="Calibri" w:eastAsia="Times New Roman" w:hAnsi="Calibri" w:cs="Calibri"/>
                <w:sz w:val="24"/>
                <w:szCs w:val="24"/>
                <w:lang w:eastAsia="en-GB"/>
              </w:rPr>
              <w:t>)</w:t>
            </w:r>
          </w:p>
        </w:tc>
        <w:tc>
          <w:tcPr>
            <w:tcW w:w="1468"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Phenotype</w:t>
            </w:r>
          </w:p>
        </w:tc>
        <w:tc>
          <w:tcPr>
            <w:tcW w:w="1224"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Number of colonies in sample</w:t>
            </w:r>
          </w:p>
        </w:tc>
        <w:tc>
          <w:tcPr>
            <w:tcW w:w="2388" w:type="dxa"/>
            <w:tcBorders>
              <w:top w:val="single" w:sz="4" w:space="0" w:color="auto"/>
              <w:bottom w:val="single" w:sz="4" w:space="0" w:color="auto"/>
            </w:tcBorders>
            <w:tcMar>
              <w:top w:w="0" w:type="dxa"/>
              <w:left w:w="108" w:type="dxa"/>
              <w:bottom w:w="0" w:type="dxa"/>
              <w:right w:w="108" w:type="dxa"/>
            </w:tcMar>
            <w:hideMark/>
          </w:tcPr>
          <w:p w:rsidR="007128DF" w:rsidRPr="003F012F" w:rsidRDefault="007128DF" w:rsidP="00A560DD">
            <w:pPr>
              <w:spacing w:after="0" w:line="240" w:lineRule="auto"/>
              <w:rPr>
                <w:rFonts w:ascii="Times New Roman" w:eastAsia="Times New Roman" w:hAnsi="Times New Roman" w:cs="Times New Roman"/>
                <w:sz w:val="24"/>
                <w:szCs w:val="24"/>
                <w:lang w:eastAsia="en-GB"/>
              </w:rPr>
            </w:pPr>
            <w:r w:rsidRPr="003F012F">
              <w:rPr>
                <w:rFonts w:ascii="Calibri" w:eastAsia="Times New Roman" w:hAnsi="Calibri" w:cs="Calibri"/>
                <w:sz w:val="24"/>
                <w:szCs w:val="24"/>
                <w:lang w:eastAsia="en-GB"/>
              </w:rPr>
              <w:t>Mutations</w:t>
            </w:r>
          </w:p>
        </w:tc>
      </w:tr>
      <w:tr w:rsidR="007128DF" w:rsidRPr="003F1653" w:rsidTr="00A560DD">
        <w:tc>
          <w:tcPr>
            <w:tcW w:w="1073"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1 </w:t>
            </w:r>
          </w:p>
        </w:tc>
        <w:tc>
          <w:tcPr>
            <w:tcW w:w="1367"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sfGFP</w:t>
            </w:r>
            <w:proofErr w:type="spellEnd"/>
          </w:p>
        </w:tc>
        <w:tc>
          <w:tcPr>
            <w:tcW w:w="701"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SP</w:t>
            </w:r>
          </w:p>
        </w:tc>
        <w:tc>
          <w:tcPr>
            <w:tcW w:w="1267"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1.0</w:t>
            </w:r>
          </w:p>
        </w:tc>
        <w:tc>
          <w:tcPr>
            <w:tcW w:w="1468"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LW</w:t>
            </w:r>
          </w:p>
        </w:tc>
        <w:tc>
          <w:tcPr>
            <w:tcW w:w="1224"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Borders>
              <w:top w:val="single" w:sz="4" w:space="0" w:color="auto"/>
            </w:tcBorders>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IS10 insertion</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2</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sfGFP</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SP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1.0</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LG</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color w:val="000000"/>
                <w:lang w:eastAsia="en-GB"/>
              </w:rPr>
              <w:t xml:space="preserve">lacUV5 &gt; </w:t>
            </w:r>
            <w:proofErr w:type="spellStart"/>
            <w:r w:rsidRPr="003F1653">
              <w:rPr>
                <w:rFonts w:ascii="Calibri" w:eastAsia="Times New Roman" w:hAnsi="Calibri" w:cs="Calibri"/>
                <w:color w:val="000000"/>
                <w:lang w:eastAsia="en-GB"/>
              </w:rPr>
              <w:t>lacI</w:t>
            </w:r>
            <w:proofErr w:type="spellEnd"/>
            <w:r w:rsidRPr="003F1653">
              <w:rPr>
                <w:rFonts w:ascii="Calibri" w:eastAsia="Times New Roman" w:hAnsi="Calibri" w:cs="Calibri"/>
                <w:color w:val="000000"/>
                <w:lang w:eastAsia="en-GB"/>
              </w:rPr>
              <w:t xml:space="preserve"> promoter</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3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mdfA</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IMP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1.0</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LW</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IS10 insertion</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4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mdfA</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IMP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1.0</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LG</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color w:val="000000"/>
                <w:lang w:eastAsia="en-GB"/>
              </w:rPr>
              <w:t xml:space="preserve">lacUV5 &gt; </w:t>
            </w:r>
            <w:proofErr w:type="spellStart"/>
            <w:r w:rsidRPr="003F1653">
              <w:rPr>
                <w:rFonts w:ascii="Calibri" w:eastAsia="Times New Roman" w:hAnsi="Calibri" w:cs="Calibri"/>
                <w:color w:val="000000"/>
                <w:lang w:eastAsia="en-GB"/>
              </w:rPr>
              <w:t>lacI</w:t>
            </w:r>
            <w:proofErr w:type="spellEnd"/>
            <w:r w:rsidRPr="003F1653">
              <w:rPr>
                <w:rFonts w:ascii="Calibri" w:eastAsia="Times New Roman" w:hAnsi="Calibri" w:cs="Calibri"/>
                <w:color w:val="000000"/>
                <w:lang w:eastAsia="en-GB"/>
              </w:rPr>
              <w:t xml:space="preserve"> promoter</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5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sfGFP</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SP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0.01</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Bright green lawn</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Many</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2x IS10 insertions in proportion of cells, and </w:t>
            </w:r>
            <w:r w:rsidRPr="003F1653">
              <w:rPr>
                <w:rFonts w:ascii="Calibri" w:eastAsia="Times New Roman" w:hAnsi="Calibri" w:cs="Calibri"/>
                <w:color w:val="000000"/>
                <w:lang w:eastAsia="en-GB"/>
              </w:rPr>
              <w:t xml:space="preserve">lacUV5 &gt; </w:t>
            </w:r>
            <w:proofErr w:type="spellStart"/>
            <w:r w:rsidRPr="003F1653">
              <w:rPr>
                <w:rFonts w:ascii="Calibri" w:eastAsia="Times New Roman" w:hAnsi="Calibri" w:cs="Calibri"/>
                <w:color w:val="000000"/>
                <w:lang w:eastAsia="en-GB"/>
              </w:rPr>
              <w:t>lacI</w:t>
            </w:r>
            <w:proofErr w:type="spellEnd"/>
            <w:r w:rsidRPr="003F1653">
              <w:rPr>
                <w:rFonts w:ascii="Calibri" w:eastAsia="Times New Roman" w:hAnsi="Calibri" w:cs="Calibri"/>
                <w:color w:val="000000"/>
                <w:lang w:eastAsia="en-GB"/>
              </w:rPr>
              <w:t xml:space="preserve"> promoter in proportion of cells</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6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mdfA</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IMP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0.01</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Pale green lawn</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Many</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None identified</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7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sfGFP</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SP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Never</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n/a</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color w:val="000000"/>
                <w:lang w:eastAsia="en-GB"/>
              </w:rPr>
              <w:t>WT BL21(DE3)</w:t>
            </w:r>
          </w:p>
        </w:tc>
      </w:tr>
      <w:tr w:rsidR="007128DF" w:rsidRPr="003F1653" w:rsidTr="00A560DD">
        <w:tc>
          <w:tcPr>
            <w:tcW w:w="1073"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 xml:space="preserve">8 </w:t>
            </w:r>
          </w:p>
        </w:tc>
        <w:tc>
          <w:tcPr>
            <w:tcW w:w="13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proofErr w:type="spellStart"/>
            <w:r w:rsidRPr="003F1653">
              <w:rPr>
                <w:rFonts w:ascii="Calibri" w:eastAsia="Times New Roman" w:hAnsi="Calibri" w:cs="Calibri"/>
                <w:lang w:eastAsia="en-GB"/>
              </w:rPr>
              <w:t>mdfA</w:t>
            </w:r>
            <w:proofErr w:type="spellEnd"/>
          </w:p>
        </w:tc>
        <w:tc>
          <w:tcPr>
            <w:tcW w:w="701"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IMP</w:t>
            </w:r>
          </w:p>
        </w:tc>
        <w:tc>
          <w:tcPr>
            <w:tcW w:w="1267"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Never</w:t>
            </w:r>
          </w:p>
        </w:tc>
        <w:tc>
          <w:tcPr>
            <w:tcW w:w="146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n/a</w:t>
            </w:r>
          </w:p>
        </w:tc>
        <w:tc>
          <w:tcPr>
            <w:tcW w:w="1224"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lang w:eastAsia="en-GB"/>
              </w:rPr>
              <w:t>1</w:t>
            </w:r>
          </w:p>
        </w:tc>
        <w:tc>
          <w:tcPr>
            <w:tcW w:w="2388" w:type="dxa"/>
            <w:tcMar>
              <w:top w:w="0" w:type="dxa"/>
              <w:left w:w="108" w:type="dxa"/>
              <w:bottom w:w="0" w:type="dxa"/>
              <w:right w:w="108" w:type="dxa"/>
            </w:tcMar>
            <w:hideMark/>
          </w:tcPr>
          <w:p w:rsidR="007128DF" w:rsidRPr="003F1653" w:rsidRDefault="007128DF" w:rsidP="00A560DD">
            <w:pPr>
              <w:spacing w:after="0" w:line="240" w:lineRule="auto"/>
              <w:rPr>
                <w:rFonts w:ascii="Times New Roman" w:eastAsia="Times New Roman" w:hAnsi="Times New Roman" w:cs="Times New Roman"/>
                <w:sz w:val="24"/>
                <w:szCs w:val="24"/>
                <w:lang w:eastAsia="en-GB"/>
              </w:rPr>
            </w:pPr>
            <w:r w:rsidRPr="003F1653">
              <w:rPr>
                <w:rFonts w:ascii="Calibri" w:eastAsia="Times New Roman" w:hAnsi="Calibri" w:cs="Calibri"/>
                <w:color w:val="000000"/>
                <w:lang w:eastAsia="en-GB"/>
              </w:rPr>
              <w:t>WT BL21(DE3)</w:t>
            </w:r>
          </w:p>
        </w:tc>
      </w:tr>
    </w:tbl>
    <w:p w:rsidR="007128DF" w:rsidRDefault="007128DF" w:rsidP="007128DF"/>
    <w:p w:rsidR="007128DF" w:rsidRDefault="007128DF" w:rsidP="007128DF">
      <w:r>
        <w:t>BL21-</w:t>
      </w:r>
      <w:proofErr w:type="gramStart"/>
      <w:r>
        <w:t>Gold(</w:t>
      </w:r>
      <w:proofErr w:type="gramEnd"/>
      <w:r>
        <w:t>DE3)</w:t>
      </w:r>
      <w:proofErr w:type="spellStart"/>
      <w:r>
        <w:t>pLysS</w:t>
      </w:r>
      <w:proofErr w:type="spellEnd"/>
      <w:r>
        <w:t xml:space="preserve"> strain (Samples 1 – 6) was transformed with the appropriate target protein as indicated. Exogenous target expression levels are predicted based on the visibly observed intensity of green. Samples 7 and 8 are </w:t>
      </w:r>
      <w:proofErr w:type="gramStart"/>
      <w:r>
        <w:t>BL21(</w:t>
      </w:r>
      <w:proofErr w:type="gramEnd"/>
      <w:r>
        <w:t xml:space="preserve">DE3) transformed with </w:t>
      </w:r>
      <w:proofErr w:type="spellStart"/>
      <w:r>
        <w:t>sfGFP</w:t>
      </w:r>
      <w:proofErr w:type="spellEnd"/>
      <w:r>
        <w:t xml:space="preserve"> and </w:t>
      </w:r>
      <w:proofErr w:type="spellStart"/>
      <w:r>
        <w:t>mdfA</w:t>
      </w:r>
      <w:proofErr w:type="spellEnd"/>
      <w:r>
        <w:t>, respectively. Exogenous protein induction was never induced for samples 7 and 8. Samples 5 – 8 are controls. SP – soluble protein; IMP – integral membrane protein; LW – large white; LG – large green.</w:t>
      </w:r>
    </w:p>
    <w:p w:rsidR="007128DF" w:rsidRDefault="007128DF" w:rsidP="007128DF"/>
    <w:p w:rsidR="007128DF" w:rsidRDefault="007128DF" w:rsidP="007128DF">
      <w:r>
        <w:br w:type="page"/>
      </w:r>
    </w:p>
    <w:p w:rsidR="007128DF" w:rsidRDefault="007128DF" w:rsidP="007128DF">
      <w:pPr>
        <w:rPr>
          <w:rFonts w:ascii="Calibri" w:eastAsia="Times New Roman" w:hAnsi="Calibri" w:cs="Times New Roman"/>
          <w:color w:val="000000"/>
          <w:lang w:eastAsia="en-GB"/>
        </w:rPr>
        <w:sectPr w:rsidR="007128DF" w:rsidSect="007128DF">
          <w:type w:val="continuous"/>
          <w:pgSz w:w="11906" w:h="16838"/>
          <w:pgMar w:top="1440" w:right="1440" w:bottom="1440" w:left="1440" w:header="708" w:footer="708" w:gutter="0"/>
          <w:cols w:space="708"/>
          <w:docGrid w:linePitch="360"/>
        </w:sectPr>
      </w:pPr>
    </w:p>
    <w:p w:rsidR="007128DF" w:rsidRDefault="007128DF" w:rsidP="007128DF">
      <w:pPr>
        <w:rPr>
          <w:rFonts w:ascii="Calibri" w:eastAsia="Times New Roman" w:hAnsi="Calibri" w:cs="Times New Roman"/>
          <w:color w:val="000000"/>
          <w:lang w:eastAsia="en-GB"/>
        </w:rPr>
      </w:pPr>
    </w:p>
    <w:p w:rsidR="007128DF" w:rsidRPr="00E768D7" w:rsidRDefault="007128DF" w:rsidP="007128DF">
      <w:pPr>
        <w:rPr>
          <w:rFonts w:ascii="Calibri" w:eastAsia="Times New Roman" w:hAnsi="Calibri" w:cs="Times New Roman"/>
          <w:b/>
          <w:bCs/>
          <w:color w:val="000000"/>
          <w:lang w:eastAsia="en-GB"/>
        </w:rPr>
      </w:pPr>
      <w:r>
        <w:rPr>
          <w:b/>
          <w:bCs/>
        </w:rPr>
        <w:t>Supplementary</w:t>
      </w:r>
      <w:r w:rsidRPr="00113375">
        <w:rPr>
          <w:b/>
          <w:bCs/>
        </w:rPr>
        <w:t xml:space="preserve"> </w:t>
      </w:r>
      <w:r w:rsidRPr="00E768D7">
        <w:rPr>
          <w:rFonts w:ascii="Calibri" w:eastAsia="Times New Roman" w:hAnsi="Calibri" w:cs="Times New Roman"/>
          <w:b/>
          <w:bCs/>
          <w:color w:val="000000"/>
          <w:lang w:eastAsia="en-GB"/>
        </w:rPr>
        <w:t xml:space="preserve">Table </w:t>
      </w:r>
      <w:r>
        <w:rPr>
          <w:rFonts w:ascii="Calibri" w:eastAsia="Times New Roman" w:hAnsi="Calibri" w:cs="Times New Roman"/>
          <w:b/>
          <w:bCs/>
          <w:color w:val="000000"/>
          <w:lang w:eastAsia="en-GB"/>
        </w:rPr>
        <w:t>2.</w:t>
      </w:r>
      <w:r w:rsidRPr="00E768D7">
        <w:rPr>
          <w:rFonts w:ascii="Calibri" w:eastAsia="Times New Roman" w:hAnsi="Calibri" w:cs="Times New Roman"/>
          <w:b/>
          <w:bCs/>
          <w:color w:val="000000"/>
          <w:lang w:eastAsia="en-GB"/>
        </w:rPr>
        <w:t xml:space="preserve"> Observed genetic changes in comparison with published data</w:t>
      </w:r>
    </w:p>
    <w:p w:rsidR="007128DF" w:rsidRDefault="007128DF" w:rsidP="007128DF">
      <w:pPr>
        <w:rPr>
          <w:rFonts w:ascii="Calibri" w:eastAsia="Times New Roman" w:hAnsi="Calibri" w:cs="Times New Roman"/>
          <w:color w:val="000000"/>
          <w:lang w:eastAsia="en-GB"/>
        </w:rPr>
      </w:pPr>
    </w:p>
    <w:tbl>
      <w:tblPr>
        <w:tblW w:w="15045" w:type="dxa"/>
        <w:tblBorders>
          <w:top w:val="single" w:sz="4" w:space="0" w:color="auto"/>
          <w:bottom w:val="single" w:sz="4" w:space="0" w:color="auto"/>
        </w:tblBorders>
        <w:tblLayout w:type="fixed"/>
        <w:tblLook w:val="04A0" w:firstRow="1" w:lastRow="0" w:firstColumn="1" w:lastColumn="0" w:noHBand="0" w:noVBand="1"/>
      </w:tblPr>
      <w:tblGrid>
        <w:gridCol w:w="1412"/>
        <w:gridCol w:w="1134"/>
        <w:gridCol w:w="1276"/>
        <w:gridCol w:w="1275"/>
        <w:gridCol w:w="294"/>
        <w:gridCol w:w="294"/>
        <w:gridCol w:w="294"/>
        <w:gridCol w:w="294"/>
        <w:gridCol w:w="294"/>
        <w:gridCol w:w="294"/>
        <w:gridCol w:w="294"/>
        <w:gridCol w:w="294"/>
        <w:gridCol w:w="7596"/>
      </w:tblGrid>
      <w:tr w:rsidR="007128DF" w:rsidTr="00A560DD">
        <w:trPr>
          <w:trHeight w:val="240"/>
        </w:trPr>
        <w:tc>
          <w:tcPr>
            <w:tcW w:w="1413" w:type="dxa"/>
            <w:vMerge w:val="restart"/>
            <w:tcBorders>
              <w:top w:val="single" w:sz="4" w:space="0" w:color="auto"/>
              <w:bottom w:val="single" w:sz="4" w:space="0" w:color="auto"/>
            </w:tcBorders>
            <w:vAlign w:val="bottom"/>
            <w:hideMark/>
          </w:tcPr>
          <w:p w:rsidR="007128DF" w:rsidRDefault="007128DF" w:rsidP="00A560DD">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Reference</w:t>
            </w:r>
          </w:p>
        </w:tc>
        <w:tc>
          <w:tcPr>
            <w:tcW w:w="1134" w:type="dxa"/>
            <w:vMerge w:val="restart"/>
            <w:tcBorders>
              <w:top w:val="single" w:sz="4" w:space="0" w:color="auto"/>
              <w:bottom w:val="single" w:sz="4" w:space="0" w:color="auto"/>
            </w:tcBorders>
            <w:vAlign w:val="bottom"/>
            <w:hideMark/>
          </w:tcPr>
          <w:p w:rsidR="007128DF" w:rsidRDefault="007128DF" w:rsidP="00A560DD">
            <w:pPr>
              <w:spacing w:after="0" w:line="240" w:lineRule="auto"/>
              <w:jc w:val="center"/>
              <w:rPr>
                <w:rFonts w:ascii="Calibri" w:eastAsia="Times New Roman" w:hAnsi="Calibri" w:cs="Calibri"/>
                <w:b/>
                <w:color w:val="000000"/>
                <w:lang w:eastAsia="en-GB"/>
              </w:rPr>
            </w:pPr>
            <w:proofErr w:type="spellStart"/>
            <w:r>
              <w:rPr>
                <w:rFonts w:ascii="Calibri" w:eastAsia="Times New Roman" w:hAnsi="Calibri" w:cs="Calibri"/>
                <w:b/>
                <w:color w:val="000000"/>
                <w:lang w:eastAsia="en-GB"/>
              </w:rPr>
              <w:t>Basepair</w:t>
            </w:r>
            <w:proofErr w:type="spellEnd"/>
          </w:p>
        </w:tc>
        <w:tc>
          <w:tcPr>
            <w:tcW w:w="1276" w:type="dxa"/>
            <w:vMerge w:val="restart"/>
            <w:tcBorders>
              <w:top w:val="single" w:sz="4" w:space="0" w:color="auto"/>
              <w:bottom w:val="single" w:sz="4" w:space="0" w:color="auto"/>
            </w:tcBorders>
            <w:vAlign w:val="bottom"/>
            <w:hideMark/>
          </w:tcPr>
          <w:p w:rsidR="007128DF" w:rsidRDefault="007128DF" w:rsidP="00A560DD">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Reference allele</w:t>
            </w:r>
          </w:p>
        </w:tc>
        <w:tc>
          <w:tcPr>
            <w:tcW w:w="1275" w:type="dxa"/>
            <w:vMerge w:val="restart"/>
            <w:tcBorders>
              <w:top w:val="single" w:sz="4" w:space="0" w:color="auto"/>
              <w:bottom w:val="single" w:sz="4" w:space="0" w:color="auto"/>
            </w:tcBorders>
            <w:vAlign w:val="bottom"/>
            <w:hideMark/>
          </w:tcPr>
          <w:p w:rsidR="007128DF" w:rsidRDefault="007128DF" w:rsidP="00A560DD">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Alternative allele</w:t>
            </w:r>
          </w:p>
        </w:tc>
        <w:tc>
          <w:tcPr>
            <w:tcW w:w="2352" w:type="dxa"/>
            <w:gridSpan w:val="8"/>
            <w:tcBorders>
              <w:top w:val="single" w:sz="4" w:space="0" w:color="auto"/>
              <w:bottom w:val="nil"/>
            </w:tcBorders>
            <w:vAlign w:val="center"/>
            <w:hideMark/>
          </w:tcPr>
          <w:p w:rsidR="007128DF" w:rsidRDefault="007128DF" w:rsidP="00A560DD">
            <w:pPr>
              <w:spacing w:after="0" w:line="240" w:lineRule="auto"/>
              <w:jc w:val="center"/>
              <w:rPr>
                <w:rFonts w:ascii="Calibri" w:eastAsia="Times New Roman" w:hAnsi="Calibri" w:cs="Calibri"/>
                <w:b/>
                <w:color w:val="000000"/>
                <w:lang w:eastAsia="en-GB"/>
              </w:rPr>
            </w:pPr>
            <w:r>
              <w:rPr>
                <w:rFonts w:ascii="Calibri" w:eastAsia="Times New Roman" w:hAnsi="Calibri" w:cs="Calibri"/>
                <w:b/>
                <w:color w:val="000000"/>
                <w:lang w:eastAsia="en-GB"/>
              </w:rPr>
              <w:t>Sample</w:t>
            </w:r>
          </w:p>
        </w:tc>
        <w:tc>
          <w:tcPr>
            <w:tcW w:w="7597" w:type="dxa"/>
            <w:vMerge w:val="restart"/>
            <w:tcBorders>
              <w:top w:val="single" w:sz="4" w:space="0" w:color="auto"/>
              <w:bottom w:val="single" w:sz="4" w:space="0" w:color="auto"/>
            </w:tcBorders>
            <w:vAlign w:val="center"/>
            <w:hideMark/>
          </w:tcPr>
          <w:p w:rsidR="007128DF" w:rsidRDefault="007128DF" w:rsidP="00A560DD">
            <w:pPr>
              <w:spacing w:after="0" w:line="240" w:lineRule="auto"/>
              <w:rPr>
                <w:rFonts w:ascii="Calibri" w:eastAsia="Times New Roman" w:hAnsi="Calibri" w:cs="Calibri"/>
                <w:b/>
                <w:color w:val="000000"/>
                <w:lang w:eastAsia="en-GB"/>
              </w:rPr>
            </w:pPr>
            <w:r>
              <w:rPr>
                <w:rFonts w:ascii="Calibri" w:eastAsia="Times New Roman" w:hAnsi="Calibri" w:cs="Calibri"/>
                <w:b/>
                <w:color w:val="000000"/>
                <w:lang w:eastAsia="en-GB"/>
              </w:rPr>
              <w:t>Annotation</w:t>
            </w:r>
          </w:p>
        </w:tc>
      </w:tr>
      <w:tr w:rsidR="007128DF" w:rsidTr="00A560DD">
        <w:trPr>
          <w:trHeight w:val="240"/>
        </w:trPr>
        <w:tc>
          <w:tcPr>
            <w:tcW w:w="1413" w:type="dxa"/>
            <w:vMerge/>
            <w:tcBorders>
              <w:top w:val="nil"/>
              <w:bottom w:val="single" w:sz="4" w:space="0" w:color="auto"/>
            </w:tcBorders>
            <w:vAlign w:val="center"/>
            <w:hideMark/>
          </w:tcPr>
          <w:p w:rsidR="007128DF" w:rsidRDefault="007128DF" w:rsidP="00A560DD">
            <w:pPr>
              <w:spacing w:after="0"/>
              <w:rPr>
                <w:rFonts w:ascii="Calibri" w:eastAsia="Times New Roman" w:hAnsi="Calibri" w:cs="Calibri"/>
                <w:b/>
                <w:color w:val="000000"/>
                <w:lang w:eastAsia="en-GB"/>
              </w:rPr>
            </w:pPr>
          </w:p>
        </w:tc>
        <w:tc>
          <w:tcPr>
            <w:tcW w:w="1134" w:type="dxa"/>
            <w:vMerge/>
            <w:tcBorders>
              <w:top w:val="nil"/>
              <w:bottom w:val="single" w:sz="4" w:space="0" w:color="auto"/>
            </w:tcBorders>
            <w:vAlign w:val="center"/>
            <w:hideMark/>
          </w:tcPr>
          <w:p w:rsidR="007128DF" w:rsidRDefault="007128DF" w:rsidP="00A560DD">
            <w:pPr>
              <w:spacing w:after="0"/>
              <w:rPr>
                <w:rFonts w:ascii="Calibri" w:eastAsia="Times New Roman" w:hAnsi="Calibri" w:cs="Calibri"/>
                <w:b/>
                <w:color w:val="000000"/>
                <w:lang w:eastAsia="en-GB"/>
              </w:rPr>
            </w:pPr>
          </w:p>
        </w:tc>
        <w:tc>
          <w:tcPr>
            <w:tcW w:w="1276" w:type="dxa"/>
            <w:vMerge/>
            <w:tcBorders>
              <w:top w:val="nil"/>
              <w:bottom w:val="single" w:sz="4" w:space="0" w:color="auto"/>
            </w:tcBorders>
            <w:vAlign w:val="center"/>
            <w:hideMark/>
          </w:tcPr>
          <w:p w:rsidR="007128DF" w:rsidRDefault="007128DF" w:rsidP="00A560DD">
            <w:pPr>
              <w:spacing w:after="0"/>
              <w:rPr>
                <w:rFonts w:ascii="Calibri" w:eastAsia="Times New Roman" w:hAnsi="Calibri" w:cs="Calibri"/>
                <w:b/>
                <w:color w:val="000000"/>
                <w:lang w:eastAsia="en-GB"/>
              </w:rPr>
            </w:pPr>
          </w:p>
        </w:tc>
        <w:tc>
          <w:tcPr>
            <w:tcW w:w="1275" w:type="dxa"/>
            <w:vMerge/>
            <w:tcBorders>
              <w:top w:val="nil"/>
              <w:bottom w:val="single" w:sz="4" w:space="0" w:color="auto"/>
            </w:tcBorders>
            <w:vAlign w:val="center"/>
            <w:hideMark/>
          </w:tcPr>
          <w:p w:rsidR="007128DF" w:rsidRDefault="007128DF" w:rsidP="00A560DD">
            <w:pPr>
              <w:spacing w:after="0"/>
              <w:rPr>
                <w:rFonts w:ascii="Calibri" w:eastAsia="Times New Roman" w:hAnsi="Calibri" w:cs="Calibri"/>
                <w:b/>
                <w:color w:val="000000"/>
                <w:lang w:eastAsia="en-GB"/>
              </w:rPr>
            </w:pP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1</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2</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3</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4</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5</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6</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7</w:t>
            </w:r>
          </w:p>
        </w:tc>
        <w:tc>
          <w:tcPr>
            <w:tcW w:w="294" w:type="dxa"/>
            <w:tcBorders>
              <w:top w:val="nil"/>
              <w:bottom w:val="single" w:sz="4" w:space="0" w:color="auto"/>
            </w:tcBorders>
            <w:vAlign w:val="bottom"/>
            <w:hideMark/>
          </w:tcPr>
          <w:p w:rsidR="007128DF" w:rsidRDefault="007128DF" w:rsidP="00A560DD">
            <w:pPr>
              <w:spacing w:after="0" w:line="240" w:lineRule="auto"/>
              <w:jc w:val="right"/>
              <w:rPr>
                <w:rFonts w:ascii="Calibri" w:eastAsia="Times New Roman" w:hAnsi="Calibri" w:cs="Calibri"/>
                <w:b/>
                <w:color w:val="000000"/>
                <w:lang w:eastAsia="en-GB"/>
              </w:rPr>
            </w:pPr>
            <w:r>
              <w:rPr>
                <w:rFonts w:ascii="Calibri" w:eastAsia="Times New Roman" w:hAnsi="Calibri" w:cs="Calibri"/>
                <w:b/>
                <w:color w:val="000000"/>
                <w:lang w:eastAsia="en-GB"/>
              </w:rPr>
              <w:t>8</w:t>
            </w:r>
          </w:p>
        </w:tc>
        <w:tc>
          <w:tcPr>
            <w:tcW w:w="7597" w:type="dxa"/>
            <w:vMerge/>
            <w:tcBorders>
              <w:top w:val="nil"/>
              <w:bottom w:val="single" w:sz="4" w:space="0" w:color="auto"/>
            </w:tcBorders>
            <w:vAlign w:val="center"/>
            <w:hideMark/>
          </w:tcPr>
          <w:p w:rsidR="007128DF" w:rsidRDefault="007128DF" w:rsidP="00A560DD">
            <w:pPr>
              <w:spacing w:after="0"/>
              <w:rPr>
                <w:rFonts w:ascii="Calibri" w:eastAsia="Times New Roman" w:hAnsi="Calibri" w:cs="Calibri"/>
                <w:b/>
                <w:color w:val="000000"/>
                <w:lang w:eastAsia="en-GB"/>
              </w:rPr>
            </w:pPr>
          </w:p>
        </w:tc>
      </w:tr>
      <w:tr w:rsidR="007128DF" w:rsidTr="00A560DD">
        <w:trPr>
          <w:trHeight w:val="240"/>
        </w:trPr>
        <w:tc>
          <w:tcPr>
            <w:tcW w:w="1413"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CP001509.3</w:t>
            </w:r>
          </w:p>
        </w:tc>
        <w:tc>
          <w:tcPr>
            <w:tcW w:w="1134" w:type="dxa"/>
            <w:tcBorders>
              <w:top w:val="single" w:sz="4" w:space="0" w:color="auto"/>
            </w:tcBorders>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453255</w:t>
            </w:r>
          </w:p>
        </w:tc>
        <w:tc>
          <w:tcPr>
            <w:tcW w:w="1276"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tcBorders>
              <w:top w:val="single" w:sz="4" w:space="0" w:color="auto"/>
            </w:tcBorders>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tcBorders>
              <w:top w:val="single" w:sz="4" w:space="0" w:color="auto"/>
            </w:tcBorders>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597" w:type="dxa"/>
            <w:tcBorders>
              <w:top w:val="single" w:sz="4" w:space="0" w:color="auto"/>
            </w:tcBorders>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missense_variant|MODERATE|acrB|B21_00418|transcript|CAQ30935.1|protein_coding|1/1|c.189C&gt;T|p.Gln63His</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CP001509.3</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1136454</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missense_variant|MODERATE|flgF|B21_01081|transcript|CAQ31598.1|protein_coding|1/1|c.92C&gt;T|p.Thr31Met</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CP001509.3</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2006172</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missense_variant|MODERATE|ybl97|B21_01931|transcript|CAQ32448.1|protein_coding|1/1|c.1007C&gt;T|p.Pro336Leu</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407916</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upstream_gene_variant|MODIFIER|ECBD_0372|ECBD_0372|transcript|ACT27443.1|protein_coding||c.-17delT</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692058</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*missense_variant|MODERATE|ECBD_R0013|ECBD_R0013|transcript|ECBD_R0013-1.1|protein_coding|1/1|c.67G&gt;A|p.Gly23Arg</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1502207</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TGCCTGATGCGACGCTGGCGCGTCTTATCAGGCCTACAAATCCGAGCCGTAGAGCCGTAGGCCGGATAAGGCGTTCACGCTGCATCCGGCACCCGGA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upstream_gene_variant|MODIFIER|ECBD_1422|ECBD_1422|transcript|ACT28485.1|protein_coding||c.-2360_-2359insTCCGGGTGCCGGATGCAGCGTGAACGCCTTATCCGGCCTACGGCTCTACGGCTCGGATTTGTAGGCCTGATAAGACGCGCCAGCGTCGCATCAGGC</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2338226</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upstream_gene_variant|MODIFIER|ECBD_2218|ECBD_2218|transcript|ACT29249.1|protein_coding||c.-2376_-2375insT</w:t>
            </w:r>
            <w:proofErr w:type="gramEnd"/>
            <w:r>
              <w:rPr>
                <w:rFonts w:ascii="Calibri" w:eastAsia="Times New Roman" w:hAnsi="Calibri" w:cs="Calibri"/>
                <w:color w:val="000000"/>
                <w:lang w:eastAsia="en-GB"/>
              </w:rPr>
              <w:t>. Methyl-accepting chemotaxis sensory transducer</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2471531</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upstream_gene_variant|MODIFIER|ECBD_2350|ECBD_2350|transcript|ACT29377.1|protein_coding||c.-4852delG</w:t>
            </w:r>
            <w:proofErr w:type="gramEnd"/>
            <w:r>
              <w:rPr>
                <w:rFonts w:ascii="Calibri" w:eastAsia="Times New Roman" w:hAnsi="Calibri" w:cs="Calibri"/>
                <w:color w:val="000000"/>
                <w:lang w:eastAsia="en-GB"/>
              </w:rPr>
              <w:t>. Peptidase S49 domain protein</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2471557</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upstream_gene_variant|MODIFIER|ECBD_2350|ECBD_2350|transcript|ACT29377.1|protein_coding||c.-4878delG</w:t>
            </w:r>
            <w:proofErr w:type="gramEnd"/>
            <w:r>
              <w:rPr>
                <w:rFonts w:ascii="Calibri" w:eastAsia="Times New Roman" w:hAnsi="Calibri" w:cs="Calibri"/>
                <w:color w:val="000000"/>
                <w:lang w:eastAsia="en-GB"/>
              </w:rPr>
              <w:t>. Peptidase S49 domain protein</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2471565</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upstream_gene_variant|MODIFIER|ECBD_2350|ECBD_2350|transcript|ACT29377.1|protein_coding||c.-4886delC</w:t>
            </w:r>
            <w:proofErr w:type="gramEnd"/>
            <w:r>
              <w:rPr>
                <w:rFonts w:ascii="Calibri" w:eastAsia="Times New Roman" w:hAnsi="Calibri" w:cs="Calibri"/>
                <w:color w:val="000000"/>
                <w:lang w:eastAsia="en-GB"/>
              </w:rPr>
              <w:t>. Peptidase S49 domain protein</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3125367</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upstream_gene_variant|MODIFIER|ECBD_R0060|ECBD_R0060|transcript|ECBD_R0060-1.1|protein_coding||c.-11_-10insA</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3125513</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*Stop_gained|HIGH|tRNA|EBG00001118646|transcript|EBT00001708496.1|protein_coding|1/1|c.32T&gt;A|p.Leu11*</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3809720</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CGAACGCCTTATCCGGCCTACGGTTCGGCACAAACCTGTAGGCATGATAAGACGCGACAAGCGTCGCATCAGGCATTATGCGCCGACTGCCGGATGCGGCGTGAACGCCTTATCCGGCCTACGGTTCGGCACAGACTTGTAGGCATGATAAGACGCGACAAGCGTCGCATCAGGCATTGTGCGC</w:t>
            </w:r>
            <w:r>
              <w:rPr>
                <w:rFonts w:ascii="Calibri" w:eastAsia="Times New Roman" w:hAnsi="Calibri" w:cs="Calibri"/>
                <w:color w:val="000000"/>
                <w:lang w:eastAsia="en-GB"/>
              </w:rPr>
              <w:lastRenderedPageBreak/>
              <w:t>CAACTGCCGGATGCGGCGT,T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lastRenderedPageBreak/>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upstream_gene_variant|MODIFIER|ECBD_3638|ECBD_3638|transcript|ACT30634.1|protein_coding||c.-3649G</w:t>
            </w:r>
            <w:proofErr w:type="gramEnd"/>
            <w:r>
              <w:rPr>
                <w:rFonts w:ascii="Calibri" w:eastAsia="Times New Roman" w:hAnsi="Calibri" w:cs="Calibri"/>
                <w:color w:val="000000"/>
                <w:lang w:eastAsia="en-GB"/>
              </w:rPr>
              <w:t xml:space="preserve">&gt;A. Thymidine phosphorylase </w:t>
            </w:r>
            <w:proofErr w:type="spellStart"/>
            <w:r>
              <w:rPr>
                <w:rFonts w:ascii="Calibri" w:eastAsia="Times New Roman" w:hAnsi="Calibri" w:cs="Calibri"/>
                <w:color w:val="000000"/>
                <w:lang w:eastAsia="en-GB"/>
              </w:rPr>
              <w:t>deoA</w:t>
            </w:r>
            <w:proofErr w:type="spellEnd"/>
            <w:r>
              <w:rPr>
                <w:rFonts w:ascii="Calibri" w:eastAsia="Times New Roman" w:hAnsi="Calibri" w:cs="Calibri"/>
                <w:color w:val="000000"/>
                <w:lang w:eastAsia="en-GB"/>
              </w:rPr>
              <w:t>.</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CP001665.1</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4373557</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gramStart"/>
            <w:r>
              <w:rPr>
                <w:rFonts w:ascii="Calibri" w:eastAsia="Times New Roman" w:hAnsi="Calibri" w:cs="Calibri"/>
                <w:color w:val="000000"/>
                <w:lang w:eastAsia="en-GB"/>
              </w:rPr>
              <w:t>upstream_gene_variant|MODIFIER|ECBD_4153|ECBD_4153|transcript|ACT31136.1|protein_coding||c.-30A&gt;</w:t>
            </w:r>
            <w:proofErr w:type="gramEnd"/>
            <w:r>
              <w:rPr>
                <w:rFonts w:ascii="Calibri" w:eastAsia="Times New Roman" w:hAnsi="Calibri" w:cs="Calibri"/>
                <w:color w:val="000000"/>
                <w:lang w:eastAsia="en-GB"/>
              </w:rPr>
              <w:t xml:space="preserve">C. Sugar phosphate permease-like protein </w:t>
            </w:r>
            <w:proofErr w:type="spellStart"/>
            <w:r>
              <w:rPr>
                <w:rFonts w:ascii="Calibri" w:eastAsia="Times New Roman" w:hAnsi="Calibri" w:cs="Calibri"/>
                <w:color w:val="000000"/>
                <w:lang w:eastAsia="en-GB"/>
              </w:rPr>
              <w:t>araJ</w:t>
            </w:r>
            <w:proofErr w:type="spellEnd"/>
            <w:r>
              <w:rPr>
                <w:rFonts w:ascii="Calibri" w:eastAsia="Times New Roman" w:hAnsi="Calibri" w:cs="Calibri"/>
                <w:color w:val="000000"/>
                <w:lang w:eastAsia="en-GB"/>
              </w:rPr>
              <w:t xml:space="preserve"> – called </w:t>
            </w:r>
            <w:proofErr w:type="spellStart"/>
            <w:r>
              <w:rPr>
                <w:rFonts w:ascii="Calibri" w:eastAsia="Times New Roman" w:hAnsi="Calibri" w:cs="Calibri"/>
                <w:color w:val="000000"/>
                <w:lang w:eastAsia="en-GB"/>
              </w:rPr>
              <w:t>yihN</w:t>
            </w:r>
            <w:proofErr w:type="spellEnd"/>
            <w:r>
              <w:rPr>
                <w:rFonts w:ascii="Calibri" w:eastAsia="Times New Roman" w:hAnsi="Calibri" w:cs="Calibri"/>
                <w:color w:val="000000"/>
                <w:lang w:eastAsia="en-GB"/>
              </w:rPr>
              <w:t>.</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H6-msfGFP</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2320</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ATAT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bom</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H6-msfGFP</w:t>
            </w:r>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3890</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lacI</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944</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TC</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p15A </w:t>
            </w:r>
            <w:proofErr w:type="spellStart"/>
            <w:r>
              <w:rPr>
                <w:rFonts w:ascii="Calibri" w:eastAsia="Times New Roman" w:hAnsi="Calibri" w:cs="Calibri"/>
                <w:color w:val="000000"/>
                <w:lang w:eastAsia="en-GB"/>
              </w:rPr>
              <w:t>ori</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1631</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tet</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1636</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ACAATTGAC,AAAATTGAC</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tet</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1638</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tet</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3909</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GT</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N/A</w:t>
            </w:r>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4406</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downstream of </w:t>
            </w:r>
            <w:proofErr w:type="spellStart"/>
            <w:r>
              <w:rPr>
                <w:rFonts w:ascii="Calibri" w:eastAsia="Times New Roman" w:hAnsi="Calibri" w:cs="Calibri"/>
                <w:color w:val="000000"/>
                <w:lang w:eastAsia="en-GB"/>
              </w:rPr>
              <w:t>camR</w:t>
            </w:r>
            <w:proofErr w:type="spellEnd"/>
          </w:p>
        </w:tc>
      </w:tr>
      <w:tr w:rsidR="007128DF" w:rsidTr="00A560DD">
        <w:trPr>
          <w:trHeight w:val="240"/>
        </w:trPr>
        <w:tc>
          <w:tcPr>
            <w:tcW w:w="1413" w:type="dxa"/>
            <w:vAlign w:val="bottom"/>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pLysS</w:t>
            </w:r>
            <w:proofErr w:type="spellEnd"/>
          </w:p>
        </w:tc>
        <w:tc>
          <w:tcPr>
            <w:tcW w:w="113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4521</w:t>
            </w:r>
          </w:p>
        </w:tc>
        <w:tc>
          <w:tcPr>
            <w:tcW w:w="1276"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w:t>
            </w:r>
          </w:p>
        </w:tc>
        <w:tc>
          <w:tcPr>
            <w:tcW w:w="1275"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294" w:type="dxa"/>
            <w:vAlign w:val="bottom"/>
            <w:hideMark/>
          </w:tcPr>
          <w:p w:rsidR="007128DF" w:rsidRDefault="007128DF" w:rsidP="00A560D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7597" w:type="dxa"/>
            <w:vAlign w:val="center"/>
            <w:hideMark/>
          </w:tcPr>
          <w:p w:rsidR="007128DF" w:rsidRDefault="007128DF" w:rsidP="00A560D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camR</w:t>
            </w:r>
            <w:proofErr w:type="spellEnd"/>
          </w:p>
        </w:tc>
      </w:tr>
    </w:tbl>
    <w:p w:rsidR="007128DF" w:rsidRDefault="007128DF" w:rsidP="007128DF">
      <w:pPr>
        <w:rPr>
          <w:rFonts w:ascii="Calibri" w:eastAsia="Times New Roman" w:hAnsi="Calibri" w:cs="Times New Roman"/>
          <w:color w:val="000000"/>
          <w:lang w:eastAsia="en-GB"/>
        </w:rPr>
      </w:pPr>
    </w:p>
    <w:p w:rsidR="007128DF" w:rsidRDefault="007128DF" w:rsidP="007128DF">
      <w:pPr>
        <w:rPr>
          <w:rFonts w:ascii="Calibri" w:eastAsia="Times New Roman" w:hAnsi="Calibri" w:cs="Times New Roman"/>
          <w:color w:val="000000"/>
          <w:lang w:eastAsia="en-GB"/>
        </w:rPr>
        <w:sectPr w:rsidR="007128DF" w:rsidSect="007128DF">
          <w:type w:val="continuous"/>
          <w:pgSz w:w="16838" w:h="11906" w:orient="landscape"/>
          <w:pgMar w:top="1440" w:right="1440" w:bottom="1440" w:left="1440" w:header="708" w:footer="708" w:gutter="0"/>
          <w:cols w:space="708"/>
          <w:docGrid w:linePitch="360"/>
        </w:sectPr>
      </w:pPr>
      <w:r>
        <w:rPr>
          <w:rFonts w:ascii="Calibri" w:eastAsia="Times New Roman" w:hAnsi="Calibri" w:cs="Times New Roman"/>
          <w:color w:val="000000"/>
          <w:lang w:eastAsia="en-GB"/>
        </w:rPr>
        <w:t>Variants called using GATK (with ploidy=1). Reads mapped to either "gi|253322479|gb|CP001665.1| E. coli 'BL21-</w:t>
      </w:r>
      <w:proofErr w:type="gramStart"/>
      <w:r>
        <w:rPr>
          <w:rFonts w:ascii="Calibri" w:eastAsia="Times New Roman" w:hAnsi="Calibri" w:cs="Times New Roman"/>
          <w:color w:val="000000"/>
          <w:lang w:eastAsia="en-GB"/>
        </w:rPr>
        <w:t>Gold(</w:t>
      </w:r>
      <w:proofErr w:type="gramEnd"/>
      <w:r>
        <w:rPr>
          <w:rFonts w:ascii="Calibri" w:eastAsia="Times New Roman" w:hAnsi="Calibri" w:cs="Times New Roman"/>
          <w:color w:val="000000"/>
          <w:lang w:eastAsia="en-GB"/>
        </w:rPr>
        <w:t>DE3)</w:t>
      </w:r>
      <w:proofErr w:type="spellStart"/>
      <w:r>
        <w:rPr>
          <w:rFonts w:ascii="Calibri" w:eastAsia="Times New Roman" w:hAnsi="Calibri" w:cs="Times New Roman"/>
          <w:color w:val="000000"/>
          <w:lang w:eastAsia="en-GB"/>
        </w:rPr>
        <w:t>pLysS</w:t>
      </w:r>
      <w:proofErr w:type="spellEnd"/>
      <w:r>
        <w:rPr>
          <w:rFonts w:ascii="Calibri" w:eastAsia="Times New Roman" w:hAnsi="Calibri" w:cs="Times New Roman"/>
          <w:color w:val="000000"/>
          <w:lang w:eastAsia="en-GB"/>
        </w:rPr>
        <w:t xml:space="preserve"> AG" (samples 1 – 6) or "gi|296142109|gb|CP001509.3| E. coli BL21(DE3), complete genome" (samples 7 &amp; 8) as well as the vectors "</w:t>
      </w:r>
      <w:proofErr w:type="spellStart"/>
      <w:r>
        <w:rPr>
          <w:rFonts w:ascii="Calibri" w:eastAsia="Times New Roman" w:hAnsi="Calibri" w:cs="Times New Roman"/>
          <w:color w:val="000000"/>
          <w:lang w:eastAsia="en-GB"/>
        </w:rPr>
        <w:t>pET</w:t>
      </w:r>
      <w:proofErr w:type="spellEnd"/>
      <w:r>
        <w:rPr>
          <w:rFonts w:ascii="Calibri" w:eastAsia="Times New Roman" w:hAnsi="Calibri" w:cs="Times New Roman"/>
          <w:color w:val="000000"/>
          <w:lang w:eastAsia="en-GB"/>
        </w:rPr>
        <w:t xml:space="preserve"> Biotin His6 GFP LIC cloning vector (H6-msfGFP)" and "</w:t>
      </w:r>
      <w:proofErr w:type="spellStart"/>
      <w:r>
        <w:rPr>
          <w:rFonts w:ascii="Calibri" w:eastAsia="Times New Roman" w:hAnsi="Calibri" w:cs="Times New Roman"/>
          <w:color w:val="000000"/>
          <w:lang w:eastAsia="en-GB"/>
        </w:rPr>
        <w:t>pLysS</w:t>
      </w:r>
      <w:proofErr w:type="spellEnd"/>
      <w:r>
        <w:rPr>
          <w:rFonts w:ascii="Calibri" w:eastAsia="Times New Roman" w:hAnsi="Calibri" w:cs="Times New Roman"/>
          <w:color w:val="000000"/>
          <w:lang w:eastAsia="en-GB"/>
        </w:rPr>
        <w:t xml:space="preserve">". Annotation provided by </w:t>
      </w:r>
      <w:proofErr w:type="spellStart"/>
      <w:r>
        <w:rPr>
          <w:rFonts w:ascii="Calibri" w:eastAsia="Times New Roman" w:hAnsi="Calibri" w:cs="Times New Roman"/>
          <w:color w:val="000000"/>
          <w:lang w:eastAsia="en-GB"/>
        </w:rPr>
        <w:t>SnpEff</w:t>
      </w:r>
      <w:proofErr w:type="spellEnd"/>
      <w:r>
        <w:rPr>
          <w:rFonts w:ascii="Calibri" w:eastAsia="Times New Roman" w:hAnsi="Calibri" w:cs="Times New Roman"/>
          <w:color w:val="000000"/>
          <w:lang w:eastAsia="en-GB"/>
        </w:rPr>
        <w:t xml:space="preserve"> for the genome sequences and https://www.addgene.org/ for the vectors. (Reference not present in sample "-", variant not called due to lack of coverage "."). Under Annotation, those starting with a * </w:t>
      </w:r>
      <w:r>
        <w:t xml:space="preserve">appears to be an issue with reads from the plasmid mapping to the genome in a </w:t>
      </w:r>
      <w:proofErr w:type="spellStart"/>
      <w:r>
        <w:t>tRNA</w:t>
      </w:r>
      <w:proofErr w:type="spellEnd"/>
      <w:r>
        <w:t xml:space="preserve"> region.</w:t>
      </w:r>
    </w:p>
    <w:p w:rsidR="007128DF" w:rsidRDefault="007128DF" w:rsidP="007128DF"/>
    <w:p w:rsidR="007128DF" w:rsidRPr="00E768D7" w:rsidRDefault="007128DF" w:rsidP="007128DF">
      <w:pPr>
        <w:pStyle w:val="NormalWeb"/>
        <w:spacing w:before="0" w:beforeAutospacing="0" w:after="0" w:afterAutospacing="0"/>
        <w:rPr>
          <w:rFonts w:asciiTheme="minorHAnsi" w:eastAsiaTheme="minorHAnsi" w:hAnsiTheme="minorHAnsi" w:cstheme="minorBidi"/>
          <w:b/>
          <w:bCs/>
          <w:sz w:val="22"/>
          <w:szCs w:val="22"/>
          <w:lang w:eastAsia="en-US"/>
        </w:rPr>
      </w:pPr>
      <w:r w:rsidRPr="001E7534">
        <w:rPr>
          <w:rFonts w:asciiTheme="minorHAnsi" w:hAnsiTheme="minorHAnsi" w:cstheme="minorHAnsi"/>
          <w:b/>
          <w:bCs/>
          <w:sz w:val="22"/>
          <w:szCs w:val="22"/>
        </w:rPr>
        <w:t>Supplementary</w:t>
      </w:r>
      <w:r w:rsidRPr="005A3B90">
        <w:rPr>
          <w:rFonts w:asciiTheme="minorHAnsi" w:hAnsiTheme="minorHAnsi" w:cstheme="minorHAnsi"/>
          <w:sz w:val="22"/>
          <w:szCs w:val="22"/>
        </w:rPr>
        <w:t xml:space="preserve"> </w:t>
      </w:r>
      <w:r w:rsidRPr="00E768D7">
        <w:rPr>
          <w:rFonts w:asciiTheme="minorHAnsi" w:eastAsiaTheme="minorHAnsi" w:hAnsiTheme="minorHAnsi" w:cstheme="minorBidi"/>
          <w:b/>
          <w:bCs/>
          <w:sz w:val="22"/>
          <w:szCs w:val="22"/>
          <w:lang w:eastAsia="en-US"/>
        </w:rPr>
        <w:t>Table 3</w:t>
      </w:r>
      <w:r>
        <w:rPr>
          <w:rFonts w:asciiTheme="minorHAnsi" w:eastAsiaTheme="minorHAnsi" w:hAnsiTheme="minorHAnsi" w:cstheme="minorBidi"/>
          <w:b/>
          <w:bCs/>
          <w:sz w:val="22"/>
          <w:szCs w:val="22"/>
          <w:lang w:eastAsia="en-US"/>
        </w:rPr>
        <w:t>.</w:t>
      </w:r>
      <w:r w:rsidRPr="00E768D7">
        <w:rPr>
          <w:rFonts w:asciiTheme="minorHAnsi" w:eastAsiaTheme="minorHAnsi" w:hAnsiTheme="minorHAnsi" w:cstheme="minorBidi"/>
          <w:b/>
          <w:bCs/>
          <w:sz w:val="22"/>
          <w:szCs w:val="22"/>
          <w:lang w:eastAsia="en-US"/>
        </w:rPr>
        <w:t xml:space="preserve"> Observed percentage of phenotypes </w:t>
      </w:r>
      <w:r>
        <w:rPr>
          <w:rFonts w:asciiTheme="minorHAnsi" w:eastAsiaTheme="minorHAnsi" w:hAnsiTheme="minorHAnsi" w:cstheme="minorBidi"/>
          <w:b/>
          <w:bCs/>
          <w:sz w:val="22"/>
          <w:szCs w:val="22"/>
          <w:lang w:eastAsia="en-US"/>
        </w:rPr>
        <w:t>from this data and previously published images</w:t>
      </w:r>
    </w:p>
    <w:p w:rsidR="007128DF" w:rsidRDefault="007128DF" w:rsidP="007128DF">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tbl>
      <w:tblPr>
        <w:tblStyle w:val="TableGrid"/>
        <w:tblW w:w="0" w:type="auto"/>
        <w:tblLook w:val="04A0" w:firstRow="1" w:lastRow="0" w:firstColumn="1" w:lastColumn="0" w:noHBand="0" w:noVBand="1"/>
      </w:tblPr>
      <w:tblGrid>
        <w:gridCol w:w="2547"/>
        <w:gridCol w:w="1148"/>
        <w:gridCol w:w="851"/>
        <w:gridCol w:w="1192"/>
        <w:gridCol w:w="622"/>
        <w:gridCol w:w="862"/>
        <w:gridCol w:w="862"/>
        <w:gridCol w:w="862"/>
      </w:tblGrid>
      <w:tr w:rsidR="007128DF" w:rsidTr="00A560DD">
        <w:trPr>
          <w:trHeight w:val="279"/>
        </w:trPr>
        <w:tc>
          <w:tcPr>
            <w:tcW w:w="2547"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sidRPr="0098203A">
              <w:rPr>
                <w:rFonts w:asciiTheme="minorHAnsi" w:eastAsiaTheme="minorHAnsi" w:hAnsiTheme="minorHAnsi" w:cstheme="minorBidi"/>
                <w:b/>
                <w:sz w:val="22"/>
                <w:szCs w:val="22"/>
                <w:lang w:eastAsia="en-US"/>
              </w:rPr>
              <w:t>STRAIN</w:t>
            </w:r>
          </w:p>
        </w:tc>
        <w:tc>
          <w:tcPr>
            <w:tcW w:w="1006" w:type="dxa"/>
            <w:tcBorders>
              <w:top w:val="single" w:sz="4" w:space="0" w:color="auto"/>
              <w:left w:val="nil"/>
              <w:bottom w:val="single" w:sz="4" w:space="0" w:color="auto"/>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Vector</w:t>
            </w:r>
          </w:p>
        </w:tc>
        <w:tc>
          <w:tcPr>
            <w:tcW w:w="851"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IPTG (</w:t>
            </w:r>
            <w:proofErr w:type="spellStart"/>
            <w:r>
              <w:rPr>
                <w:rFonts w:asciiTheme="minorHAnsi" w:eastAsiaTheme="minorHAnsi" w:hAnsiTheme="minorHAnsi" w:cstheme="minorBidi"/>
                <w:b/>
                <w:sz w:val="22"/>
                <w:szCs w:val="22"/>
                <w:lang w:eastAsia="en-US"/>
              </w:rPr>
              <w:t>mM</w:t>
            </w:r>
            <w:proofErr w:type="spellEnd"/>
            <w:r>
              <w:rPr>
                <w:rFonts w:asciiTheme="minorHAnsi" w:eastAsiaTheme="minorHAnsi" w:hAnsiTheme="minorHAnsi" w:cstheme="minorBidi"/>
                <w:b/>
                <w:sz w:val="22"/>
                <w:szCs w:val="22"/>
                <w:lang w:eastAsia="en-US"/>
              </w:rPr>
              <w:t>)</w:t>
            </w:r>
          </w:p>
        </w:tc>
        <w:tc>
          <w:tcPr>
            <w:tcW w:w="1192"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Marker</w:t>
            </w:r>
          </w:p>
        </w:tc>
        <w:tc>
          <w:tcPr>
            <w:tcW w:w="622"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sidRPr="0098203A">
              <w:rPr>
                <w:rFonts w:asciiTheme="minorHAnsi" w:eastAsiaTheme="minorHAnsi" w:hAnsiTheme="minorHAnsi" w:cstheme="minorBidi"/>
                <w:b/>
                <w:sz w:val="22"/>
                <w:szCs w:val="22"/>
                <w:lang w:eastAsia="en-US"/>
              </w:rPr>
              <w:t>LW</w:t>
            </w:r>
          </w:p>
        </w:tc>
        <w:tc>
          <w:tcPr>
            <w:tcW w:w="862"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sidRPr="0098203A">
              <w:rPr>
                <w:rFonts w:asciiTheme="minorHAnsi" w:eastAsiaTheme="minorHAnsi" w:hAnsiTheme="minorHAnsi" w:cstheme="minorBidi"/>
                <w:b/>
                <w:sz w:val="22"/>
                <w:szCs w:val="22"/>
                <w:lang w:eastAsia="en-US"/>
              </w:rPr>
              <w:t>LG</w:t>
            </w:r>
          </w:p>
        </w:tc>
        <w:tc>
          <w:tcPr>
            <w:tcW w:w="862"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L total</w:t>
            </w:r>
          </w:p>
        </w:tc>
        <w:tc>
          <w:tcPr>
            <w:tcW w:w="862" w:type="dxa"/>
            <w:tcBorders>
              <w:top w:val="single" w:sz="4" w:space="0" w:color="auto"/>
              <w:left w:val="nil"/>
              <w:bottom w:val="single" w:sz="4" w:space="0" w:color="auto"/>
              <w:right w:val="nil"/>
            </w:tcBorders>
          </w:tcPr>
          <w:p w:rsidR="007128DF" w:rsidRPr="0098203A" w:rsidRDefault="007128DF" w:rsidP="00A560DD">
            <w:pPr>
              <w:pStyle w:val="NormalWeb"/>
              <w:spacing w:before="0" w:beforeAutospacing="0" w:after="0" w:afterAutospacing="0"/>
              <w:rPr>
                <w:rFonts w:asciiTheme="minorHAnsi" w:eastAsiaTheme="minorHAnsi" w:hAnsiTheme="minorHAnsi" w:cstheme="minorBidi"/>
                <w:b/>
                <w:sz w:val="22"/>
                <w:szCs w:val="22"/>
                <w:lang w:eastAsia="en-US"/>
              </w:rPr>
            </w:pPr>
            <w:r w:rsidRPr="0098203A">
              <w:rPr>
                <w:rFonts w:asciiTheme="minorHAnsi" w:eastAsiaTheme="minorHAnsi" w:hAnsiTheme="minorHAnsi" w:cstheme="minorBidi"/>
                <w:b/>
                <w:sz w:val="22"/>
                <w:szCs w:val="22"/>
                <w:lang w:eastAsia="en-US"/>
              </w:rPr>
              <w:t>SCV</w:t>
            </w:r>
          </w:p>
        </w:tc>
      </w:tr>
      <w:tr w:rsidR="007128DF" w:rsidTr="00A560DD">
        <w:trPr>
          <w:trHeight w:val="264"/>
        </w:trPr>
        <w:tc>
          <w:tcPr>
            <w:tcW w:w="2547"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*BL21(DE3)</w:t>
            </w:r>
          </w:p>
        </w:tc>
        <w:tc>
          <w:tcPr>
            <w:tcW w:w="1006"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H6msfGFP</w:t>
            </w:r>
          </w:p>
        </w:tc>
        <w:tc>
          <w:tcPr>
            <w:tcW w:w="851"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0.2-1.0</w:t>
            </w:r>
          </w:p>
        </w:tc>
        <w:tc>
          <w:tcPr>
            <w:tcW w:w="1192"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Kanamycin</w:t>
            </w:r>
          </w:p>
        </w:tc>
        <w:tc>
          <w:tcPr>
            <w:tcW w:w="622"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3.3</w:t>
            </w:r>
          </w:p>
        </w:tc>
        <w:tc>
          <w:tcPr>
            <w:tcW w:w="862"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20.8</w:t>
            </w:r>
          </w:p>
        </w:tc>
        <w:tc>
          <w:tcPr>
            <w:tcW w:w="862"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24.1</w:t>
            </w:r>
          </w:p>
        </w:tc>
        <w:tc>
          <w:tcPr>
            <w:tcW w:w="862" w:type="dxa"/>
            <w:tcBorders>
              <w:top w:val="single" w:sz="4" w:space="0" w:color="auto"/>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75.9</w:t>
            </w:r>
          </w:p>
        </w:tc>
      </w:tr>
      <w:tr w:rsidR="007128DF" w:rsidTr="00A560DD">
        <w:trPr>
          <w:trHeight w:val="264"/>
        </w:trPr>
        <w:tc>
          <w:tcPr>
            <w:tcW w:w="2547"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*BL21-Gold(DE3)</w:t>
            </w:r>
            <w:proofErr w:type="spellStart"/>
            <w:r>
              <w:rPr>
                <w:rFonts w:asciiTheme="minorHAnsi" w:eastAsiaTheme="minorHAnsi" w:hAnsiTheme="minorHAnsi" w:cstheme="minorBidi"/>
                <w:sz w:val="22"/>
                <w:szCs w:val="22"/>
                <w:lang w:eastAsia="en-US"/>
              </w:rPr>
              <w:t>pLysS</w:t>
            </w:r>
            <w:proofErr w:type="spellEnd"/>
          </w:p>
        </w:tc>
        <w:tc>
          <w:tcPr>
            <w:tcW w:w="1006"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H6msfGFP</w:t>
            </w:r>
          </w:p>
        </w:tc>
        <w:tc>
          <w:tcPr>
            <w:tcW w:w="851"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0.2-1.0</w:t>
            </w:r>
          </w:p>
        </w:tc>
        <w:tc>
          <w:tcPr>
            <w:tcW w:w="119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Kanamycin</w:t>
            </w:r>
          </w:p>
        </w:tc>
        <w:tc>
          <w:tcPr>
            <w:tcW w:w="62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15.7</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27.2</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42.9</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57.1</w:t>
            </w: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tc>
      </w:tr>
      <w:tr w:rsidR="007128DF" w:rsidTr="00A560DD">
        <w:trPr>
          <w:trHeight w:val="264"/>
        </w:trPr>
        <w:tc>
          <w:tcPr>
            <w:tcW w:w="2547"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BL21(DE3)</w:t>
            </w: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Miroux</w:t>
            </w:r>
            <w:proofErr w:type="spellEnd"/>
            <w:r>
              <w:rPr>
                <w:rFonts w:asciiTheme="minorHAnsi" w:eastAsiaTheme="minorHAnsi" w:hAnsiTheme="minorHAnsi" w:cstheme="minorBidi"/>
                <w:sz w:val="22"/>
                <w:szCs w:val="22"/>
                <w:lang w:eastAsia="en-US"/>
              </w:rPr>
              <w:t xml:space="preserve"> &amp; Walker, 1996</w:t>
            </w:r>
            <w:r>
              <w:rPr>
                <w:rFonts w:asciiTheme="minorHAnsi" w:eastAsiaTheme="minorHAnsi" w:hAnsiTheme="minorHAnsi" w:cstheme="minorBidi"/>
                <w:sz w:val="22"/>
                <w:szCs w:val="22"/>
                <w:lang w:eastAsia="en-US"/>
              </w:rPr>
              <w:fldChar w:fldCharType="begin"/>
            </w:r>
            <w:r>
              <w:rPr>
                <w:rFonts w:asciiTheme="minorHAnsi" w:eastAsiaTheme="minorHAnsi" w:hAnsiTheme="minorHAnsi" w:cstheme="minorBidi"/>
                <w:sz w:val="22"/>
                <w:szCs w:val="22"/>
                <w:lang w:eastAsia="en-US"/>
              </w:rPr>
              <w:instrText xml:space="preserve"> ADDIN ZOTERO_ITEM CSL_CITATION {"citationID":"bprZSL9B","properties":{"formattedCitation":"[12]","plainCitation":"[12]","noteIndex":0},"citationItems":[{"id":3073,"uris":["http://zotero.org/users/65840/items/6T2RIPJR"],"uri":["http://zotero.org/users/65840/items/6T2RIPJR"],"itemData":{"id":3073,"type":"article-journal","abstract":"We have investigated the over-production of seven membrane proteins in an Escherichia coli-bacteriophage T7 RNA polymerase expression system. In all seven cases, when expression of the target membrane protein was induced, most of the BL21(DE3) host cells died. Similar effects were also observed with expression vectors for ten globular proteins. Therefore, protein over-production in this expression system is either limited or prevented by bacterial cell death. From the few survivors of BL21(DE3) expressing the oxoglutarate-malate carrier protein from mitochondrial membranes, a mutant host C41(DE3) was selected that grew to high saturation cell density, and produced the protein as inclusion bodies at an elevated level without toxic effect. Some proteins that were expressed poorly in BL21(DE3), and others where the toxicity of the expression plasmids prevented transformation into this host, were also over-produced successfully in C41(DE3). The examples include globular proteins as well as membrane proteins, and therefore, strain C41(DE3) is generally superior to BL21(DE3) as a host for protein over-expression. However, the toxicity of over-expression of some of the membrane proteins persisted partially in strain C41(DE3). Therefore, a double mutant host C43(DE3) was selected from C41(DE3) cells containing the expression plasmid for subunit b of bacterial F-ATPase. In strain C43(DE3), both subunits b and c of the F-ATPase, an alanine-H(+) symporter, and the ADP/ATP and the phosphate carriers from mitochondria were all over-produced. The transcription of the gene for the OGCP and subunit b was lower in C41(DE3) and C43(DE3), respectively, than in BL21(DE3). In C43(DE3), the onset of transcription of the gene for subunit b was delayed after induction, and the over-produced protein was incorporated into the membrane. The procedure used for selection of C41(DE3) and C43(DE3) could be employed to tailor expression hosts in order to overcome other toxic effects associated with over-expression.","container-title":"Journal of Molecular Biology","DOI":"10.1006/jmbi.1996.0399","ISSN":"0022-2836","issue":"3","journalAbbreviation":"J. Mol. Biol.","language":"eng","note":"PMID: 8757792","page":"289-298","source":"PubMed","title":"Over-production of proteins in Escherichia coli: mutant hosts that allow synthesis of some membrane proteins and globular proteins at high levels","title-short":"Over-production of proteins in Escherichia coli","volume":"260","author":[{"family":"Miroux","given":"B."},{"family":"Walker","given":"J. E."}],"issued":{"date-parts":[["1996",7,19]]}}}],"schema":"https://github.com/citation-style-language/schema/raw/master/csl-citation.json"} </w:instrText>
            </w:r>
            <w:r>
              <w:rPr>
                <w:rFonts w:asciiTheme="minorHAnsi" w:eastAsiaTheme="minorHAnsi" w:hAnsiTheme="minorHAnsi" w:cstheme="minorBidi"/>
                <w:sz w:val="22"/>
                <w:szCs w:val="22"/>
                <w:lang w:eastAsia="en-US"/>
              </w:rPr>
              <w:fldChar w:fldCharType="separate"/>
            </w:r>
            <w:r w:rsidRPr="001C5B35">
              <w:rPr>
                <w:rFonts w:ascii="Calibri" w:hAnsi="Calibri" w:cs="Calibri"/>
                <w:sz w:val="22"/>
              </w:rPr>
              <w:t>[12]</w:t>
            </w:r>
            <w:r>
              <w:rPr>
                <w:rFonts w:asciiTheme="minorHAnsi" w:eastAsiaTheme="minorHAnsi" w:hAnsiTheme="minorHAnsi" w:cstheme="minorBidi"/>
                <w:sz w:val="22"/>
                <w:szCs w:val="22"/>
                <w:lang w:eastAsia="en-US"/>
              </w:rPr>
              <w:fldChar w:fldCharType="end"/>
            </w:r>
          </w:p>
        </w:tc>
        <w:tc>
          <w:tcPr>
            <w:tcW w:w="1006"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pMW7</w:t>
            </w:r>
          </w:p>
        </w:tc>
        <w:tc>
          <w:tcPr>
            <w:tcW w:w="851"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0.7</w:t>
            </w:r>
          </w:p>
        </w:tc>
        <w:tc>
          <w:tcPr>
            <w:tcW w:w="1192"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Ampicillin</w:t>
            </w:r>
          </w:p>
        </w:tc>
        <w:tc>
          <w:tcPr>
            <w:tcW w:w="1484" w:type="dxa"/>
            <w:gridSpan w:val="2"/>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n/a</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30.6</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69.4</w:t>
            </w:r>
          </w:p>
        </w:tc>
      </w:tr>
      <w:tr w:rsidR="007128DF" w:rsidTr="00A560DD">
        <w:trPr>
          <w:trHeight w:val="264"/>
        </w:trPr>
        <w:tc>
          <w:tcPr>
            <w:tcW w:w="2547"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val="fr-FR" w:eastAsia="en-US"/>
              </w:rPr>
            </w:pPr>
          </w:p>
          <w:p w:rsidR="007128DF" w:rsidRPr="00990838" w:rsidRDefault="007128DF" w:rsidP="00A560DD">
            <w:pPr>
              <w:pStyle w:val="NormalWeb"/>
              <w:spacing w:before="0" w:beforeAutospacing="0" w:after="0" w:afterAutospacing="0"/>
              <w:rPr>
                <w:rFonts w:asciiTheme="minorHAnsi" w:eastAsiaTheme="minorHAnsi" w:hAnsiTheme="minorHAnsi" w:cstheme="minorBidi"/>
                <w:sz w:val="22"/>
                <w:szCs w:val="22"/>
                <w:lang w:val="fr-FR" w:eastAsia="en-US"/>
              </w:rPr>
            </w:pPr>
            <w:r w:rsidRPr="00990838">
              <w:rPr>
                <w:rFonts w:asciiTheme="minorHAnsi" w:eastAsiaTheme="minorHAnsi" w:hAnsiTheme="minorHAnsi" w:cstheme="minorBidi"/>
                <w:sz w:val="22"/>
                <w:szCs w:val="22"/>
                <w:lang w:val="fr-FR" w:eastAsia="en-US"/>
              </w:rPr>
              <w:t>BL21(DE3)</w:t>
            </w:r>
          </w:p>
          <w:p w:rsidR="007128DF" w:rsidRPr="00990838" w:rsidRDefault="007128DF" w:rsidP="00A560DD">
            <w:pPr>
              <w:pStyle w:val="NormalWeb"/>
              <w:spacing w:before="0" w:beforeAutospacing="0" w:after="0" w:afterAutospacing="0"/>
              <w:rPr>
                <w:rFonts w:asciiTheme="minorHAnsi" w:eastAsiaTheme="minorHAnsi" w:hAnsiTheme="minorHAnsi" w:cstheme="minorBidi"/>
                <w:sz w:val="22"/>
                <w:szCs w:val="22"/>
                <w:lang w:val="fr-FR" w:eastAsia="en-US"/>
              </w:rPr>
            </w:pPr>
            <w:proofErr w:type="spellStart"/>
            <w:r w:rsidRPr="00990838">
              <w:rPr>
                <w:rFonts w:asciiTheme="minorHAnsi" w:eastAsiaTheme="minorHAnsi" w:hAnsiTheme="minorHAnsi" w:cstheme="minorBidi"/>
                <w:sz w:val="22"/>
                <w:szCs w:val="22"/>
                <w:lang w:val="fr-FR" w:eastAsia="en-US"/>
              </w:rPr>
              <w:t>Hattab</w:t>
            </w:r>
            <w:proofErr w:type="spellEnd"/>
            <w:r w:rsidRPr="00990838">
              <w:rPr>
                <w:rFonts w:asciiTheme="minorHAnsi" w:eastAsiaTheme="minorHAnsi" w:hAnsiTheme="minorHAnsi" w:cstheme="minorBidi"/>
                <w:sz w:val="22"/>
                <w:szCs w:val="22"/>
                <w:lang w:val="fr-FR" w:eastAsia="en-US"/>
              </w:rPr>
              <w:t xml:space="preserve"> et al, 2014</w:t>
            </w:r>
            <w:r>
              <w:rPr>
                <w:rFonts w:asciiTheme="minorHAnsi" w:eastAsiaTheme="minorHAnsi" w:hAnsiTheme="minorHAnsi" w:cstheme="minorBidi"/>
                <w:sz w:val="22"/>
                <w:szCs w:val="22"/>
                <w:lang w:eastAsia="en-US"/>
              </w:rPr>
              <w:fldChar w:fldCharType="begin"/>
            </w:r>
            <w:r>
              <w:rPr>
                <w:rFonts w:asciiTheme="minorHAnsi" w:eastAsiaTheme="minorHAnsi" w:hAnsiTheme="minorHAnsi" w:cstheme="minorBidi"/>
                <w:sz w:val="22"/>
                <w:szCs w:val="22"/>
                <w:lang w:val="fr-FR" w:eastAsia="en-US"/>
              </w:rPr>
              <w:instrText xml:space="preserve"> ADDIN ZOTERO_ITEM CSL_CITATION {"citationID":"1aEztizm","properties":{"formattedCitation":"[11]","plainCitation":"[11]","noteIndex":0},"citationItems":[{"id":3011,"uris":["http://zotero.org/users/65840/items/LMQ2NFWN"],"uri":["http://zotero.org/users/65840/items/LMQ2NFWN"],"itemData":{"id":3011,"type":"article-journal","abstract":"The structural biology of membrane proteins (MP) is hampered by the difficulty in producing and purifying them. A comprehensive analysis of protein databases revealed that 213 unique membrane protein structures have been obtained after production of the target protein in E. coli. The primary expression system used was the one based on the T7 RNA polymerase, followed by the arabinose and T5 promoter based expression systems. The C41λ(DE3) and C43λ(DE3) bacterial mutant hosts have contributed to 28% of non E. coli membrane protein structures. A large scale analysis of expression protocols demonstrated a preference for a combination of bacterial host-vector together with a bimodal distribution of induction temperature and of inducer concentration. Altogether our analysis provides a set of rules for the optimal use of bacterial expression systems in membrane protein production.","container-title":"Scientific Reports","DOI":"10.1038/srep12097","ISSN":"2045-2322","journalAbbreviation":"Sci Rep","language":"eng","note":"PMID: 26160693\nPMCID: PMC4498379","page":"12097","source":"PubMed","title":"Escherichia coli as host for membrane protein structure determination: a global analysis","title-short":"Escherichia coli as host for membrane protein structure determination","volume":"5","author":[{"family":"Hattab","given":"Georges"},{"family":"Warschawski","given":"Dror E."},{"family":"Moncoq","given":"Karine"},{"family":"Miroux","given":"Bruno"}],"issued":{"date-parts":[["2015",7,10]]}}}],"schema":"https://github.com/citation-style-language/schema/raw/master/csl-citation.json"} </w:instrText>
            </w:r>
            <w:r>
              <w:rPr>
                <w:rFonts w:asciiTheme="minorHAnsi" w:eastAsiaTheme="minorHAnsi" w:hAnsiTheme="minorHAnsi" w:cstheme="minorBidi"/>
                <w:sz w:val="22"/>
                <w:szCs w:val="22"/>
                <w:lang w:eastAsia="en-US"/>
              </w:rPr>
              <w:fldChar w:fldCharType="separate"/>
            </w:r>
            <w:r w:rsidRPr="001C5B35">
              <w:rPr>
                <w:rFonts w:ascii="Calibri" w:hAnsi="Calibri" w:cs="Calibri"/>
                <w:sz w:val="22"/>
              </w:rPr>
              <w:t>[11]</w:t>
            </w:r>
            <w:r>
              <w:rPr>
                <w:rFonts w:asciiTheme="minorHAnsi" w:eastAsiaTheme="minorHAnsi" w:hAnsiTheme="minorHAnsi" w:cstheme="minorBidi"/>
                <w:sz w:val="22"/>
                <w:szCs w:val="22"/>
                <w:lang w:eastAsia="en-US"/>
              </w:rPr>
              <w:fldChar w:fldCharType="end"/>
            </w:r>
          </w:p>
        </w:tc>
        <w:tc>
          <w:tcPr>
            <w:tcW w:w="1006"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pT7GFP</w:t>
            </w:r>
          </w:p>
        </w:tc>
        <w:tc>
          <w:tcPr>
            <w:tcW w:w="851"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1.0</w:t>
            </w:r>
          </w:p>
        </w:tc>
        <w:tc>
          <w:tcPr>
            <w:tcW w:w="1192" w:type="dxa"/>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Ampicillin</w:t>
            </w:r>
          </w:p>
        </w:tc>
        <w:tc>
          <w:tcPr>
            <w:tcW w:w="1484" w:type="dxa"/>
            <w:gridSpan w:val="2"/>
            <w:tcBorders>
              <w:top w:val="nil"/>
              <w:left w:val="nil"/>
              <w:bottom w:val="nil"/>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n/a</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52.3</w:t>
            </w:r>
          </w:p>
        </w:tc>
        <w:tc>
          <w:tcPr>
            <w:tcW w:w="862" w:type="dxa"/>
            <w:tcBorders>
              <w:top w:val="nil"/>
              <w:left w:val="nil"/>
              <w:bottom w:val="nil"/>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47.7</w:t>
            </w:r>
          </w:p>
        </w:tc>
      </w:tr>
      <w:tr w:rsidR="007128DF" w:rsidTr="00A560DD">
        <w:trPr>
          <w:trHeight w:val="264"/>
        </w:trPr>
        <w:tc>
          <w:tcPr>
            <w:tcW w:w="2547" w:type="dxa"/>
            <w:tcBorders>
              <w:top w:val="nil"/>
              <w:left w:val="nil"/>
              <w:bottom w:val="single" w:sz="4" w:space="0" w:color="auto"/>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BL21(DE3)</w:t>
            </w: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Schlegel et al, 2015</w:t>
            </w:r>
            <w:r>
              <w:rPr>
                <w:rFonts w:asciiTheme="minorHAnsi" w:eastAsiaTheme="minorHAnsi" w:hAnsiTheme="minorHAnsi" w:cstheme="minorBidi"/>
                <w:sz w:val="22"/>
                <w:szCs w:val="22"/>
                <w:lang w:eastAsia="en-US"/>
              </w:rPr>
              <w:fldChar w:fldCharType="begin"/>
            </w:r>
            <w:r>
              <w:rPr>
                <w:rFonts w:asciiTheme="minorHAnsi" w:eastAsiaTheme="minorHAnsi" w:hAnsiTheme="minorHAnsi" w:cstheme="minorBidi"/>
                <w:sz w:val="22"/>
                <w:szCs w:val="22"/>
                <w:lang w:eastAsia="en-US"/>
              </w:rPr>
              <w:instrText xml:space="preserve"> ADDIN ZOTERO_ITEM CSL_CITATION {"citationID":"hSDdWbC5","properties":{"formattedCitation":"[15]","plainCitation":"[15]","noteIndex":0},"citationItems":[{"id":3020,"uris":["http://zotero.org/users/65840/items/C87R8ANR"],"uri":["http://zotero.org/users/65840/items/C87R8ANR"],"itemData":{"id":3020,"type":"article-journal","abstract":"The well-established E. coli protein production strain C41(DE3) was isolated from the T7 RNA polymerase-based BL21(DE3) strain for its ability to produce difficult recombinant proteins, and it acquired multiple mutations during its isolation. Standard allelic replacement and competition experiments were insufficient to de-convolute these mutations. By reconstructing the evolution of C41(DE3) in real time, we identified the time frames when the different mutations occurred, enabling us to link them to particular stress events. Starvation stress imposed by the isolation procedure selected for mutations enhancing nutrient uptake, and protein production stress for mutations weakening the lacUV5 promoter, which governs t7rnap expression. Moreover, recapitulating protein production stress in BL21(DE3) showed that mutations weakening the lacUV5 promoter occur through RecA-dependent recombination with the wild-type lac-promoter and are selected for upon the production of any protein. Thus, the instability of the lacUV5 promoter in BL21(DE3) alleviates protein production stress and can be harnessed to enhance production.","container-title":"Cell Reports","DOI":"10.1016/j.celrep.2015.02.029","ISSN":"2211-1247","issue":"10","journalAbbreviation":"Cell Rep","language":"eng","note":"PMID: 25772362","page":"1758-1766","source":"PubMed","title":"De-convoluting the Genetic Adaptations of E. coli C41(DE3) in Real Time Reveals How Alleviating Protein Production Stress Improves Yields","volume":"10","author":[{"family":"Schlegel","given":"Susan"},{"family":"Genevaux","given":"Pierre"},{"family":"Gier","given":"Jan-Willem","non-dropping-particle":"de"}],"issued":{"date-parts":[["2015",3,17]]}}}],"schema":"https://github.com/citation-style-language/schema/raw/master/csl-citation.json"} </w:instrText>
            </w:r>
            <w:r>
              <w:rPr>
                <w:rFonts w:asciiTheme="minorHAnsi" w:eastAsiaTheme="minorHAnsi" w:hAnsiTheme="minorHAnsi" w:cstheme="minorBidi"/>
                <w:sz w:val="22"/>
                <w:szCs w:val="22"/>
                <w:lang w:eastAsia="en-US"/>
              </w:rPr>
              <w:fldChar w:fldCharType="separate"/>
            </w:r>
            <w:r w:rsidRPr="001C5B35">
              <w:rPr>
                <w:rFonts w:ascii="Calibri" w:hAnsi="Calibri" w:cs="Calibri"/>
                <w:sz w:val="22"/>
              </w:rPr>
              <w:t>[15]</w:t>
            </w:r>
            <w:r>
              <w:rPr>
                <w:rFonts w:asciiTheme="minorHAnsi" w:eastAsiaTheme="minorHAnsi" w:hAnsiTheme="minorHAnsi" w:cstheme="minorBidi"/>
                <w:sz w:val="22"/>
                <w:szCs w:val="22"/>
                <w:lang w:eastAsia="en-US"/>
              </w:rPr>
              <w:fldChar w:fldCharType="end"/>
            </w:r>
          </w:p>
        </w:tc>
        <w:tc>
          <w:tcPr>
            <w:tcW w:w="1006" w:type="dxa"/>
            <w:tcBorders>
              <w:top w:val="nil"/>
              <w:left w:val="nil"/>
              <w:bottom w:val="single" w:sz="4" w:space="0" w:color="auto"/>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pMV7-GFP-Xa</w:t>
            </w:r>
          </w:p>
        </w:tc>
        <w:tc>
          <w:tcPr>
            <w:tcW w:w="851" w:type="dxa"/>
            <w:tcBorders>
              <w:top w:val="nil"/>
              <w:left w:val="nil"/>
              <w:bottom w:val="single" w:sz="4" w:space="0" w:color="auto"/>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0.7</w:t>
            </w:r>
          </w:p>
        </w:tc>
        <w:tc>
          <w:tcPr>
            <w:tcW w:w="1192" w:type="dxa"/>
            <w:tcBorders>
              <w:top w:val="nil"/>
              <w:left w:val="nil"/>
              <w:bottom w:val="single" w:sz="4" w:space="0" w:color="auto"/>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Ampicillin</w:t>
            </w:r>
          </w:p>
        </w:tc>
        <w:tc>
          <w:tcPr>
            <w:tcW w:w="1484" w:type="dxa"/>
            <w:gridSpan w:val="2"/>
            <w:tcBorders>
              <w:top w:val="nil"/>
              <w:left w:val="nil"/>
              <w:bottom w:val="single" w:sz="4" w:space="0" w:color="auto"/>
              <w:right w:val="nil"/>
            </w:tcBorders>
          </w:tcPr>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n/a</w:t>
            </w:r>
          </w:p>
        </w:tc>
        <w:tc>
          <w:tcPr>
            <w:tcW w:w="862" w:type="dxa"/>
            <w:tcBorders>
              <w:top w:val="nil"/>
              <w:left w:val="nil"/>
              <w:bottom w:val="single" w:sz="4" w:space="0" w:color="auto"/>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34.2</w:t>
            </w:r>
          </w:p>
        </w:tc>
        <w:tc>
          <w:tcPr>
            <w:tcW w:w="862" w:type="dxa"/>
            <w:tcBorders>
              <w:top w:val="nil"/>
              <w:left w:val="nil"/>
              <w:bottom w:val="single" w:sz="4" w:space="0" w:color="auto"/>
              <w:right w:val="nil"/>
            </w:tcBorders>
          </w:tcPr>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p>
          <w:p w:rsidR="007128DF" w:rsidRDefault="007128DF" w:rsidP="00A560DD">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65.8</w:t>
            </w:r>
          </w:p>
        </w:tc>
      </w:tr>
    </w:tbl>
    <w:p w:rsidR="007128DF" w:rsidRDefault="007128DF" w:rsidP="007128DF"/>
    <w:p w:rsidR="007128DF" w:rsidRDefault="007128DF" w:rsidP="007128DF">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Large white (LW), large green (LG), LW + LG = large total (L total) and small colony variant (SCV) phenotypes. Marked with a star are the data calculated from this work which is the percentage average over all 0.2 – 1 </w:t>
      </w:r>
      <w:proofErr w:type="spellStart"/>
      <w:r>
        <w:rPr>
          <w:rFonts w:asciiTheme="minorHAnsi" w:eastAsiaTheme="minorHAnsi" w:hAnsiTheme="minorHAnsi" w:cstheme="minorBidi"/>
          <w:sz w:val="22"/>
          <w:szCs w:val="22"/>
          <w:lang w:eastAsia="en-US"/>
        </w:rPr>
        <w:t>mM</w:t>
      </w:r>
      <w:proofErr w:type="spellEnd"/>
      <w:r>
        <w:rPr>
          <w:rFonts w:asciiTheme="minorHAnsi" w:eastAsiaTheme="minorHAnsi" w:hAnsiTheme="minorHAnsi" w:cstheme="minorBidi"/>
          <w:sz w:val="22"/>
          <w:szCs w:val="22"/>
          <w:lang w:eastAsia="en-US"/>
        </w:rPr>
        <w:t xml:space="preserve"> IPTG plates. The remaining percentages were calculated from a single image of a LB agar plate from the published data as indicated. For this data, due to differences in data acquisition, it was not possible to distinguish LW and LG hence a combined total (L total) was used instead. The final IPTG concentration for each experiment is indicated as well as the vector and the selective antibiotic marker used in the experiments.</w:t>
      </w:r>
    </w:p>
    <w:p w:rsidR="007128DF" w:rsidRDefault="007128DF" w:rsidP="007128DF"/>
    <w:p w:rsidR="007128DF" w:rsidRDefault="007128DF" w:rsidP="007128DF">
      <w:pPr>
        <w:rPr>
          <w:rFonts w:cstheme="minorHAnsi"/>
        </w:rPr>
      </w:pPr>
      <w:r>
        <w:rPr>
          <w:rFonts w:cstheme="minorHAnsi"/>
        </w:rPr>
        <w:br w:type="page"/>
      </w:r>
    </w:p>
    <w:p w:rsidR="007128DF" w:rsidRPr="00E768D7" w:rsidRDefault="007128DF" w:rsidP="007128DF">
      <w:pPr>
        <w:rPr>
          <w:rFonts w:cstheme="minorHAnsi"/>
          <w:b/>
          <w:bCs/>
        </w:rPr>
      </w:pPr>
      <w:r>
        <w:rPr>
          <w:b/>
          <w:bCs/>
        </w:rPr>
        <w:lastRenderedPageBreak/>
        <w:t>Supplementary</w:t>
      </w:r>
      <w:r w:rsidRPr="00113375">
        <w:rPr>
          <w:b/>
          <w:bCs/>
        </w:rPr>
        <w:t xml:space="preserve"> </w:t>
      </w:r>
      <w:r w:rsidRPr="00E768D7">
        <w:rPr>
          <w:rFonts w:cstheme="minorHAnsi"/>
          <w:b/>
          <w:bCs/>
        </w:rPr>
        <w:t>Table 4</w:t>
      </w:r>
      <w:r>
        <w:rPr>
          <w:rFonts w:cstheme="minorHAnsi"/>
          <w:b/>
          <w:bCs/>
        </w:rPr>
        <w:t xml:space="preserve">. </w:t>
      </w:r>
      <w:r w:rsidRPr="00E768D7">
        <w:rPr>
          <w:rFonts w:cstheme="minorHAnsi"/>
          <w:b/>
          <w:bCs/>
        </w:rPr>
        <w:t xml:space="preserve">Forward and reverse primers used to copy the </w:t>
      </w:r>
      <w:r w:rsidRPr="00E768D7">
        <w:rPr>
          <w:rFonts w:cstheme="minorHAnsi"/>
          <w:b/>
          <w:bCs/>
          <w:i/>
        </w:rPr>
        <w:t>E. coli</w:t>
      </w:r>
      <w:r w:rsidRPr="00E768D7">
        <w:rPr>
          <w:rFonts w:cstheme="minorHAnsi"/>
          <w:b/>
          <w:bCs/>
        </w:rPr>
        <w:t xml:space="preserve"> K-12 MG1655 genes by PCR for ligation independent cloning into the H6msfGFP vector. </w:t>
      </w:r>
    </w:p>
    <w:tbl>
      <w:tblPr>
        <w:tblStyle w:val="TableGrid"/>
        <w:tblW w:w="0" w:type="auto"/>
        <w:tblLayout w:type="fixed"/>
        <w:tblLook w:val="04A0" w:firstRow="1" w:lastRow="0" w:firstColumn="1" w:lastColumn="0" w:noHBand="0" w:noVBand="1"/>
      </w:tblPr>
      <w:tblGrid>
        <w:gridCol w:w="1129"/>
        <w:gridCol w:w="5387"/>
      </w:tblGrid>
      <w:tr w:rsidR="007128DF" w:rsidTr="00A560DD">
        <w:tc>
          <w:tcPr>
            <w:tcW w:w="6516" w:type="dxa"/>
            <w:gridSpan w:val="2"/>
            <w:tcBorders>
              <w:top w:val="single" w:sz="4" w:space="0" w:color="auto"/>
              <w:left w:val="nil"/>
              <w:bottom w:val="nil"/>
              <w:right w:val="nil"/>
            </w:tcBorders>
          </w:tcPr>
          <w:p w:rsidR="007128DF" w:rsidRDefault="007128DF" w:rsidP="00A560DD">
            <w:pPr>
              <w:jc w:val="center"/>
            </w:pPr>
            <w:r>
              <w:t>Forward Primers</w:t>
            </w:r>
          </w:p>
        </w:tc>
      </w:tr>
      <w:tr w:rsidR="007128DF" w:rsidTr="00A560DD">
        <w:tc>
          <w:tcPr>
            <w:tcW w:w="1129" w:type="dxa"/>
            <w:tcBorders>
              <w:top w:val="nil"/>
              <w:left w:val="nil"/>
              <w:bottom w:val="single" w:sz="4" w:space="0" w:color="auto"/>
              <w:right w:val="nil"/>
            </w:tcBorders>
          </w:tcPr>
          <w:p w:rsidR="007128DF" w:rsidRPr="00EB0607" w:rsidRDefault="007128DF" w:rsidP="00A560DD">
            <w:pPr>
              <w:rPr>
                <w:b/>
              </w:rPr>
            </w:pPr>
            <w:r w:rsidRPr="00EB0607">
              <w:rPr>
                <w:b/>
              </w:rPr>
              <w:t>Name</w:t>
            </w:r>
          </w:p>
        </w:tc>
        <w:tc>
          <w:tcPr>
            <w:tcW w:w="5387" w:type="dxa"/>
            <w:tcBorders>
              <w:top w:val="nil"/>
              <w:left w:val="nil"/>
              <w:bottom w:val="single" w:sz="4" w:space="0" w:color="auto"/>
              <w:right w:val="nil"/>
            </w:tcBorders>
          </w:tcPr>
          <w:p w:rsidR="007128DF" w:rsidRPr="00EB0607" w:rsidRDefault="007128DF" w:rsidP="00A560DD">
            <w:pPr>
              <w:rPr>
                <w:b/>
              </w:rPr>
            </w:pPr>
            <w:r w:rsidRPr="00EB0607">
              <w:rPr>
                <w:b/>
              </w:rPr>
              <w:t>Sequence</w:t>
            </w:r>
          </w:p>
        </w:tc>
      </w:tr>
      <w:tr w:rsidR="007128DF" w:rsidTr="00A560DD">
        <w:tc>
          <w:tcPr>
            <w:tcW w:w="1129" w:type="dxa"/>
            <w:tcBorders>
              <w:top w:val="single" w:sz="4" w:space="0" w:color="auto"/>
              <w:left w:val="nil"/>
              <w:bottom w:val="nil"/>
              <w:right w:val="nil"/>
            </w:tcBorders>
          </w:tcPr>
          <w:p w:rsidR="007128DF" w:rsidRDefault="007128DF" w:rsidP="00A560DD">
            <w:r>
              <w:t>mdfA-f1</w:t>
            </w:r>
          </w:p>
        </w:tc>
        <w:tc>
          <w:tcPr>
            <w:tcW w:w="5387" w:type="dxa"/>
            <w:tcBorders>
              <w:top w:val="single" w:sz="4" w:space="0" w:color="auto"/>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TACTTCCAATCCAATGCACAAAATAAATTAGCTTCCGGT</w:t>
            </w:r>
          </w:p>
        </w:tc>
      </w:tr>
      <w:tr w:rsidR="007128DF" w:rsidTr="00A560DD">
        <w:tc>
          <w:tcPr>
            <w:tcW w:w="1129" w:type="dxa"/>
            <w:tcBorders>
              <w:top w:val="nil"/>
              <w:left w:val="nil"/>
              <w:bottom w:val="nil"/>
              <w:right w:val="nil"/>
            </w:tcBorders>
          </w:tcPr>
          <w:p w:rsidR="007128DF" w:rsidRDefault="007128DF" w:rsidP="00A560DD">
            <w:r>
              <w:t>mdtG-f1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TACTTCCAATCCAATGCAGACACCCCTATAAACTGGAAA</w:t>
            </w:r>
          </w:p>
        </w:tc>
      </w:tr>
      <w:tr w:rsidR="007128DF" w:rsidTr="00A560DD">
        <w:tc>
          <w:tcPr>
            <w:tcW w:w="1129" w:type="dxa"/>
            <w:tcBorders>
              <w:top w:val="nil"/>
              <w:left w:val="nil"/>
              <w:bottom w:val="nil"/>
              <w:right w:val="nil"/>
            </w:tcBorders>
          </w:tcPr>
          <w:p w:rsidR="007128DF" w:rsidRDefault="007128DF" w:rsidP="00A560DD">
            <w:r>
              <w:t>amtB-f1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TACTTCCAATCCAATGCAAAGATAGCGACGATAAAAACT</w:t>
            </w:r>
          </w:p>
        </w:tc>
      </w:tr>
      <w:tr w:rsidR="007128DF" w:rsidTr="00A560DD">
        <w:tc>
          <w:tcPr>
            <w:tcW w:w="1129" w:type="dxa"/>
            <w:tcBorders>
              <w:top w:val="nil"/>
              <w:left w:val="nil"/>
              <w:bottom w:val="nil"/>
              <w:right w:val="nil"/>
            </w:tcBorders>
          </w:tcPr>
          <w:p w:rsidR="007128DF" w:rsidRDefault="007128DF" w:rsidP="00A560DD">
            <w:r>
              <w:t>bcr-f1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TACTTCCAATCCAATGCATCGTCGTTTGCTATTGTTTTT</w:t>
            </w:r>
          </w:p>
        </w:tc>
      </w:tr>
      <w:tr w:rsidR="007128DF" w:rsidTr="00A560DD">
        <w:tc>
          <w:tcPr>
            <w:tcW w:w="1129" w:type="dxa"/>
            <w:tcBorders>
              <w:top w:val="nil"/>
              <w:left w:val="nil"/>
              <w:bottom w:val="nil"/>
              <w:right w:val="nil"/>
            </w:tcBorders>
          </w:tcPr>
          <w:p w:rsidR="007128DF" w:rsidRDefault="007128DF" w:rsidP="00A560DD">
            <w:r>
              <w:t>setB-f1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TACTTCCAATCCAATGCAAGCGCGAAATCGTTTGACCTG</w:t>
            </w:r>
          </w:p>
        </w:tc>
      </w:tr>
      <w:tr w:rsidR="007128DF" w:rsidTr="00A560DD">
        <w:tc>
          <w:tcPr>
            <w:tcW w:w="1129" w:type="dxa"/>
            <w:tcBorders>
              <w:top w:val="nil"/>
              <w:left w:val="nil"/>
              <w:bottom w:val="single" w:sz="4" w:space="0" w:color="auto"/>
              <w:right w:val="nil"/>
            </w:tcBorders>
          </w:tcPr>
          <w:p w:rsidR="007128DF" w:rsidRDefault="007128DF" w:rsidP="00A560DD">
            <w:r>
              <w:t>mdtL-f1</w:t>
            </w:r>
          </w:p>
        </w:tc>
        <w:tc>
          <w:tcPr>
            <w:tcW w:w="5387" w:type="dxa"/>
            <w:tcBorders>
              <w:top w:val="nil"/>
              <w:left w:val="nil"/>
              <w:bottom w:val="single" w:sz="4" w:space="0" w:color="auto"/>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TACTTCCAATCCAATGCATCCCGCTTTTTGATTTGTAGT</w:t>
            </w:r>
          </w:p>
        </w:tc>
        <w:bookmarkStart w:id="0" w:name="_GoBack"/>
        <w:bookmarkEnd w:id="0"/>
      </w:tr>
      <w:tr w:rsidR="007128DF" w:rsidTr="00A560DD">
        <w:tc>
          <w:tcPr>
            <w:tcW w:w="6516" w:type="dxa"/>
            <w:gridSpan w:val="2"/>
            <w:tcBorders>
              <w:top w:val="single" w:sz="4" w:space="0" w:color="auto"/>
              <w:left w:val="nil"/>
              <w:bottom w:val="nil"/>
              <w:right w:val="nil"/>
            </w:tcBorders>
          </w:tcPr>
          <w:p w:rsidR="007128DF" w:rsidRDefault="007128DF" w:rsidP="00A560DD">
            <w:pPr>
              <w:jc w:val="center"/>
              <w:rPr>
                <w:rFonts w:ascii="Courier New" w:hAnsi="Courier New" w:cs="Courier New"/>
                <w:color w:val="000000"/>
              </w:rPr>
            </w:pPr>
            <w:r>
              <w:t>Reverse Primers</w:t>
            </w:r>
          </w:p>
        </w:tc>
      </w:tr>
      <w:tr w:rsidR="007128DF" w:rsidTr="00A560DD">
        <w:tc>
          <w:tcPr>
            <w:tcW w:w="1129" w:type="dxa"/>
            <w:tcBorders>
              <w:top w:val="nil"/>
              <w:left w:val="nil"/>
              <w:bottom w:val="single" w:sz="4" w:space="0" w:color="auto"/>
              <w:right w:val="nil"/>
            </w:tcBorders>
          </w:tcPr>
          <w:p w:rsidR="007128DF" w:rsidRPr="00EB0607" w:rsidRDefault="007128DF" w:rsidP="00A560DD">
            <w:pPr>
              <w:rPr>
                <w:b/>
              </w:rPr>
            </w:pPr>
            <w:r w:rsidRPr="00EB0607">
              <w:rPr>
                <w:b/>
              </w:rPr>
              <w:t>Name</w:t>
            </w:r>
          </w:p>
        </w:tc>
        <w:tc>
          <w:tcPr>
            <w:tcW w:w="5387" w:type="dxa"/>
            <w:tcBorders>
              <w:top w:val="nil"/>
              <w:left w:val="nil"/>
              <w:bottom w:val="single" w:sz="4" w:space="0" w:color="auto"/>
              <w:right w:val="nil"/>
            </w:tcBorders>
          </w:tcPr>
          <w:p w:rsidR="007128DF" w:rsidRPr="00EB0607" w:rsidRDefault="007128DF" w:rsidP="00A560DD">
            <w:pPr>
              <w:rPr>
                <w:rFonts w:ascii="Courier New" w:hAnsi="Courier New" w:cs="Courier New"/>
                <w:b/>
                <w:color w:val="000000"/>
              </w:rPr>
            </w:pPr>
            <w:r w:rsidRPr="00EB0607">
              <w:rPr>
                <w:b/>
              </w:rPr>
              <w:t>Sequence</w:t>
            </w:r>
          </w:p>
        </w:tc>
      </w:tr>
      <w:tr w:rsidR="007128DF" w:rsidTr="00A560DD">
        <w:tc>
          <w:tcPr>
            <w:tcW w:w="1129" w:type="dxa"/>
            <w:tcBorders>
              <w:top w:val="single" w:sz="4" w:space="0" w:color="auto"/>
              <w:left w:val="nil"/>
              <w:bottom w:val="nil"/>
              <w:right w:val="nil"/>
            </w:tcBorders>
          </w:tcPr>
          <w:p w:rsidR="007128DF" w:rsidRDefault="007128DF" w:rsidP="00A560DD">
            <w:r>
              <w:t>mdfA-r1</w:t>
            </w:r>
          </w:p>
        </w:tc>
        <w:tc>
          <w:tcPr>
            <w:tcW w:w="5387" w:type="dxa"/>
            <w:tcBorders>
              <w:top w:val="single" w:sz="4" w:space="0" w:color="auto"/>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CTCCCACTACCAATGCCCATCTGTTTATCTTTTAAAAA</w:t>
            </w:r>
          </w:p>
        </w:tc>
      </w:tr>
      <w:tr w:rsidR="007128DF" w:rsidTr="00A560DD">
        <w:tc>
          <w:tcPr>
            <w:tcW w:w="1129" w:type="dxa"/>
            <w:tcBorders>
              <w:top w:val="nil"/>
              <w:left w:val="nil"/>
              <w:bottom w:val="nil"/>
              <w:right w:val="nil"/>
            </w:tcBorders>
          </w:tcPr>
          <w:p w:rsidR="007128DF" w:rsidRDefault="007128DF" w:rsidP="00A560DD">
            <w:r>
              <w:t>mdtG-r1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CTCCCACTACCAATGCCGGGTATTCGACGACGACGTAG</w:t>
            </w:r>
          </w:p>
        </w:tc>
      </w:tr>
      <w:tr w:rsidR="007128DF" w:rsidTr="00A560DD">
        <w:tc>
          <w:tcPr>
            <w:tcW w:w="1129" w:type="dxa"/>
            <w:tcBorders>
              <w:top w:val="nil"/>
              <w:left w:val="nil"/>
              <w:bottom w:val="nil"/>
              <w:right w:val="nil"/>
            </w:tcBorders>
          </w:tcPr>
          <w:p w:rsidR="007128DF" w:rsidRDefault="007128DF" w:rsidP="00A560DD">
            <w:r>
              <w:t>amtB-r1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CTCCCACTACCAATGCCCGCGTTATAGGCATTCTCGCC</w:t>
            </w:r>
          </w:p>
        </w:tc>
      </w:tr>
      <w:tr w:rsidR="007128DF" w:rsidTr="00A560DD">
        <w:tc>
          <w:tcPr>
            <w:tcW w:w="1129" w:type="dxa"/>
            <w:tcBorders>
              <w:top w:val="nil"/>
              <w:left w:val="nil"/>
              <w:bottom w:val="nil"/>
              <w:right w:val="nil"/>
            </w:tcBorders>
          </w:tcPr>
          <w:p w:rsidR="007128DF" w:rsidRDefault="007128DF" w:rsidP="00A560DD">
            <w:r>
              <w:t>bcr-r1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CTCCCACTACCAATGCCCCGTTTTTTCGGCCGACTGGC</w:t>
            </w:r>
          </w:p>
        </w:tc>
      </w:tr>
      <w:tr w:rsidR="007128DF" w:rsidTr="00A560DD">
        <w:tc>
          <w:tcPr>
            <w:tcW w:w="1129" w:type="dxa"/>
            <w:tcBorders>
              <w:top w:val="nil"/>
              <w:left w:val="nil"/>
              <w:bottom w:val="nil"/>
              <w:right w:val="nil"/>
            </w:tcBorders>
          </w:tcPr>
          <w:p w:rsidR="007128DF" w:rsidRDefault="007128DF" w:rsidP="00A560DD">
            <w:r>
              <w:t>setB-r1</w:t>
            </w:r>
          </w:p>
        </w:tc>
        <w:tc>
          <w:tcPr>
            <w:tcW w:w="5387" w:type="dxa"/>
            <w:tcBorders>
              <w:top w:val="nil"/>
              <w:left w:val="nil"/>
              <w:bottom w:val="nil"/>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CTCCCACTACCAATGCCAACATCTTTAATCCGCAGTAA</w:t>
            </w:r>
          </w:p>
        </w:tc>
      </w:tr>
      <w:tr w:rsidR="007128DF" w:rsidTr="00A560DD">
        <w:tc>
          <w:tcPr>
            <w:tcW w:w="1129" w:type="dxa"/>
            <w:tcBorders>
              <w:top w:val="nil"/>
              <w:left w:val="nil"/>
              <w:bottom w:val="single" w:sz="4" w:space="0" w:color="auto"/>
              <w:right w:val="nil"/>
            </w:tcBorders>
          </w:tcPr>
          <w:p w:rsidR="007128DF" w:rsidRDefault="007128DF" w:rsidP="00A560DD">
            <w:r>
              <w:t>mdtL-r1</w:t>
            </w:r>
          </w:p>
        </w:tc>
        <w:tc>
          <w:tcPr>
            <w:tcW w:w="5387" w:type="dxa"/>
            <w:tcBorders>
              <w:top w:val="nil"/>
              <w:left w:val="nil"/>
              <w:bottom w:val="single" w:sz="4" w:space="0" w:color="auto"/>
              <w:right w:val="nil"/>
            </w:tcBorders>
          </w:tcPr>
          <w:p w:rsidR="007128DF" w:rsidRPr="004B354C" w:rsidRDefault="007128DF" w:rsidP="00A560DD">
            <w:pPr>
              <w:rPr>
                <w:rFonts w:ascii="Courier New" w:hAnsi="Courier New" w:cs="Courier New"/>
                <w:color w:val="000000"/>
              </w:rPr>
            </w:pPr>
            <w:r>
              <w:rPr>
                <w:rFonts w:ascii="Courier New" w:hAnsi="Courier New" w:cs="Courier New"/>
                <w:color w:val="000000"/>
              </w:rPr>
              <w:t>CTCCCACTACCAATGCCCGCGACGAACATAATCAGCAA</w:t>
            </w:r>
          </w:p>
        </w:tc>
      </w:tr>
    </w:tbl>
    <w:p w:rsidR="00D87CB8" w:rsidRDefault="00D87CB8"/>
    <w:sectPr w:rsidR="00D87CB8" w:rsidSect="007128D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DF"/>
    <w:rsid w:val="00011171"/>
    <w:rsid w:val="00056390"/>
    <w:rsid w:val="0006685A"/>
    <w:rsid w:val="00093B7A"/>
    <w:rsid w:val="0009434C"/>
    <w:rsid w:val="000B2AE5"/>
    <w:rsid w:val="000D0242"/>
    <w:rsid w:val="000D5AA4"/>
    <w:rsid w:val="000E0415"/>
    <w:rsid w:val="000E475E"/>
    <w:rsid w:val="001248AB"/>
    <w:rsid w:val="00124BFB"/>
    <w:rsid w:val="001832C1"/>
    <w:rsid w:val="001A581B"/>
    <w:rsid w:val="001B1F7D"/>
    <w:rsid w:val="001D5003"/>
    <w:rsid w:val="001E6F31"/>
    <w:rsid w:val="00220AA2"/>
    <w:rsid w:val="00251826"/>
    <w:rsid w:val="00257CF7"/>
    <w:rsid w:val="0026282E"/>
    <w:rsid w:val="00290704"/>
    <w:rsid w:val="002A1F7B"/>
    <w:rsid w:val="002F23CD"/>
    <w:rsid w:val="00316806"/>
    <w:rsid w:val="0033544A"/>
    <w:rsid w:val="00390726"/>
    <w:rsid w:val="003C0825"/>
    <w:rsid w:val="00443E1F"/>
    <w:rsid w:val="0046560A"/>
    <w:rsid w:val="004A52DE"/>
    <w:rsid w:val="004C58EA"/>
    <w:rsid w:val="004E35F4"/>
    <w:rsid w:val="004F131F"/>
    <w:rsid w:val="0050044D"/>
    <w:rsid w:val="00517BE5"/>
    <w:rsid w:val="005348B6"/>
    <w:rsid w:val="00572AF6"/>
    <w:rsid w:val="005972D2"/>
    <w:rsid w:val="005B28F3"/>
    <w:rsid w:val="005D35A8"/>
    <w:rsid w:val="005E6576"/>
    <w:rsid w:val="005F3C51"/>
    <w:rsid w:val="00615F27"/>
    <w:rsid w:val="00616240"/>
    <w:rsid w:val="006219A9"/>
    <w:rsid w:val="00646673"/>
    <w:rsid w:val="006604BC"/>
    <w:rsid w:val="00690B8E"/>
    <w:rsid w:val="006B0FAF"/>
    <w:rsid w:val="006E1716"/>
    <w:rsid w:val="007128DF"/>
    <w:rsid w:val="007412F2"/>
    <w:rsid w:val="007B01E8"/>
    <w:rsid w:val="007D3C33"/>
    <w:rsid w:val="008039B7"/>
    <w:rsid w:val="0081245F"/>
    <w:rsid w:val="0081369E"/>
    <w:rsid w:val="0085154C"/>
    <w:rsid w:val="00865C4F"/>
    <w:rsid w:val="00870DDD"/>
    <w:rsid w:val="008802A0"/>
    <w:rsid w:val="008D1EE7"/>
    <w:rsid w:val="008E2301"/>
    <w:rsid w:val="00904DE3"/>
    <w:rsid w:val="0092764D"/>
    <w:rsid w:val="0093675F"/>
    <w:rsid w:val="00974C2F"/>
    <w:rsid w:val="009933D1"/>
    <w:rsid w:val="009E71A5"/>
    <w:rsid w:val="00A00E23"/>
    <w:rsid w:val="00A135E0"/>
    <w:rsid w:val="00A32FEC"/>
    <w:rsid w:val="00A56246"/>
    <w:rsid w:val="00A64CD1"/>
    <w:rsid w:val="00A85978"/>
    <w:rsid w:val="00AA2097"/>
    <w:rsid w:val="00AE2E81"/>
    <w:rsid w:val="00B92354"/>
    <w:rsid w:val="00BD7C26"/>
    <w:rsid w:val="00C013F4"/>
    <w:rsid w:val="00C10A17"/>
    <w:rsid w:val="00C206D1"/>
    <w:rsid w:val="00C50E8C"/>
    <w:rsid w:val="00CB5778"/>
    <w:rsid w:val="00CC19FF"/>
    <w:rsid w:val="00CF087F"/>
    <w:rsid w:val="00CF193A"/>
    <w:rsid w:val="00D272F5"/>
    <w:rsid w:val="00D51D4B"/>
    <w:rsid w:val="00D87CB8"/>
    <w:rsid w:val="00DC0C24"/>
    <w:rsid w:val="00DD2949"/>
    <w:rsid w:val="00DE6773"/>
    <w:rsid w:val="00E02423"/>
    <w:rsid w:val="00E5320D"/>
    <w:rsid w:val="00E606CB"/>
    <w:rsid w:val="00E95B5A"/>
    <w:rsid w:val="00EA2BE9"/>
    <w:rsid w:val="00EC3855"/>
    <w:rsid w:val="00EE5EBA"/>
    <w:rsid w:val="00F30E6C"/>
    <w:rsid w:val="00F45391"/>
    <w:rsid w:val="00F7086C"/>
    <w:rsid w:val="00FA7B0D"/>
    <w:rsid w:val="00FC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87BEF-97D3-4D4C-AC94-55688D84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8D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28D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28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png"/><Relationship Id="rId12" Type="http://schemas.microsoft.com/office/2007/relationships/hdphoto" Target="media/hdphoto2.wdp"/><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image" Target="media/image1.png"/><Relationship Id="rId9" Type="http://schemas.microsoft.com/office/2007/relationships/hdphoto" Target="media/hdphoto1.wdp"/><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2720</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dc:creator>
  <cp:keywords/>
  <dc:description/>
  <cp:lastModifiedBy>Indhumathi</cp:lastModifiedBy>
  <cp:revision>1</cp:revision>
  <dcterms:created xsi:type="dcterms:W3CDTF">2020-12-02T04:38:00Z</dcterms:created>
  <dcterms:modified xsi:type="dcterms:W3CDTF">2020-12-02T04:38:00Z</dcterms:modified>
</cp:coreProperties>
</file>