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17E" w:rsidRPr="00B62549" w:rsidRDefault="00FB217E" w:rsidP="00FB217E">
      <w:pPr>
        <w:pStyle w:val="Heading1"/>
      </w:pPr>
      <w:bookmarkStart w:id="0" w:name="_GoBack"/>
      <w:bookmarkEnd w:id="0"/>
      <w:r w:rsidRPr="00B62549">
        <w:t>Supplementary Information</w:t>
      </w:r>
    </w:p>
    <w:p w:rsidR="00FB217E" w:rsidRPr="009C1E0F" w:rsidRDefault="00FB217E" w:rsidP="00FB217E">
      <w:pPr>
        <w:pStyle w:val="Caption"/>
        <w:rPr>
          <w:sz w:val="22"/>
          <w:szCs w:val="22"/>
        </w:rPr>
      </w:pPr>
      <w:r w:rsidRPr="00C82A30">
        <w:rPr>
          <w:sz w:val="22"/>
          <w:szCs w:val="22"/>
        </w:rPr>
        <w:t>The OUR analysis previously presented</w:t>
      </w:r>
      <w:r>
        <w:rPr>
          <w:sz w:val="22"/>
          <w:szCs w:val="22"/>
        </w:rPr>
        <w:t xml:space="preserve"> (Figure 6) w</w:t>
      </w:r>
      <w:r w:rsidRPr="00C82A30">
        <w:rPr>
          <w:sz w:val="22"/>
          <w:szCs w:val="22"/>
        </w:rPr>
        <w:t>as</w:t>
      </w:r>
      <w:r w:rsidRPr="00CA4255">
        <w:rPr>
          <w:sz w:val="22"/>
        </w:rPr>
        <w:t xml:space="preserve"> performed using the substrate uptake rate measured during the shake flask </w:t>
      </w:r>
      <w:r>
        <w:rPr>
          <w:sz w:val="22"/>
        </w:rPr>
        <w:t xml:space="preserve">characterization (5 </w:t>
      </w:r>
      <w:proofErr w:type="spellStart"/>
      <w:r>
        <w:rPr>
          <w:sz w:val="22"/>
        </w:rPr>
        <w:t>mmol</w:t>
      </w:r>
      <w:proofErr w:type="spellEnd"/>
      <w:r>
        <w:rPr>
          <w:sz w:val="22"/>
        </w:rPr>
        <w:t xml:space="preserve"> </w:t>
      </w:r>
      <w:proofErr w:type="spellStart"/>
      <w:r>
        <w:rPr>
          <w:sz w:val="22"/>
        </w:rPr>
        <w:t>EG</w:t>
      </w:r>
      <w:proofErr w:type="spellEnd"/>
      <w:r>
        <w:rPr>
          <w:sz w:val="22"/>
        </w:rPr>
        <w:t>/</w:t>
      </w:r>
      <w:proofErr w:type="spellStart"/>
      <w:r>
        <w:rPr>
          <w:sz w:val="22"/>
        </w:rPr>
        <w:t>gDW</w:t>
      </w:r>
      <w:proofErr w:type="spellEnd"/>
      <w:r>
        <w:rPr>
          <w:lang/>
        </w:rPr>
        <w:t>·</w:t>
      </w:r>
      <w:r w:rsidRPr="00CA4255">
        <w:rPr>
          <w:sz w:val="22"/>
        </w:rPr>
        <w:t xml:space="preserve">h; see </w:t>
      </w:r>
      <w:fldSimple w:instr=" REF _Ref49522191 \h  \* MERGEFORMAT ">
        <w:r w:rsidRPr="00713E9B">
          <w:rPr>
            <w:sz w:val="22"/>
          </w:rPr>
          <w:t xml:space="preserve">Figure </w:t>
        </w:r>
        <w:r w:rsidRPr="00713E9B">
          <w:rPr>
            <w:noProof/>
            <w:sz w:val="22"/>
          </w:rPr>
          <w:t>4</w:t>
        </w:r>
      </w:fldSimple>
      <w:r w:rsidRPr="00CA4255">
        <w:rPr>
          <w:sz w:val="22"/>
        </w:rPr>
        <w:t xml:space="preserve">). This analysis was used to select an RQ value that would best support glycolate production in two-stage bioreactors. Testing this strategy </w:t>
      </w:r>
      <w:r w:rsidRPr="00CA4255">
        <w:rPr>
          <w:i/>
          <w:sz w:val="22"/>
        </w:rPr>
        <w:t>in vivo</w:t>
      </w:r>
      <w:r w:rsidRPr="00CA4255">
        <w:rPr>
          <w:sz w:val="22"/>
        </w:rPr>
        <w:t xml:space="preserve"> resulted in the highest glycolate yield and titer of all four bioreactor experiments (0.8 g/g and 10.4 g/L, </w:t>
      </w:r>
      <w:r w:rsidRPr="00737D0E">
        <w:rPr>
          <w:sz w:val="22"/>
        </w:rPr>
        <w:t>respectivel</w:t>
      </w:r>
      <w:r>
        <w:rPr>
          <w:sz w:val="22"/>
        </w:rPr>
        <w:t>y. I</w:t>
      </w:r>
      <w:r w:rsidRPr="00CA4255">
        <w:rPr>
          <w:sz w:val="22"/>
        </w:rPr>
        <w:t>t was observed, however, that the substrate uptake rate</w:t>
      </w:r>
      <w:r>
        <w:rPr>
          <w:sz w:val="22"/>
        </w:rPr>
        <w:t xml:space="preserve"> (SUR)</w:t>
      </w:r>
      <w:r w:rsidRPr="00CA4255">
        <w:rPr>
          <w:sz w:val="22"/>
        </w:rPr>
        <w:t xml:space="preserve"> was significantly reduced during the experimental production stage; </w:t>
      </w:r>
      <w:r>
        <w:rPr>
          <w:sz w:val="22"/>
        </w:rPr>
        <w:t xml:space="preserve">0.7 </w:t>
      </w:r>
      <w:proofErr w:type="spellStart"/>
      <w:r>
        <w:rPr>
          <w:sz w:val="22"/>
        </w:rPr>
        <w:t>mmol</w:t>
      </w:r>
      <w:proofErr w:type="spellEnd"/>
      <w:r>
        <w:rPr>
          <w:sz w:val="22"/>
        </w:rPr>
        <w:t>/</w:t>
      </w:r>
      <w:proofErr w:type="spellStart"/>
      <w:r>
        <w:rPr>
          <w:sz w:val="22"/>
        </w:rPr>
        <w:t>gDW</w:t>
      </w:r>
      <w:proofErr w:type="spellEnd"/>
      <w:r>
        <w:rPr>
          <w:lang/>
        </w:rPr>
        <w:t>·</w:t>
      </w:r>
      <w:r w:rsidRPr="00CA4255">
        <w:rPr>
          <w:sz w:val="22"/>
        </w:rPr>
        <w:t>h compared to</w:t>
      </w:r>
      <w:r>
        <w:rPr>
          <w:sz w:val="22"/>
        </w:rPr>
        <w:t xml:space="preserve"> the value of 5 </w:t>
      </w:r>
      <w:proofErr w:type="spellStart"/>
      <w:r>
        <w:rPr>
          <w:sz w:val="22"/>
        </w:rPr>
        <w:t>mmol</w:t>
      </w:r>
      <w:proofErr w:type="spellEnd"/>
      <w:r>
        <w:rPr>
          <w:sz w:val="22"/>
        </w:rPr>
        <w:t>/</w:t>
      </w:r>
      <w:proofErr w:type="spellStart"/>
      <w:r>
        <w:rPr>
          <w:sz w:val="22"/>
        </w:rPr>
        <w:t>gDW</w:t>
      </w:r>
      <w:proofErr w:type="spellEnd"/>
      <w:r>
        <w:rPr>
          <w:lang/>
        </w:rPr>
        <w:t>·</w:t>
      </w:r>
      <w:r w:rsidRPr="00CA4255">
        <w:rPr>
          <w:sz w:val="22"/>
        </w:rPr>
        <w:t xml:space="preserve">h initially assumed. As the substrate uptake rate is expected to have </w:t>
      </w:r>
      <w:r>
        <w:rPr>
          <w:sz w:val="22"/>
        </w:rPr>
        <w:t>a</w:t>
      </w:r>
      <w:r w:rsidRPr="00CA4255">
        <w:rPr>
          <w:sz w:val="22"/>
        </w:rPr>
        <w:t xml:space="preserve"> measurable effect on the modeling predictions, the OUR analysis was repeated at the </w:t>
      </w:r>
      <w:r>
        <w:rPr>
          <w:sz w:val="22"/>
        </w:rPr>
        <w:t>lower</w:t>
      </w:r>
      <w:r w:rsidRPr="00CA4255">
        <w:rPr>
          <w:sz w:val="22"/>
        </w:rPr>
        <w:t xml:space="preserve"> substrate uptake rate. Upon testing a substrate uptake rate of 0.7 </w:t>
      </w:r>
      <w:proofErr w:type="spellStart"/>
      <w:r>
        <w:rPr>
          <w:sz w:val="22"/>
        </w:rPr>
        <w:t>mmol</w:t>
      </w:r>
      <w:proofErr w:type="spellEnd"/>
      <w:r>
        <w:rPr>
          <w:sz w:val="22"/>
        </w:rPr>
        <w:t>/</w:t>
      </w:r>
      <w:proofErr w:type="spellStart"/>
      <w:r>
        <w:rPr>
          <w:sz w:val="22"/>
        </w:rPr>
        <w:t>gDW</w:t>
      </w:r>
      <w:proofErr w:type="spellEnd"/>
      <w:r>
        <w:rPr>
          <w:lang/>
        </w:rPr>
        <w:t>·</w:t>
      </w:r>
      <w:r w:rsidRPr="00CA4255">
        <w:rPr>
          <w:sz w:val="22"/>
        </w:rPr>
        <w:t xml:space="preserve">h, the </w:t>
      </w:r>
      <w:proofErr w:type="spellStart"/>
      <w:r w:rsidRPr="00CA4255">
        <w:rPr>
          <w:sz w:val="22"/>
        </w:rPr>
        <w:t>FBA</w:t>
      </w:r>
      <w:proofErr w:type="spellEnd"/>
      <w:r w:rsidRPr="00CA4255">
        <w:rPr>
          <w:sz w:val="22"/>
        </w:rPr>
        <w:t xml:space="preserve"> solution became infeasible as the rate of substrate provision was not high enough to meet the non-growth associated ATP maintenance (NGA ATPM) requirements set by the model</w:t>
      </w:r>
      <w:r>
        <w:rPr>
          <w:sz w:val="22"/>
        </w:rPr>
        <w:t xml:space="preserve"> (8.39 </w:t>
      </w:r>
      <w:proofErr w:type="spellStart"/>
      <w:r>
        <w:rPr>
          <w:sz w:val="22"/>
        </w:rPr>
        <w:t>mmol</w:t>
      </w:r>
      <w:proofErr w:type="spellEnd"/>
      <w:r>
        <w:rPr>
          <w:sz w:val="22"/>
        </w:rPr>
        <w:t xml:space="preserve"> ATP/</w:t>
      </w:r>
      <w:proofErr w:type="spellStart"/>
      <w:r>
        <w:rPr>
          <w:sz w:val="22"/>
        </w:rPr>
        <w:t>gDW</w:t>
      </w:r>
      <w:proofErr w:type="spellEnd"/>
      <w:r>
        <w:rPr>
          <w:lang/>
        </w:rPr>
        <w:t>·</w:t>
      </w:r>
      <w:r>
        <w:rPr>
          <w:sz w:val="22"/>
        </w:rPr>
        <w:t>h).</w:t>
      </w:r>
    </w:p>
    <w:p w:rsidR="00FB217E" w:rsidRDefault="00FB217E" w:rsidP="00FB217E">
      <w:pPr>
        <w:pStyle w:val="Caption"/>
        <w:rPr>
          <w:sz w:val="22"/>
        </w:rPr>
      </w:pPr>
      <w:r w:rsidRPr="00CA4255">
        <w:rPr>
          <w:sz w:val="22"/>
        </w:rPr>
        <w:t xml:space="preserve">It has been shown experimentally, that the ATP maintenance requirements of </w:t>
      </w:r>
      <w:r w:rsidRPr="00CA4255">
        <w:rPr>
          <w:i/>
          <w:sz w:val="22"/>
        </w:rPr>
        <w:t xml:space="preserve">E. coli </w:t>
      </w:r>
      <w:r w:rsidRPr="00CA4255">
        <w:rPr>
          <w:sz w:val="22"/>
        </w:rPr>
        <w:t>can vary under different conditions, and in particular, the NGA ATPM is expected to decrease under conditions of carbon starvation</w:t>
      </w:r>
      <w:r>
        <w:rPr>
          <w:sz w:val="22"/>
        </w:rPr>
        <w:t xml:space="preserve"> (1)</w:t>
      </w:r>
      <w:r w:rsidR="00E53647" w:rsidRPr="00CA4255">
        <w:rPr>
          <w:sz w:val="22"/>
        </w:rPr>
        <w:fldChar w:fldCharType="begin" w:fldLock="1"/>
      </w:r>
      <w:r w:rsidRPr="00CA4255">
        <w:rPr>
          <w:sz w:val="22"/>
        </w:rPr>
        <w:instrText>ADDIN CSL_CITATION {"citationItems":[{"id":"ITEM-1","itemData":{"DOI":"10.15252/msb.20209478","ISSN":"1744-4292","PMID":"32500952","abstract":"Fitness of bacteria is determined both by how fast cells grow when nutrients are abundant and by how well they survive when conditions worsen. Here, we study how prior growth conditions affect the death rate of Escherichia coli during carbon starvation. We control the growth rate prior to starvation either via the carbon source or via a carbon-limited chemostat. We find a consistent dependence where death rate depends on the prior growth conditions only via the growth rate, with slower growth leading to exponentially slower death. Breaking down the observed death rate into two factors, maintenance rate and recycling yield, reveals that slower growing cells display a decreased maintenance rate per cell volume during starvation, thereby decreasing their death rate. In contrast, the ability to scavenge nutrients from carcasses of dead cells (recycling yield) remains constant. Our results suggest a physiological trade-off between rapid proliferation and long survival. We explore the implications of this trade-off within a mathematical model, which can rationalize the observation that bacteria outside of lab environments are not optimized for fast growth.","author":[{"dropping-particle":"","family":"Biselli","given":"Elena","non-dropping-particle":"","parse-names":false,"suffix":""},{"dropping-particle":"","family":"Schink","given":"Severin Josef","non-dropping-particle":"","parse-names":false,"suffix":""},{"dropping-particle":"","family":"Gerland","given":"Ulrich","non-dropping-particle":"","parse-names":false,"suffix":""}],"container-title":"Molecular Systems Biology","id":"ITEM-1","issue":"6","issued":{"date-parts":[["2020"]]},"page":"1-13","title":" Slower growth of Escherichia coli leads to longer survival in carbon starvation due to a decrease in the maintenance rate ","type":"article-journal","volume":"16"},"uris":["http://www.mendeley.com/documents/?uuid=74f217c2-f0e5-45c7-b145-0f78f757aea4"]}],"mendeley":{"formattedCitation":"(50)","plainTextFormattedCitation":"(50)","previouslyFormattedCitation":"(50)"},"properties":{"noteIndex":0},"schema":"https://github.com/citation-style-language/schema/raw/master/csl-citation.json"}</w:instrText>
      </w:r>
      <w:r w:rsidR="00E53647" w:rsidRPr="00CA4255">
        <w:rPr>
          <w:sz w:val="22"/>
        </w:rPr>
        <w:fldChar w:fldCharType="end"/>
      </w:r>
      <w:r w:rsidRPr="00CA4255">
        <w:rPr>
          <w:sz w:val="22"/>
        </w:rPr>
        <w:t xml:space="preserve">. Arguably, we stipulate that oxygen starvation could also lead to similar reductions in the NGA ATPM. </w:t>
      </w:r>
      <w:r w:rsidRPr="000407C2">
        <w:rPr>
          <w:sz w:val="22"/>
        </w:rPr>
        <w:t xml:space="preserve">Further, since </w:t>
      </w:r>
      <w:r>
        <w:rPr>
          <w:sz w:val="22"/>
        </w:rPr>
        <w:t>the</w:t>
      </w:r>
      <w:r w:rsidRPr="000407C2">
        <w:rPr>
          <w:sz w:val="22"/>
        </w:rPr>
        <w:t xml:space="preserve"> iAF1260 genome scale mo</w:t>
      </w:r>
      <w:r>
        <w:rPr>
          <w:sz w:val="22"/>
        </w:rPr>
        <w:t>del was first published,</w:t>
      </w:r>
      <w:r w:rsidRPr="000407C2">
        <w:rPr>
          <w:sz w:val="22"/>
        </w:rPr>
        <w:t xml:space="preserve"> more recent studies have </w:t>
      </w:r>
      <w:r>
        <w:rPr>
          <w:sz w:val="22"/>
        </w:rPr>
        <w:t xml:space="preserve">also </w:t>
      </w:r>
      <w:r w:rsidRPr="000407C2">
        <w:rPr>
          <w:sz w:val="22"/>
        </w:rPr>
        <w:t xml:space="preserve">reported lower NGA ATPM values for </w:t>
      </w:r>
      <w:r w:rsidRPr="000407C2">
        <w:rPr>
          <w:i/>
          <w:sz w:val="22"/>
        </w:rPr>
        <w:t>E. coli</w:t>
      </w:r>
      <w:r w:rsidRPr="000407C2">
        <w:rPr>
          <w:sz w:val="22"/>
        </w:rPr>
        <w:t xml:space="preserve"> </w:t>
      </w:r>
      <w:r>
        <w:rPr>
          <w:sz w:val="22"/>
        </w:rPr>
        <w:t xml:space="preserve">under fed conditions, </w:t>
      </w:r>
      <w:r w:rsidRPr="000407C2">
        <w:rPr>
          <w:sz w:val="22"/>
        </w:rPr>
        <w:t xml:space="preserve">such as the value of 3.2 </w:t>
      </w:r>
      <w:proofErr w:type="spellStart"/>
      <w:r w:rsidRPr="000407C2">
        <w:rPr>
          <w:sz w:val="22"/>
        </w:rPr>
        <w:t>mmol</w:t>
      </w:r>
      <w:proofErr w:type="spellEnd"/>
      <w:r w:rsidRPr="000407C2">
        <w:rPr>
          <w:sz w:val="22"/>
        </w:rPr>
        <w:t xml:space="preserve"> ATP/</w:t>
      </w:r>
      <w:proofErr w:type="spellStart"/>
      <w:r w:rsidRPr="000407C2">
        <w:rPr>
          <w:sz w:val="22"/>
        </w:rPr>
        <w:t>gDW</w:t>
      </w:r>
      <w:proofErr w:type="spellEnd"/>
      <w:r w:rsidRPr="000407C2">
        <w:rPr>
          <w:lang/>
        </w:rPr>
        <w:t>·</w:t>
      </w:r>
      <w:r w:rsidRPr="000407C2">
        <w:rPr>
          <w:sz w:val="22"/>
        </w:rPr>
        <w:t xml:space="preserve">h reported by </w:t>
      </w:r>
      <w:proofErr w:type="spellStart"/>
      <w:r w:rsidRPr="000407C2">
        <w:rPr>
          <w:sz w:val="22"/>
        </w:rPr>
        <w:t>Taymaz-Nikerel</w:t>
      </w:r>
      <w:proofErr w:type="spellEnd"/>
      <w:r w:rsidRPr="000407C2">
        <w:rPr>
          <w:sz w:val="22"/>
        </w:rPr>
        <w:t xml:space="preserve"> and colleagues</w:t>
      </w:r>
      <w:r>
        <w:rPr>
          <w:sz w:val="22"/>
        </w:rPr>
        <w:t xml:space="preserve"> (2)</w:t>
      </w:r>
      <w:r w:rsidRPr="000407C2">
        <w:rPr>
          <w:sz w:val="22"/>
        </w:rPr>
        <w:t>.</w:t>
      </w:r>
      <w:r w:rsidRPr="00CA4255">
        <w:rPr>
          <w:sz w:val="22"/>
        </w:rPr>
        <w:t xml:space="preserve"> </w:t>
      </w:r>
      <w:r w:rsidRPr="00560C81">
        <w:rPr>
          <w:sz w:val="22"/>
        </w:rPr>
        <w:t xml:space="preserve">In light of these considerations, the OUR analysis was repeated at the reduced substrate uptake rate of 0.7 </w:t>
      </w:r>
      <w:proofErr w:type="spellStart"/>
      <w:r w:rsidRPr="00560C81">
        <w:rPr>
          <w:sz w:val="22"/>
        </w:rPr>
        <w:t>mmol</w:t>
      </w:r>
      <w:proofErr w:type="spellEnd"/>
      <w:r w:rsidRPr="00560C81">
        <w:rPr>
          <w:sz w:val="22"/>
        </w:rPr>
        <w:t>/</w:t>
      </w:r>
      <w:proofErr w:type="spellStart"/>
      <w:r w:rsidRPr="00560C81">
        <w:rPr>
          <w:sz w:val="22"/>
        </w:rPr>
        <w:t>gDW</w:t>
      </w:r>
      <w:proofErr w:type="spellEnd"/>
      <w:r w:rsidRPr="00560C81">
        <w:rPr>
          <w:lang/>
        </w:rPr>
        <w:t>·</w:t>
      </w:r>
      <w:r w:rsidRPr="00560C81">
        <w:rPr>
          <w:sz w:val="22"/>
        </w:rPr>
        <w:t xml:space="preserve">h, at three lower NGA ATPM values (3.2 </w:t>
      </w:r>
      <w:proofErr w:type="spellStart"/>
      <w:r w:rsidRPr="00560C81">
        <w:rPr>
          <w:sz w:val="22"/>
        </w:rPr>
        <w:t>mmol</w:t>
      </w:r>
      <w:proofErr w:type="spellEnd"/>
      <w:r w:rsidRPr="00560C81">
        <w:rPr>
          <w:sz w:val="22"/>
        </w:rPr>
        <w:t xml:space="preserve"> ATP/</w:t>
      </w:r>
      <w:proofErr w:type="spellStart"/>
      <w:r w:rsidRPr="00560C81">
        <w:rPr>
          <w:sz w:val="22"/>
        </w:rPr>
        <w:t>gDW</w:t>
      </w:r>
      <w:proofErr w:type="spellEnd"/>
      <w:r w:rsidRPr="00560C81">
        <w:rPr>
          <w:lang/>
        </w:rPr>
        <w:t>·</w:t>
      </w:r>
      <w:r w:rsidRPr="00560C81">
        <w:rPr>
          <w:sz w:val="22"/>
        </w:rPr>
        <w:t>h ± 50%). At these lower NGA ATPM flux values, the solution is feasible</w:t>
      </w:r>
      <w:r>
        <w:rPr>
          <w:sz w:val="22"/>
        </w:rPr>
        <w:t xml:space="preserve"> and t</w:t>
      </w:r>
      <w:r w:rsidRPr="00560C81">
        <w:rPr>
          <w:sz w:val="22"/>
        </w:rPr>
        <w:t xml:space="preserve">he results from this analysis are shown in </w:t>
      </w:r>
      <w:r w:rsidRPr="00B62549">
        <w:rPr>
          <w:sz w:val="22"/>
        </w:rPr>
        <w:t>Supplementary Figure 1B-D</w:t>
      </w:r>
      <w:r w:rsidRPr="00560C81">
        <w:rPr>
          <w:sz w:val="22"/>
        </w:rPr>
        <w:t xml:space="preserve"> below.</w:t>
      </w:r>
      <w:r>
        <w:rPr>
          <w:sz w:val="22"/>
        </w:rPr>
        <w:t xml:space="preserve"> For comparison, the non-normalized results for the analysis performed in Figure 6 (SUR of 5 </w:t>
      </w:r>
      <w:proofErr w:type="spellStart"/>
      <w:r>
        <w:rPr>
          <w:sz w:val="22"/>
        </w:rPr>
        <w:t>mmol</w:t>
      </w:r>
      <w:proofErr w:type="spellEnd"/>
      <w:r>
        <w:rPr>
          <w:sz w:val="22"/>
        </w:rPr>
        <w:t>/</w:t>
      </w:r>
      <w:proofErr w:type="spellStart"/>
      <w:r>
        <w:rPr>
          <w:sz w:val="22"/>
        </w:rPr>
        <w:t>gDW</w:t>
      </w:r>
      <w:proofErr w:type="spellEnd"/>
      <w:r w:rsidRPr="00560C81">
        <w:rPr>
          <w:lang/>
        </w:rPr>
        <w:t>·</w:t>
      </w:r>
      <w:r>
        <w:rPr>
          <w:sz w:val="22"/>
        </w:rPr>
        <w:t xml:space="preserve">h and </w:t>
      </w:r>
      <w:proofErr w:type="spellStart"/>
      <w:r>
        <w:rPr>
          <w:sz w:val="22"/>
        </w:rPr>
        <w:t>NGA</w:t>
      </w:r>
      <w:proofErr w:type="spellEnd"/>
      <w:r>
        <w:rPr>
          <w:sz w:val="22"/>
        </w:rPr>
        <w:t xml:space="preserve"> </w:t>
      </w:r>
      <w:proofErr w:type="spellStart"/>
      <w:r>
        <w:rPr>
          <w:sz w:val="22"/>
        </w:rPr>
        <w:t>ATPM</w:t>
      </w:r>
      <w:proofErr w:type="spellEnd"/>
      <w:r>
        <w:rPr>
          <w:sz w:val="22"/>
        </w:rPr>
        <w:t xml:space="preserve"> of 8.39 </w:t>
      </w:r>
      <w:proofErr w:type="spellStart"/>
      <w:r>
        <w:rPr>
          <w:sz w:val="22"/>
        </w:rPr>
        <w:t>mmol</w:t>
      </w:r>
      <w:proofErr w:type="spellEnd"/>
      <w:r>
        <w:rPr>
          <w:sz w:val="22"/>
        </w:rPr>
        <w:t>/</w:t>
      </w:r>
      <w:proofErr w:type="spellStart"/>
      <w:r>
        <w:rPr>
          <w:sz w:val="22"/>
        </w:rPr>
        <w:t>gDW</w:t>
      </w:r>
      <w:proofErr w:type="spellEnd"/>
      <w:r w:rsidRPr="00560C81">
        <w:rPr>
          <w:lang/>
        </w:rPr>
        <w:t>·</w:t>
      </w:r>
      <w:r>
        <w:rPr>
          <w:sz w:val="22"/>
        </w:rPr>
        <w:t xml:space="preserve">h) were also </w:t>
      </w:r>
      <w:r w:rsidRPr="00B62549">
        <w:rPr>
          <w:sz w:val="22"/>
        </w:rPr>
        <w:t>included (Supplementary Figure 1A</w:t>
      </w:r>
      <w:r>
        <w:rPr>
          <w:sz w:val="22"/>
        </w:rPr>
        <w:t>).</w:t>
      </w:r>
      <w:r w:rsidRPr="00560C81">
        <w:rPr>
          <w:sz w:val="22"/>
        </w:rPr>
        <w:t xml:space="preserve"> </w:t>
      </w:r>
      <w:r w:rsidRPr="00013170">
        <w:rPr>
          <w:sz w:val="22"/>
        </w:rPr>
        <w:t>It should be noted that in cases where the NGA ATPM was reduced, the growth-associated ATP maintenance remained unchanged. This is not expected to significantly change the results as the growth rate was near-zero in all three cases.</w:t>
      </w:r>
      <w:r>
        <w:rPr>
          <w:sz w:val="22"/>
        </w:rPr>
        <w:t xml:space="preserve"> </w:t>
      </w:r>
    </w:p>
    <w:p w:rsidR="00FB217E" w:rsidRDefault="00FB217E" w:rsidP="00FB217E">
      <w:pPr>
        <w:pStyle w:val="Caption"/>
        <w:rPr>
          <w:sz w:val="22"/>
        </w:rPr>
      </w:pPr>
      <w:r>
        <w:rPr>
          <w:sz w:val="22"/>
        </w:rPr>
        <w:t>In order to compare the model predictions for all four SUR and NGA ATPM scenarios, the yields</w:t>
      </w:r>
      <w:r w:rsidRPr="00CA4255">
        <w:rPr>
          <w:sz w:val="22"/>
        </w:rPr>
        <w:t xml:space="preserve"> predicted </w:t>
      </w:r>
      <w:r>
        <w:rPr>
          <w:sz w:val="22"/>
        </w:rPr>
        <w:t xml:space="preserve">by each at an RQ of 0.4 were determined and are shown in Supplementary Figure 1. Unlike at the higher SUR of 5 </w:t>
      </w:r>
      <w:proofErr w:type="spellStart"/>
      <w:r>
        <w:rPr>
          <w:sz w:val="22"/>
        </w:rPr>
        <w:t>mmol</w:t>
      </w:r>
      <w:proofErr w:type="spellEnd"/>
      <w:r w:rsidRPr="00CA4255">
        <w:rPr>
          <w:sz w:val="22"/>
        </w:rPr>
        <w:t>/</w:t>
      </w:r>
      <w:proofErr w:type="spellStart"/>
      <w:r w:rsidRPr="00CA4255">
        <w:rPr>
          <w:sz w:val="22"/>
        </w:rPr>
        <w:t>gDW</w:t>
      </w:r>
      <w:proofErr w:type="spellEnd"/>
      <w:r>
        <w:rPr>
          <w:lang/>
        </w:rPr>
        <w:t>·</w:t>
      </w:r>
      <w:r w:rsidRPr="00CA4255">
        <w:rPr>
          <w:sz w:val="22"/>
        </w:rPr>
        <w:t>h</w:t>
      </w:r>
      <w:r>
        <w:rPr>
          <w:sz w:val="22"/>
        </w:rPr>
        <w:t xml:space="preserve">, the growth rates predicted at an SUR of 0.7 </w:t>
      </w:r>
      <w:proofErr w:type="spellStart"/>
      <w:r>
        <w:rPr>
          <w:sz w:val="22"/>
        </w:rPr>
        <w:t>mmol</w:t>
      </w:r>
      <w:proofErr w:type="spellEnd"/>
      <w:r>
        <w:rPr>
          <w:sz w:val="22"/>
        </w:rPr>
        <w:t>/</w:t>
      </w:r>
      <w:proofErr w:type="spellStart"/>
      <w:r>
        <w:rPr>
          <w:sz w:val="22"/>
        </w:rPr>
        <w:t>gDW</w:t>
      </w:r>
      <w:proofErr w:type="spellEnd"/>
      <w:r w:rsidRPr="00560C81">
        <w:rPr>
          <w:lang/>
        </w:rPr>
        <w:t>·</w:t>
      </w:r>
      <w:r>
        <w:rPr>
          <w:sz w:val="22"/>
        </w:rPr>
        <w:t>h are consistently near zero (Supplementary Figure 1B-D),</w:t>
      </w:r>
      <w:r w:rsidRPr="00CA4255">
        <w:rPr>
          <w:sz w:val="22"/>
        </w:rPr>
        <w:t xml:space="preserve"> as was observed experimentally during the </w:t>
      </w:r>
      <w:r>
        <w:rPr>
          <w:sz w:val="22"/>
        </w:rPr>
        <w:t>corresponding</w:t>
      </w:r>
      <w:r w:rsidRPr="00737D0E">
        <w:rPr>
          <w:sz w:val="22"/>
        </w:rPr>
        <w:t xml:space="preserve"> </w:t>
      </w:r>
      <w:r w:rsidRPr="00CA4255">
        <w:rPr>
          <w:sz w:val="22"/>
        </w:rPr>
        <w:t>bioreactor production phase</w:t>
      </w:r>
      <w:r>
        <w:rPr>
          <w:sz w:val="22"/>
        </w:rPr>
        <w:t xml:space="preserve"> (Figure 7B). Of the three reduced NGA ATPM values tested</w:t>
      </w:r>
      <w:r w:rsidRPr="00CA4255">
        <w:rPr>
          <w:sz w:val="22"/>
        </w:rPr>
        <w:t xml:space="preserve">, the glycolate yield predicted at </w:t>
      </w:r>
      <w:r>
        <w:rPr>
          <w:sz w:val="22"/>
        </w:rPr>
        <w:t xml:space="preserve">a NGA </w:t>
      </w:r>
      <w:proofErr w:type="spellStart"/>
      <w:r>
        <w:rPr>
          <w:sz w:val="22"/>
        </w:rPr>
        <w:t>ATPM</w:t>
      </w:r>
      <w:proofErr w:type="spellEnd"/>
      <w:r>
        <w:rPr>
          <w:sz w:val="22"/>
        </w:rPr>
        <w:t xml:space="preserve"> of 3.2 </w:t>
      </w:r>
      <w:proofErr w:type="spellStart"/>
      <w:r>
        <w:rPr>
          <w:sz w:val="22"/>
        </w:rPr>
        <w:t>mmol</w:t>
      </w:r>
      <w:proofErr w:type="spellEnd"/>
      <w:r>
        <w:rPr>
          <w:sz w:val="22"/>
        </w:rPr>
        <w:t>/</w:t>
      </w:r>
      <w:proofErr w:type="spellStart"/>
      <w:r>
        <w:rPr>
          <w:sz w:val="22"/>
        </w:rPr>
        <w:t>gDW</w:t>
      </w:r>
      <w:proofErr w:type="spellEnd"/>
      <w:r w:rsidRPr="00560C81">
        <w:rPr>
          <w:lang/>
        </w:rPr>
        <w:t>·</w:t>
      </w:r>
      <w:r>
        <w:rPr>
          <w:sz w:val="22"/>
        </w:rPr>
        <w:t>h is most closely aligned with the yield that was observed</w:t>
      </w:r>
      <w:r w:rsidRPr="00CA4255">
        <w:rPr>
          <w:sz w:val="22"/>
        </w:rPr>
        <w:t xml:space="preserve"> experimentally </w:t>
      </w:r>
      <w:r>
        <w:rPr>
          <w:sz w:val="22"/>
        </w:rPr>
        <w:t>(0.65 mol/mol predicted compared to</w:t>
      </w:r>
      <w:r w:rsidRPr="00CA4255">
        <w:rPr>
          <w:sz w:val="22"/>
        </w:rPr>
        <w:t xml:space="preserve"> 0.66 mol/mol</w:t>
      </w:r>
      <w:r>
        <w:rPr>
          <w:sz w:val="22"/>
        </w:rPr>
        <w:t xml:space="preserve"> measured). </w:t>
      </w:r>
      <w:r w:rsidRPr="00CA4255">
        <w:rPr>
          <w:sz w:val="22"/>
        </w:rPr>
        <w:t xml:space="preserve">While we </w:t>
      </w:r>
      <w:r>
        <w:rPr>
          <w:sz w:val="22"/>
        </w:rPr>
        <w:t xml:space="preserve">also </w:t>
      </w:r>
      <w:r w:rsidRPr="00CA4255">
        <w:rPr>
          <w:sz w:val="22"/>
        </w:rPr>
        <w:t>cannot conclusively say that the NGA ATPM was exactly 3.</w:t>
      </w:r>
      <w:r>
        <w:rPr>
          <w:sz w:val="22"/>
        </w:rPr>
        <w:t>2</w:t>
      </w:r>
      <w:r w:rsidRPr="00CA4255">
        <w:rPr>
          <w:sz w:val="22"/>
        </w:rPr>
        <w:t xml:space="preserve"> </w:t>
      </w:r>
      <w:proofErr w:type="spellStart"/>
      <w:r w:rsidRPr="00CA4255">
        <w:rPr>
          <w:sz w:val="22"/>
        </w:rPr>
        <w:t>mmol</w:t>
      </w:r>
      <w:proofErr w:type="spellEnd"/>
      <w:r w:rsidRPr="00CA4255">
        <w:rPr>
          <w:sz w:val="22"/>
        </w:rPr>
        <w:t>/</w:t>
      </w:r>
      <w:proofErr w:type="spellStart"/>
      <w:r w:rsidRPr="00CA4255">
        <w:rPr>
          <w:sz w:val="22"/>
        </w:rPr>
        <w:t>gDWh</w:t>
      </w:r>
      <w:proofErr w:type="spellEnd"/>
      <w:r w:rsidRPr="00CA4255">
        <w:rPr>
          <w:sz w:val="22"/>
        </w:rPr>
        <w:t xml:space="preserve">, </w:t>
      </w:r>
      <w:r>
        <w:rPr>
          <w:sz w:val="22"/>
        </w:rPr>
        <w:t>the</w:t>
      </w:r>
      <w:r w:rsidRPr="00CA4255">
        <w:rPr>
          <w:sz w:val="22"/>
        </w:rPr>
        <w:t xml:space="preserve"> results</w:t>
      </w:r>
      <w:r>
        <w:rPr>
          <w:sz w:val="22"/>
        </w:rPr>
        <w:t xml:space="preserve"> do</w:t>
      </w:r>
      <w:r w:rsidRPr="00CA4255">
        <w:rPr>
          <w:sz w:val="22"/>
        </w:rPr>
        <w:t xml:space="preserve"> suggest that the cells were likely operating at a NGA ATPM lower than the value initially assumed in the model (8.39 </w:t>
      </w:r>
      <w:proofErr w:type="spellStart"/>
      <w:r w:rsidRPr="00CA4255">
        <w:rPr>
          <w:sz w:val="22"/>
        </w:rPr>
        <w:t>mmol</w:t>
      </w:r>
      <w:proofErr w:type="spellEnd"/>
      <w:r w:rsidRPr="00CA4255">
        <w:rPr>
          <w:sz w:val="22"/>
        </w:rPr>
        <w:t>/</w:t>
      </w:r>
      <w:proofErr w:type="spellStart"/>
      <w:r w:rsidRPr="00CA4255">
        <w:rPr>
          <w:sz w:val="22"/>
        </w:rPr>
        <w:t>gD</w:t>
      </w:r>
      <w:r>
        <w:rPr>
          <w:sz w:val="22"/>
        </w:rPr>
        <w:t>W</w:t>
      </w:r>
      <w:proofErr w:type="spellEnd"/>
      <w:r>
        <w:rPr>
          <w:lang/>
        </w:rPr>
        <w:t>·</w:t>
      </w:r>
      <w:r w:rsidRPr="00CA4255">
        <w:rPr>
          <w:sz w:val="22"/>
        </w:rPr>
        <w:t>h</w:t>
      </w:r>
      <w:r>
        <w:rPr>
          <w:sz w:val="22"/>
        </w:rPr>
        <w:t xml:space="preserve">). As a consequence, these results also suggest </w:t>
      </w:r>
      <w:r w:rsidRPr="007F7BB8">
        <w:rPr>
          <w:sz w:val="22"/>
        </w:rPr>
        <w:t>that the oxygen uptake rate (OUR) was lower than initially predicted for an RQ of 0.4</w:t>
      </w:r>
      <w:r>
        <w:rPr>
          <w:sz w:val="22"/>
        </w:rPr>
        <w:t xml:space="preserve"> and</w:t>
      </w:r>
      <w:r w:rsidRPr="007F7BB8">
        <w:rPr>
          <w:sz w:val="22"/>
        </w:rPr>
        <w:t xml:space="preserve"> the higher SUR. These results</w:t>
      </w:r>
      <w:r w:rsidRPr="00CA4255">
        <w:rPr>
          <w:sz w:val="22"/>
        </w:rPr>
        <w:t xml:space="preserve"> demonstrate the importance of refining models as more experimental data becomes available.</w:t>
      </w:r>
    </w:p>
    <w:p w:rsidR="00FB217E" w:rsidRDefault="00FB217E" w:rsidP="00FB217E">
      <w:pPr>
        <w:pStyle w:val="ListParagraph"/>
        <w:widowControl w:val="0"/>
        <w:numPr>
          <w:ilvl w:val="0"/>
          <w:numId w:val="2"/>
        </w:numPr>
        <w:autoSpaceDE w:val="0"/>
        <w:autoSpaceDN w:val="0"/>
        <w:adjustRightInd w:val="0"/>
        <w:spacing w:before="240" w:after="0"/>
        <w:rPr>
          <w:rFonts w:cs="Times New Roman"/>
          <w:noProof/>
          <w:sz w:val="24"/>
          <w:szCs w:val="24"/>
        </w:rPr>
      </w:pPr>
      <w:r w:rsidRPr="00FB217E">
        <w:rPr>
          <w:rFonts w:cs="Times New Roman"/>
          <w:noProof/>
          <w:sz w:val="24"/>
          <w:szCs w:val="24"/>
        </w:rPr>
        <w:t xml:space="preserve">Biselli E, Schink SJ, Gerland U.  Slower growth of Escherichia coli leads to longer survival in carbon starvation due to a decrease in the maintenance rate . Mol Syst Biol. 2020;16(6):1–13. </w:t>
      </w:r>
    </w:p>
    <w:p w:rsidR="00FB217E" w:rsidRPr="00FB217E" w:rsidRDefault="00FB217E" w:rsidP="00FB217E">
      <w:pPr>
        <w:pStyle w:val="ListParagraph"/>
        <w:widowControl w:val="0"/>
        <w:numPr>
          <w:ilvl w:val="0"/>
          <w:numId w:val="2"/>
        </w:numPr>
        <w:autoSpaceDE w:val="0"/>
        <w:autoSpaceDN w:val="0"/>
        <w:adjustRightInd w:val="0"/>
        <w:spacing w:before="240" w:after="0"/>
        <w:rPr>
          <w:rFonts w:cs="Times New Roman"/>
          <w:noProof/>
          <w:sz w:val="24"/>
          <w:szCs w:val="24"/>
        </w:rPr>
      </w:pPr>
      <w:r w:rsidRPr="00FB217E">
        <w:rPr>
          <w:rFonts w:cs="Times New Roman"/>
          <w:noProof/>
          <w:sz w:val="24"/>
          <w:szCs w:val="24"/>
        </w:rPr>
        <w:t>Taymaz-Nikerel H, Borujeni AE, Verheijen PJT, Heijnen JJ, van Gulik WM. Genome-derived minimal metabolic models for Escherichia coli MG1655 with estimated in vivo respiratory ATP stoichiometry. Biotechnol Bioeng. 2010;107(2).</w:t>
      </w:r>
    </w:p>
    <w:p w:rsidR="00FB217E" w:rsidRPr="00FB217E" w:rsidRDefault="00FB217E" w:rsidP="00FB217E">
      <w:pPr>
        <w:rPr>
          <w:lang w:val="en-US" w:eastAsia="en-CA"/>
        </w:rPr>
      </w:pPr>
    </w:p>
    <w:p w:rsidR="00FB217E" w:rsidRDefault="00FB217E" w:rsidP="00FB217E">
      <w:pPr>
        <w:pStyle w:val="Caption"/>
      </w:pPr>
      <w:r>
        <w:rPr>
          <w:b/>
          <w:noProof/>
          <w:lang w:val="en-IN" w:eastAsia="en-IN"/>
        </w:rPr>
        <w:lastRenderedPageBreak/>
        <w:drawing>
          <wp:inline distT="0" distB="0" distL="0" distR="0">
            <wp:extent cx="5943600" cy="3838575"/>
            <wp:effectExtent l="0" t="0" r="0" b="9525"/>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3838575"/>
                    </a:xfrm>
                    <a:prstGeom prst="rect">
                      <a:avLst/>
                    </a:prstGeom>
                  </pic:spPr>
                </pic:pic>
              </a:graphicData>
            </a:graphic>
          </wp:inline>
        </w:drawing>
      </w:r>
      <w:r>
        <w:rPr>
          <w:b/>
        </w:rPr>
        <w:t xml:space="preserve">Supplementary </w:t>
      </w:r>
      <w:r w:rsidRPr="00151A9B">
        <w:rPr>
          <w:b/>
        </w:rPr>
        <w:t xml:space="preserve">Figure </w:t>
      </w:r>
      <w:r>
        <w:rPr>
          <w:b/>
        </w:rPr>
        <w:t>1.</w:t>
      </w:r>
      <w:r>
        <w:t xml:space="preserve"> The effect of microaerobic (oxygen-limiting) conditions on glycolate production, as predicted by modeling at different substrate uptake rates (SUR) and non-growth associated ATP maintenance (NGA ATPM) values. (</w:t>
      </w:r>
      <w:r w:rsidRPr="00E05597">
        <w:rPr>
          <w:b/>
        </w:rPr>
        <w:t>A</w:t>
      </w:r>
      <w:r>
        <w:t xml:space="preserve">) SUR of 5 </w:t>
      </w:r>
      <w:proofErr w:type="spellStart"/>
      <w:r>
        <w:t>mmol</w:t>
      </w:r>
      <w:proofErr w:type="spellEnd"/>
      <w:r>
        <w:t>/</w:t>
      </w:r>
      <w:proofErr w:type="spellStart"/>
      <w:r>
        <w:t>gDW·h</w:t>
      </w:r>
      <w:proofErr w:type="spellEnd"/>
      <w:r>
        <w:t xml:space="preserve"> and default </w:t>
      </w:r>
      <w:proofErr w:type="spellStart"/>
      <w:r>
        <w:t>NGA</w:t>
      </w:r>
      <w:proofErr w:type="spellEnd"/>
      <w:r>
        <w:t xml:space="preserve"> </w:t>
      </w:r>
      <w:proofErr w:type="spellStart"/>
      <w:r>
        <w:t>ATPM</w:t>
      </w:r>
      <w:proofErr w:type="spellEnd"/>
      <w:r>
        <w:t xml:space="preserve"> value (8.39 </w:t>
      </w:r>
      <w:proofErr w:type="spellStart"/>
      <w:r>
        <w:t>mmol</w:t>
      </w:r>
      <w:proofErr w:type="spellEnd"/>
      <w:r>
        <w:t>/</w:t>
      </w:r>
      <w:proofErr w:type="spellStart"/>
      <w:r>
        <w:t>gDW·h</w:t>
      </w:r>
      <w:proofErr w:type="spellEnd"/>
      <w:r>
        <w:t>.). (</w:t>
      </w:r>
      <w:r>
        <w:rPr>
          <w:b/>
        </w:rPr>
        <w:t>B</w:t>
      </w:r>
      <w:r>
        <w:t xml:space="preserve">) SUR of 0.7 </w:t>
      </w:r>
      <w:proofErr w:type="spellStart"/>
      <w:r>
        <w:t>mmol</w:t>
      </w:r>
      <w:proofErr w:type="spellEnd"/>
      <w:r>
        <w:t>/</w:t>
      </w:r>
      <w:proofErr w:type="spellStart"/>
      <w:r>
        <w:t>gDW·h</w:t>
      </w:r>
      <w:proofErr w:type="spellEnd"/>
      <w:r>
        <w:t xml:space="preserve"> and </w:t>
      </w:r>
      <w:proofErr w:type="spellStart"/>
      <w:r>
        <w:t>NGA</w:t>
      </w:r>
      <w:proofErr w:type="spellEnd"/>
      <w:r>
        <w:t xml:space="preserve"> </w:t>
      </w:r>
      <w:proofErr w:type="spellStart"/>
      <w:r>
        <w:t>ATPM</w:t>
      </w:r>
      <w:proofErr w:type="spellEnd"/>
      <w:r>
        <w:t xml:space="preserve"> value of 4.8 </w:t>
      </w:r>
      <w:proofErr w:type="spellStart"/>
      <w:r>
        <w:t>mmol</w:t>
      </w:r>
      <w:proofErr w:type="spellEnd"/>
      <w:r>
        <w:t>/</w:t>
      </w:r>
      <w:proofErr w:type="spellStart"/>
      <w:r>
        <w:t>gDW·h</w:t>
      </w:r>
      <w:proofErr w:type="spellEnd"/>
      <w:r>
        <w:t>. (</w:t>
      </w:r>
      <w:r w:rsidRPr="00BD3B38">
        <w:rPr>
          <w:b/>
        </w:rPr>
        <w:t>C</w:t>
      </w:r>
      <w:r>
        <w:t xml:space="preserve">) SUR of 0.7 </w:t>
      </w:r>
      <w:proofErr w:type="spellStart"/>
      <w:r>
        <w:t>mmol</w:t>
      </w:r>
      <w:proofErr w:type="spellEnd"/>
      <w:r>
        <w:t>/</w:t>
      </w:r>
      <w:proofErr w:type="spellStart"/>
      <w:r>
        <w:t>gDW·h</w:t>
      </w:r>
      <w:proofErr w:type="spellEnd"/>
      <w:r>
        <w:t xml:space="preserve"> and </w:t>
      </w:r>
      <w:proofErr w:type="spellStart"/>
      <w:r>
        <w:t>NGA</w:t>
      </w:r>
      <w:proofErr w:type="spellEnd"/>
      <w:r>
        <w:t xml:space="preserve"> </w:t>
      </w:r>
      <w:proofErr w:type="spellStart"/>
      <w:r>
        <w:t>ATPM</w:t>
      </w:r>
      <w:proofErr w:type="spellEnd"/>
      <w:r>
        <w:t xml:space="preserve"> value of 3.2 </w:t>
      </w:r>
      <w:proofErr w:type="spellStart"/>
      <w:r>
        <w:t>mmol</w:t>
      </w:r>
      <w:proofErr w:type="spellEnd"/>
      <w:r>
        <w:t>/</w:t>
      </w:r>
      <w:proofErr w:type="spellStart"/>
      <w:r>
        <w:t>gDW·h</w:t>
      </w:r>
      <w:proofErr w:type="spellEnd"/>
      <w:r>
        <w:t>. (</w:t>
      </w:r>
      <w:r w:rsidRPr="00BD3B38">
        <w:rPr>
          <w:b/>
        </w:rPr>
        <w:t>D</w:t>
      </w:r>
      <w:r>
        <w:t xml:space="preserve">) SUR of 0.7 </w:t>
      </w:r>
      <w:proofErr w:type="spellStart"/>
      <w:r>
        <w:t>mmol</w:t>
      </w:r>
      <w:proofErr w:type="spellEnd"/>
      <w:r>
        <w:t>/</w:t>
      </w:r>
      <w:proofErr w:type="spellStart"/>
      <w:r>
        <w:t>gDW·h</w:t>
      </w:r>
      <w:proofErr w:type="spellEnd"/>
      <w:r>
        <w:t xml:space="preserve"> and </w:t>
      </w:r>
      <w:proofErr w:type="spellStart"/>
      <w:r>
        <w:t>NGA</w:t>
      </w:r>
      <w:proofErr w:type="spellEnd"/>
      <w:r>
        <w:t xml:space="preserve"> </w:t>
      </w:r>
      <w:proofErr w:type="spellStart"/>
      <w:r>
        <w:t>ATPM</w:t>
      </w:r>
      <w:proofErr w:type="spellEnd"/>
      <w:r>
        <w:t xml:space="preserve"> value of 1.6 </w:t>
      </w:r>
      <w:proofErr w:type="spellStart"/>
      <w:r>
        <w:t>mmol</w:t>
      </w:r>
      <w:proofErr w:type="spellEnd"/>
      <w:r>
        <w:t>/</w:t>
      </w:r>
      <w:proofErr w:type="spellStart"/>
      <w:r>
        <w:t>gDW·h</w:t>
      </w:r>
      <w:proofErr w:type="spellEnd"/>
      <w:r>
        <w:t>. In each case, f</w:t>
      </w:r>
      <w:r w:rsidRPr="00BD3B38">
        <w:t>lux</w:t>
      </w:r>
      <w:r w:rsidRPr="00AC69FB">
        <w:t xml:space="preserve"> balance analysis (FBA) was used to predict the glycolate yield (</w:t>
      </w:r>
      <w:r>
        <w:t xml:space="preserve">mol glycolate/mol </w:t>
      </w:r>
      <w:r w:rsidRPr="00AC69FB">
        <w:t xml:space="preserve">EG), </w:t>
      </w:r>
      <w:r>
        <w:t>cell growth rate (</w:t>
      </w:r>
      <w:proofErr w:type="spellStart"/>
      <w:r>
        <w:t>gDW</w:t>
      </w:r>
      <w:proofErr w:type="spellEnd"/>
      <w:r>
        <w:t>/</w:t>
      </w:r>
      <w:proofErr w:type="spellStart"/>
      <w:r>
        <w:t>gDW·h</w:t>
      </w:r>
      <w:proofErr w:type="spellEnd"/>
      <w:r>
        <w:t>)</w:t>
      </w:r>
      <w:r w:rsidRPr="00AC69FB">
        <w:t>, respiratory quotient (</w:t>
      </w:r>
      <w:proofErr w:type="spellStart"/>
      <w:r w:rsidRPr="00AC69FB">
        <w:t>RQ</w:t>
      </w:r>
      <w:proofErr w:type="spellEnd"/>
      <w:r w:rsidRPr="00AC69FB">
        <w:t>, mol CO</w:t>
      </w:r>
      <w:r w:rsidRPr="00AC69FB">
        <w:rPr>
          <w:vertAlign w:val="subscript"/>
        </w:rPr>
        <w:t>2</w:t>
      </w:r>
      <w:r w:rsidRPr="00AC69FB">
        <w:t>/mol O</w:t>
      </w:r>
      <w:r w:rsidRPr="00AC69FB">
        <w:rPr>
          <w:vertAlign w:val="subscript"/>
        </w:rPr>
        <w:t>2</w:t>
      </w:r>
      <w:r>
        <w:t xml:space="preserve">) </w:t>
      </w:r>
      <w:r w:rsidRPr="00AC69FB">
        <w:t>and the substrate specific productivity (</w:t>
      </w:r>
      <w:proofErr w:type="spellStart"/>
      <w:r w:rsidRPr="00AC69FB">
        <w:t>SSP</w:t>
      </w:r>
      <w:proofErr w:type="spellEnd"/>
      <w:r w:rsidRPr="00AC69FB">
        <w:t xml:space="preserve">, g </w:t>
      </w:r>
      <w:proofErr w:type="spellStart"/>
      <w:r w:rsidRPr="00AC69FB">
        <w:t>glycolate</w:t>
      </w:r>
      <w:proofErr w:type="spellEnd"/>
      <w:r w:rsidRPr="00AC69FB">
        <w:t xml:space="preserve">/g </w:t>
      </w:r>
      <w:proofErr w:type="spellStart"/>
      <w:r w:rsidRPr="00AC69FB">
        <w:t>EG</w:t>
      </w:r>
      <w:r>
        <w:t>·</w:t>
      </w:r>
      <w:r w:rsidRPr="00AC69FB">
        <w:t>h</w:t>
      </w:r>
      <w:proofErr w:type="spellEnd"/>
      <w:r w:rsidRPr="00AC69FB">
        <w:t xml:space="preserve">) over a range of oxygen </w:t>
      </w:r>
      <w:r>
        <w:t>uptake rates (</w:t>
      </w:r>
      <w:proofErr w:type="spellStart"/>
      <w:r>
        <w:t>OURs</w:t>
      </w:r>
      <w:proofErr w:type="spellEnd"/>
      <w:r>
        <w:t xml:space="preserve">, </w:t>
      </w:r>
      <w:proofErr w:type="spellStart"/>
      <w:r>
        <w:t>mmol</w:t>
      </w:r>
      <w:proofErr w:type="spellEnd"/>
      <w:r>
        <w:t xml:space="preserve"> </w:t>
      </w:r>
      <w:proofErr w:type="spellStart"/>
      <w:r>
        <w:t>O2</w:t>
      </w:r>
      <w:proofErr w:type="spellEnd"/>
      <w:r>
        <w:t>/</w:t>
      </w:r>
      <w:proofErr w:type="spellStart"/>
      <w:r>
        <w:t>gDW·</w:t>
      </w:r>
      <w:r w:rsidRPr="00AC69FB">
        <w:t>h</w:t>
      </w:r>
      <w:proofErr w:type="spellEnd"/>
      <w:r w:rsidRPr="00AC69FB">
        <w:t xml:space="preserve">). </w:t>
      </w:r>
      <w:r>
        <w:t>All values other than the SSP are shown on the primary vertical axis</w:t>
      </w:r>
      <w:r w:rsidRPr="0030688B">
        <w:t>.</w:t>
      </w:r>
      <w:r>
        <w:t xml:space="preserve"> </w:t>
      </w:r>
      <w:r w:rsidRPr="00160AFC">
        <w:t>An RQ value of 0.4 (shown by the dotted black line) was selected for the RQ-based strategy employed in the final bioreactor experiment.</w:t>
      </w:r>
      <w:r>
        <w:t xml:space="preserve"> The molar yield (mol glycolate/mol EG) predicted at this RQ value is indicated for each case.</w:t>
      </w:r>
    </w:p>
    <w:p w:rsidR="00FB217E" w:rsidRDefault="00FB217E" w:rsidP="00FB217E"/>
    <w:p w:rsidR="00D95337" w:rsidRDefault="00B62549"/>
    <w:sectPr w:rsidR="00D95337" w:rsidSect="00277924">
      <w:footerReference w:type="default" r:id="rId8"/>
      <w:pgSz w:w="12240" w:h="15840" w:code="1"/>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647" w:rsidRDefault="00E53647" w:rsidP="00E53647">
      <w:pPr>
        <w:spacing w:after="0" w:line="240" w:lineRule="auto"/>
      </w:pPr>
      <w:r>
        <w:separator/>
      </w:r>
    </w:p>
  </w:endnote>
  <w:endnote w:type="continuationSeparator" w:id="0">
    <w:p w:rsidR="00E53647" w:rsidRDefault="00E53647" w:rsidP="00E53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98363"/>
      <w:docPartObj>
        <w:docPartGallery w:val="Page Numbers (Bottom of Page)"/>
        <w:docPartUnique/>
      </w:docPartObj>
    </w:sdtPr>
    <w:sdtEndPr>
      <w:rPr>
        <w:noProof/>
      </w:rPr>
    </w:sdtEndPr>
    <w:sdtContent>
      <w:p w:rsidR="00BF1C89" w:rsidRDefault="00E53647">
        <w:pPr>
          <w:pStyle w:val="Footer"/>
          <w:jc w:val="right"/>
        </w:pPr>
        <w:r>
          <w:fldChar w:fldCharType="begin"/>
        </w:r>
        <w:r w:rsidR="00FB217E">
          <w:instrText xml:space="preserve"> PAGE   \* MERGEFORMAT </w:instrText>
        </w:r>
        <w:r>
          <w:fldChar w:fldCharType="separate"/>
        </w:r>
        <w:r w:rsidR="00B62549">
          <w:rPr>
            <w:noProof/>
          </w:rPr>
          <w:t>2</w:t>
        </w:r>
        <w:r>
          <w:rPr>
            <w:noProof/>
          </w:rPr>
          <w:fldChar w:fldCharType="end"/>
        </w:r>
      </w:p>
    </w:sdtContent>
  </w:sdt>
  <w:p w:rsidR="00BF1C89" w:rsidRDefault="00B625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647" w:rsidRDefault="00E53647" w:rsidP="00E53647">
      <w:pPr>
        <w:spacing w:after="0" w:line="240" w:lineRule="auto"/>
      </w:pPr>
      <w:r>
        <w:separator/>
      </w:r>
    </w:p>
  </w:footnote>
  <w:footnote w:type="continuationSeparator" w:id="0">
    <w:p w:rsidR="00E53647" w:rsidRDefault="00E53647" w:rsidP="00E536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67061"/>
    <w:multiLevelType w:val="hybridMultilevel"/>
    <w:tmpl w:val="D5E429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7B3432"/>
    <w:multiLevelType w:val="multilevel"/>
    <w:tmpl w:val="6DA02BEC"/>
    <w:lvl w:ilvl="0">
      <w:start w:val="1"/>
      <w:numFmt w:val="decimal"/>
      <w:pStyle w:val="Heading1"/>
      <w:lvlText w:val="%1"/>
      <w:lvlJc w:val="left"/>
      <w:pPr>
        <w:ind w:left="1069" w:hanging="360"/>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rPr>
    </w:lvl>
    <w:lvl w:ilvl="1">
      <w:start w:val="1"/>
      <w:numFmt w:val="decimal"/>
      <w:pStyle w:val="Heading2"/>
      <w:lvlText w:val="%1.%2"/>
      <w:lvlJc w:val="left"/>
      <w:pPr>
        <w:tabs>
          <w:tab w:val="num" w:pos="720"/>
        </w:tabs>
        <w:ind w:left="720" w:hanging="720"/>
      </w:pPr>
      <w:rPr>
        <w:rFonts w:ascii="Garamond" w:hAnsi="Garamond" w:cstheme="minorHAnsi" w:hint="default"/>
        <w:b/>
        <w:i w:val="0"/>
        <w:sz w:val="22"/>
        <w:szCs w:val="24"/>
      </w:rPr>
    </w:lvl>
    <w:lvl w:ilvl="2">
      <w:start w:val="1"/>
      <w:numFmt w:val="decimal"/>
      <w:pStyle w:val="Heading3"/>
      <w:lvlText w:val="%1.%2.%3"/>
      <w:lvlJc w:val="left"/>
      <w:pPr>
        <w:tabs>
          <w:tab w:val="num" w:pos="1572"/>
        </w:tabs>
        <w:ind w:left="1572" w:hanging="720"/>
      </w:pPr>
      <w:rPr>
        <w:rFonts w:ascii="Times New Roman" w:hAnsi="Times New Roman" w:cstheme="minorHAnsi" w:hint="default"/>
        <w:b/>
        <w:i w:val="0"/>
        <w:sz w:val="24"/>
        <w:szCs w:val="24"/>
      </w:rPr>
    </w:lvl>
    <w:lvl w:ilvl="3">
      <w:start w:val="1"/>
      <w:numFmt w:val="decimal"/>
      <w:pStyle w:val="Heading4"/>
      <w:lvlText w:val="%1.%2.%3.%4"/>
      <w:lvlJc w:val="left"/>
      <w:pPr>
        <w:tabs>
          <w:tab w:val="num" w:pos="2292"/>
        </w:tabs>
        <w:ind w:left="2292" w:hanging="1080"/>
      </w:pPr>
      <w:rPr>
        <w:rFonts w:ascii="Arial" w:hAnsi="Arial" w:hint="default"/>
        <w:b w:val="0"/>
        <w:i w:val="0"/>
        <w:sz w:val="28"/>
        <w:szCs w:val="28"/>
      </w:rPr>
    </w:lvl>
    <w:lvl w:ilvl="4">
      <w:start w:val="1"/>
      <w:numFmt w:val="decimal"/>
      <w:pStyle w:val="Heading5"/>
      <w:lvlText w:val="%1.%2.%3.%4.%5"/>
      <w:lvlJc w:val="left"/>
      <w:pPr>
        <w:tabs>
          <w:tab w:val="num" w:pos="4452"/>
        </w:tabs>
        <w:ind w:left="4452" w:hanging="1080"/>
      </w:pPr>
      <w:rPr>
        <w:rFonts w:hint="default"/>
      </w:rPr>
    </w:lvl>
    <w:lvl w:ilvl="5">
      <w:start w:val="1"/>
      <w:numFmt w:val="decimal"/>
      <w:pStyle w:val="Heading6"/>
      <w:lvlText w:val="%1.%2.%3.%4.%5.%6"/>
      <w:lvlJc w:val="left"/>
      <w:pPr>
        <w:tabs>
          <w:tab w:val="num" w:pos="4812"/>
        </w:tabs>
        <w:ind w:left="4668" w:hanging="936"/>
      </w:pPr>
      <w:rPr>
        <w:rFonts w:ascii="Arial"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8"/>
        <w:szCs w:val="28"/>
        <w:u w:val="none"/>
        <w:effect w:val="none"/>
        <w:vertAlign w:val="baseline"/>
        <w:em w:val="none"/>
        <w:specVanish w:val="0"/>
      </w:rPr>
    </w:lvl>
    <w:lvl w:ilvl="6">
      <w:start w:val="1"/>
      <w:numFmt w:val="decimal"/>
      <w:pStyle w:val="Heading7"/>
      <w:lvlText w:val="%1.%2.%3.%4.%5.%6.%7"/>
      <w:lvlJc w:val="left"/>
      <w:pPr>
        <w:tabs>
          <w:tab w:val="num" w:pos="5532"/>
        </w:tabs>
        <w:ind w:left="5172" w:hanging="1080"/>
      </w:pPr>
      <w:rPr>
        <w:rFonts w:hint="default"/>
      </w:rPr>
    </w:lvl>
    <w:lvl w:ilvl="7">
      <w:start w:val="1"/>
      <w:numFmt w:val="decimal"/>
      <w:pStyle w:val="Heading8"/>
      <w:lvlText w:val="%1.%2.%3.%4.%5.%6.%7.%8"/>
      <w:lvlJc w:val="left"/>
      <w:pPr>
        <w:tabs>
          <w:tab w:val="num" w:pos="5892"/>
        </w:tabs>
        <w:ind w:left="5676" w:hanging="122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8">
      <w:start w:val="1"/>
      <w:numFmt w:val="decimal"/>
      <w:pStyle w:val="Heading9"/>
      <w:lvlText w:val="%1.%2.%3.%4.%5.%6.%7.%8.%9"/>
      <w:lvlJc w:val="left"/>
      <w:pPr>
        <w:tabs>
          <w:tab w:val="num" w:pos="6612"/>
        </w:tabs>
        <w:ind w:left="6252" w:hanging="1440"/>
      </w:pPr>
      <w:rPr>
        <w:rFonts w:ascii="Arial"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8"/>
        <w:szCs w:val="28"/>
        <w:u w:val="none"/>
        <w:effect w:val="none"/>
        <w:vertAlign w:val="baseline"/>
        <w:em w:val="none"/>
        <w:specVanish w:val="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FB217E"/>
    <w:rsid w:val="00065929"/>
    <w:rsid w:val="00075068"/>
    <w:rsid w:val="000D0A91"/>
    <w:rsid w:val="001004E9"/>
    <w:rsid w:val="00113EAB"/>
    <w:rsid w:val="00136DBD"/>
    <w:rsid w:val="001511B7"/>
    <w:rsid w:val="0015292A"/>
    <w:rsid w:val="001555C7"/>
    <w:rsid w:val="00161DFB"/>
    <w:rsid w:val="001A5157"/>
    <w:rsid w:val="001A52DF"/>
    <w:rsid w:val="001B63B9"/>
    <w:rsid w:val="00215066"/>
    <w:rsid w:val="002225BE"/>
    <w:rsid w:val="00227573"/>
    <w:rsid w:val="00264DC5"/>
    <w:rsid w:val="002842AB"/>
    <w:rsid w:val="002A52E0"/>
    <w:rsid w:val="002E4536"/>
    <w:rsid w:val="00362870"/>
    <w:rsid w:val="003B747B"/>
    <w:rsid w:val="003C507B"/>
    <w:rsid w:val="00432A78"/>
    <w:rsid w:val="00436D4B"/>
    <w:rsid w:val="004427A8"/>
    <w:rsid w:val="0044397C"/>
    <w:rsid w:val="00471F83"/>
    <w:rsid w:val="004E11D9"/>
    <w:rsid w:val="005136D1"/>
    <w:rsid w:val="005711C2"/>
    <w:rsid w:val="005966A8"/>
    <w:rsid w:val="005B38BA"/>
    <w:rsid w:val="005D594C"/>
    <w:rsid w:val="00615769"/>
    <w:rsid w:val="00623AF7"/>
    <w:rsid w:val="00623D9A"/>
    <w:rsid w:val="006311D1"/>
    <w:rsid w:val="0067042D"/>
    <w:rsid w:val="00675AF8"/>
    <w:rsid w:val="00675C99"/>
    <w:rsid w:val="006A7200"/>
    <w:rsid w:val="006E0235"/>
    <w:rsid w:val="006E7C59"/>
    <w:rsid w:val="007136E6"/>
    <w:rsid w:val="00797DCE"/>
    <w:rsid w:val="007C3AEA"/>
    <w:rsid w:val="00802326"/>
    <w:rsid w:val="00821860"/>
    <w:rsid w:val="00831D2B"/>
    <w:rsid w:val="008A3DDD"/>
    <w:rsid w:val="008D73B2"/>
    <w:rsid w:val="009B383B"/>
    <w:rsid w:val="00A03A79"/>
    <w:rsid w:val="00A13BA0"/>
    <w:rsid w:val="00B057D4"/>
    <w:rsid w:val="00B62549"/>
    <w:rsid w:val="00B64C9F"/>
    <w:rsid w:val="00BA1968"/>
    <w:rsid w:val="00BD3506"/>
    <w:rsid w:val="00C1632D"/>
    <w:rsid w:val="00C3439F"/>
    <w:rsid w:val="00C552F2"/>
    <w:rsid w:val="00C9234F"/>
    <w:rsid w:val="00CB76D9"/>
    <w:rsid w:val="00CF3011"/>
    <w:rsid w:val="00D2503A"/>
    <w:rsid w:val="00D46454"/>
    <w:rsid w:val="00D7026B"/>
    <w:rsid w:val="00DD76F2"/>
    <w:rsid w:val="00E27848"/>
    <w:rsid w:val="00E4447D"/>
    <w:rsid w:val="00E53647"/>
    <w:rsid w:val="00E7634F"/>
    <w:rsid w:val="00E9472A"/>
    <w:rsid w:val="00EF3C38"/>
    <w:rsid w:val="00F20ECF"/>
    <w:rsid w:val="00F250AC"/>
    <w:rsid w:val="00F93996"/>
    <w:rsid w:val="00FB217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17E"/>
    <w:pPr>
      <w:spacing w:after="160" w:line="360" w:lineRule="auto"/>
      <w:jc w:val="both"/>
    </w:pPr>
    <w:rPr>
      <w:rFonts w:ascii="Garamond" w:hAnsi="Garamond"/>
      <w:sz w:val="22"/>
      <w:szCs w:val="22"/>
    </w:rPr>
  </w:style>
  <w:style w:type="paragraph" w:styleId="Heading1">
    <w:name w:val="heading 1"/>
    <w:basedOn w:val="Normal"/>
    <w:link w:val="Heading1Char"/>
    <w:qFormat/>
    <w:rsid w:val="00FB217E"/>
    <w:pPr>
      <w:keepNext/>
      <w:numPr>
        <w:numId w:val="1"/>
      </w:numPr>
      <w:spacing w:before="240" w:after="120" w:line="240" w:lineRule="auto"/>
      <w:ind w:right="973"/>
      <w:jc w:val="left"/>
      <w:outlineLvl w:val="0"/>
    </w:pPr>
    <w:rPr>
      <w:rFonts w:eastAsia="Times New Roman" w:cs="Arial"/>
      <w:b/>
      <w:sz w:val="24"/>
      <w:szCs w:val="144"/>
      <w:lang w:val="en-US" w:eastAsia="en-CA"/>
    </w:rPr>
  </w:style>
  <w:style w:type="paragraph" w:styleId="Heading2">
    <w:name w:val="heading 2"/>
    <w:basedOn w:val="Normal"/>
    <w:next w:val="BodyText"/>
    <w:link w:val="Heading2Char"/>
    <w:qFormat/>
    <w:rsid w:val="00FB217E"/>
    <w:pPr>
      <w:numPr>
        <w:ilvl w:val="1"/>
        <w:numId w:val="1"/>
      </w:numPr>
      <w:tabs>
        <w:tab w:val="clear" w:pos="720"/>
        <w:tab w:val="num" w:pos="567"/>
      </w:tabs>
      <w:spacing w:before="240" w:after="0"/>
      <w:ind w:left="567" w:hanging="579"/>
      <w:outlineLvl w:val="1"/>
    </w:pPr>
    <w:rPr>
      <w:rFonts w:eastAsiaTheme="minorEastAsia" w:cs="Times New Roman"/>
      <w:b/>
      <w:bCs/>
      <w:iCs/>
      <w:szCs w:val="28"/>
      <w:lang w:val="en-US" w:eastAsia="en-CA"/>
    </w:rPr>
  </w:style>
  <w:style w:type="paragraph" w:styleId="Heading3">
    <w:name w:val="heading 3"/>
    <w:basedOn w:val="Heading2"/>
    <w:next w:val="BodyText"/>
    <w:link w:val="Heading3Char"/>
    <w:qFormat/>
    <w:rsid w:val="00FB217E"/>
    <w:pPr>
      <w:numPr>
        <w:ilvl w:val="2"/>
      </w:numPr>
      <w:tabs>
        <w:tab w:val="clear" w:pos="1572"/>
        <w:tab w:val="left" w:pos="567"/>
      </w:tabs>
      <w:ind w:left="567" w:hanging="567"/>
      <w:outlineLvl w:val="2"/>
    </w:pPr>
    <w:rPr>
      <w:bCs w:val="0"/>
      <w:sz w:val="24"/>
    </w:rPr>
  </w:style>
  <w:style w:type="paragraph" w:styleId="Heading4">
    <w:name w:val="heading 4"/>
    <w:basedOn w:val="Heading3"/>
    <w:next w:val="BodyText"/>
    <w:link w:val="Heading4Char"/>
    <w:qFormat/>
    <w:rsid w:val="00FB217E"/>
    <w:pPr>
      <w:numPr>
        <w:ilvl w:val="3"/>
      </w:numPr>
      <w:tabs>
        <w:tab w:val="left" w:pos="1260"/>
      </w:tabs>
      <w:outlineLvl w:val="3"/>
    </w:pPr>
  </w:style>
  <w:style w:type="paragraph" w:styleId="Heading5">
    <w:name w:val="heading 5"/>
    <w:basedOn w:val="Heading4"/>
    <w:next w:val="Normal"/>
    <w:link w:val="Heading5Char"/>
    <w:qFormat/>
    <w:rsid w:val="00FB217E"/>
    <w:pPr>
      <w:numPr>
        <w:ilvl w:val="4"/>
      </w:numPr>
      <w:tabs>
        <w:tab w:val="clear" w:pos="1260"/>
      </w:tabs>
      <w:outlineLvl w:val="4"/>
    </w:pPr>
    <w:rPr>
      <w:bCs/>
      <w:iCs w:val="0"/>
    </w:rPr>
  </w:style>
  <w:style w:type="paragraph" w:styleId="Heading6">
    <w:name w:val="heading 6"/>
    <w:basedOn w:val="Heading5"/>
    <w:next w:val="Normal"/>
    <w:link w:val="Heading6Char"/>
    <w:qFormat/>
    <w:rsid w:val="00FB217E"/>
    <w:pPr>
      <w:numPr>
        <w:ilvl w:val="5"/>
      </w:numPr>
      <w:spacing w:after="60"/>
      <w:outlineLvl w:val="5"/>
    </w:pPr>
    <w:rPr>
      <w:bCs w:val="0"/>
      <w:szCs w:val="22"/>
    </w:rPr>
  </w:style>
  <w:style w:type="paragraph" w:styleId="Heading7">
    <w:name w:val="heading 7"/>
    <w:basedOn w:val="Heading6"/>
    <w:next w:val="Normal"/>
    <w:link w:val="Heading7Char"/>
    <w:qFormat/>
    <w:rsid w:val="00FB217E"/>
    <w:pPr>
      <w:numPr>
        <w:ilvl w:val="6"/>
      </w:numPr>
      <w:outlineLvl w:val="6"/>
    </w:pPr>
    <w:rPr>
      <w:szCs w:val="24"/>
    </w:rPr>
  </w:style>
  <w:style w:type="paragraph" w:styleId="Heading8">
    <w:name w:val="heading 8"/>
    <w:basedOn w:val="Heading7"/>
    <w:next w:val="Normal"/>
    <w:link w:val="Heading8Char"/>
    <w:qFormat/>
    <w:rsid w:val="00FB217E"/>
    <w:pPr>
      <w:numPr>
        <w:ilvl w:val="7"/>
      </w:numPr>
      <w:outlineLvl w:val="7"/>
    </w:pPr>
    <w:rPr>
      <w:bCs/>
      <w:szCs w:val="28"/>
    </w:rPr>
  </w:style>
  <w:style w:type="paragraph" w:styleId="Heading9">
    <w:name w:val="heading 9"/>
    <w:basedOn w:val="Heading8"/>
    <w:next w:val="Normal"/>
    <w:link w:val="Heading9Char"/>
    <w:qFormat/>
    <w:rsid w:val="00FB217E"/>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217E"/>
    <w:rPr>
      <w:rFonts w:ascii="Garamond" w:eastAsia="Times New Roman" w:hAnsi="Garamond" w:cs="Arial"/>
      <w:b/>
      <w:szCs w:val="144"/>
      <w:lang w:val="en-US" w:eastAsia="en-CA"/>
    </w:rPr>
  </w:style>
  <w:style w:type="character" w:customStyle="1" w:styleId="Heading2Char">
    <w:name w:val="Heading 2 Char"/>
    <w:basedOn w:val="DefaultParagraphFont"/>
    <w:link w:val="Heading2"/>
    <w:rsid w:val="00FB217E"/>
    <w:rPr>
      <w:rFonts w:ascii="Garamond" w:eastAsiaTheme="minorEastAsia" w:hAnsi="Garamond" w:cs="Times New Roman"/>
      <w:b/>
      <w:bCs/>
      <w:iCs/>
      <w:sz w:val="22"/>
      <w:szCs w:val="28"/>
      <w:lang w:val="en-US" w:eastAsia="en-CA"/>
    </w:rPr>
  </w:style>
  <w:style w:type="character" w:customStyle="1" w:styleId="Heading3Char">
    <w:name w:val="Heading 3 Char"/>
    <w:basedOn w:val="DefaultParagraphFont"/>
    <w:link w:val="Heading3"/>
    <w:rsid w:val="00FB217E"/>
    <w:rPr>
      <w:rFonts w:ascii="Garamond" w:eastAsiaTheme="minorEastAsia" w:hAnsi="Garamond" w:cs="Times New Roman"/>
      <w:b/>
      <w:iCs/>
      <w:szCs w:val="28"/>
      <w:lang w:val="en-US" w:eastAsia="en-CA"/>
    </w:rPr>
  </w:style>
  <w:style w:type="character" w:customStyle="1" w:styleId="Heading4Char">
    <w:name w:val="Heading 4 Char"/>
    <w:basedOn w:val="DefaultParagraphFont"/>
    <w:link w:val="Heading4"/>
    <w:rsid w:val="00FB217E"/>
    <w:rPr>
      <w:rFonts w:ascii="Garamond" w:eastAsiaTheme="minorEastAsia" w:hAnsi="Garamond" w:cs="Times New Roman"/>
      <w:b/>
      <w:iCs/>
      <w:szCs w:val="28"/>
      <w:lang w:val="en-US" w:eastAsia="en-CA"/>
    </w:rPr>
  </w:style>
  <w:style w:type="character" w:customStyle="1" w:styleId="Heading5Char">
    <w:name w:val="Heading 5 Char"/>
    <w:basedOn w:val="DefaultParagraphFont"/>
    <w:link w:val="Heading5"/>
    <w:rsid w:val="00FB217E"/>
    <w:rPr>
      <w:rFonts w:ascii="Garamond" w:eastAsiaTheme="minorEastAsia" w:hAnsi="Garamond" w:cs="Times New Roman"/>
      <w:b/>
      <w:bCs/>
      <w:szCs w:val="28"/>
      <w:lang w:val="en-US" w:eastAsia="en-CA"/>
    </w:rPr>
  </w:style>
  <w:style w:type="character" w:customStyle="1" w:styleId="Heading6Char">
    <w:name w:val="Heading 6 Char"/>
    <w:basedOn w:val="DefaultParagraphFont"/>
    <w:link w:val="Heading6"/>
    <w:rsid w:val="00FB217E"/>
    <w:rPr>
      <w:rFonts w:ascii="Garamond" w:eastAsiaTheme="minorEastAsia" w:hAnsi="Garamond" w:cs="Times New Roman"/>
      <w:b/>
      <w:szCs w:val="22"/>
      <w:lang w:val="en-US" w:eastAsia="en-CA"/>
    </w:rPr>
  </w:style>
  <w:style w:type="character" w:customStyle="1" w:styleId="Heading7Char">
    <w:name w:val="Heading 7 Char"/>
    <w:basedOn w:val="DefaultParagraphFont"/>
    <w:link w:val="Heading7"/>
    <w:rsid w:val="00FB217E"/>
    <w:rPr>
      <w:rFonts w:ascii="Garamond" w:eastAsiaTheme="minorEastAsia" w:hAnsi="Garamond" w:cs="Times New Roman"/>
      <w:b/>
      <w:lang w:val="en-US" w:eastAsia="en-CA"/>
    </w:rPr>
  </w:style>
  <w:style w:type="character" w:customStyle="1" w:styleId="Heading8Char">
    <w:name w:val="Heading 8 Char"/>
    <w:basedOn w:val="DefaultParagraphFont"/>
    <w:link w:val="Heading8"/>
    <w:rsid w:val="00FB217E"/>
    <w:rPr>
      <w:rFonts w:ascii="Garamond" w:eastAsiaTheme="minorEastAsia" w:hAnsi="Garamond" w:cs="Times New Roman"/>
      <w:b/>
      <w:bCs/>
      <w:szCs w:val="28"/>
      <w:lang w:val="en-US" w:eastAsia="en-CA"/>
    </w:rPr>
  </w:style>
  <w:style w:type="character" w:customStyle="1" w:styleId="Heading9Char">
    <w:name w:val="Heading 9 Char"/>
    <w:basedOn w:val="DefaultParagraphFont"/>
    <w:link w:val="Heading9"/>
    <w:rsid w:val="00FB217E"/>
    <w:rPr>
      <w:rFonts w:ascii="Garamond" w:eastAsiaTheme="minorEastAsia" w:hAnsi="Garamond" w:cs="Times New Roman"/>
      <w:b/>
      <w:bCs/>
      <w:szCs w:val="28"/>
      <w:lang w:val="en-US" w:eastAsia="en-CA"/>
    </w:rPr>
  </w:style>
  <w:style w:type="paragraph" w:styleId="Caption">
    <w:name w:val="caption"/>
    <w:basedOn w:val="Normal"/>
    <w:next w:val="Normal"/>
    <w:uiPriority w:val="35"/>
    <w:qFormat/>
    <w:rsid w:val="00FB217E"/>
    <w:pPr>
      <w:spacing w:before="240" w:after="0" w:line="240" w:lineRule="auto"/>
    </w:pPr>
    <w:rPr>
      <w:rFonts w:eastAsia="Times New Roman" w:cs="Times New Roman"/>
      <w:bCs/>
      <w:sz w:val="20"/>
      <w:szCs w:val="20"/>
      <w:lang w:val="en-US" w:eastAsia="en-CA"/>
    </w:rPr>
  </w:style>
  <w:style w:type="paragraph" w:styleId="Footer">
    <w:name w:val="footer"/>
    <w:basedOn w:val="Normal"/>
    <w:link w:val="FooterChar"/>
    <w:uiPriority w:val="99"/>
    <w:unhideWhenUsed/>
    <w:rsid w:val="00FB2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17E"/>
    <w:rPr>
      <w:rFonts w:ascii="Garamond" w:hAnsi="Garamond"/>
      <w:sz w:val="22"/>
      <w:szCs w:val="22"/>
    </w:rPr>
  </w:style>
  <w:style w:type="paragraph" w:styleId="BodyText">
    <w:name w:val="Body Text"/>
    <w:basedOn w:val="Normal"/>
    <w:link w:val="BodyTextChar"/>
    <w:uiPriority w:val="99"/>
    <w:semiHidden/>
    <w:unhideWhenUsed/>
    <w:rsid w:val="00FB217E"/>
    <w:pPr>
      <w:spacing w:after="120"/>
    </w:pPr>
  </w:style>
  <w:style w:type="character" w:customStyle="1" w:styleId="BodyTextChar">
    <w:name w:val="Body Text Char"/>
    <w:basedOn w:val="DefaultParagraphFont"/>
    <w:link w:val="BodyText"/>
    <w:uiPriority w:val="99"/>
    <w:semiHidden/>
    <w:rsid w:val="00FB217E"/>
    <w:rPr>
      <w:rFonts w:ascii="Garamond" w:hAnsi="Garamond"/>
      <w:sz w:val="22"/>
      <w:szCs w:val="22"/>
    </w:rPr>
  </w:style>
  <w:style w:type="paragraph" w:styleId="ListParagraph">
    <w:name w:val="List Paragraph"/>
    <w:basedOn w:val="Normal"/>
    <w:uiPriority w:val="34"/>
    <w:qFormat/>
    <w:rsid w:val="00FB217E"/>
    <w:pPr>
      <w:ind w:left="720"/>
      <w:contextualSpacing/>
    </w:pPr>
  </w:style>
  <w:style w:type="paragraph" w:styleId="BalloonText">
    <w:name w:val="Balloon Text"/>
    <w:basedOn w:val="Normal"/>
    <w:link w:val="BalloonTextChar"/>
    <w:uiPriority w:val="99"/>
    <w:semiHidden/>
    <w:unhideWhenUsed/>
    <w:rsid w:val="00B62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1109</Words>
  <Characters>6323</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Radhakrishnan Mahadevan</dc:creator>
  <cp:keywords/>
  <dc:description/>
  <cp:lastModifiedBy>0012244</cp:lastModifiedBy>
  <cp:revision>2</cp:revision>
  <dcterms:created xsi:type="dcterms:W3CDTF">2021-01-05T16:45:00Z</dcterms:created>
  <dcterms:modified xsi:type="dcterms:W3CDTF">2021-01-13T09:55:00Z</dcterms:modified>
</cp:coreProperties>
</file>