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en-GB"/>
        </w:rPr>
      </w:pPr>
      <w:r>
        <w:rPr>
          <w:rFonts w:ascii="Times New Roman" w:hAnsi="Times New Roman"/>
          <w:b/>
          <w:sz w:val="28"/>
          <w:szCs w:val="28"/>
          <w:lang w:val="en-GB"/>
        </w:rPr>
        <w:t>Genome-based engineering of ligninolytic enzymes in fungi</w:t>
      </w:r>
    </w:p>
    <w:p>
      <w:pPr>
        <w:spacing w:line="240" w:lineRule="auto"/>
        <w:jc w:val="both"/>
        <w:rPr>
          <w:rFonts w:ascii="Times New Roman" w:hAnsi="Times New Roman"/>
          <w:kern w:val="24"/>
          <w:lang w:val="it-IT"/>
        </w:rPr>
      </w:pPr>
      <w:r>
        <w:rPr>
          <w:rFonts w:ascii="Times New Roman" w:hAnsi="Times New Roman"/>
          <w:lang w:val="it-IT"/>
        </w:rPr>
        <w:t>Michael Dare Asemoloye</w:t>
      </w:r>
      <w:r>
        <w:rPr>
          <w:rFonts w:ascii="Times New Roman" w:hAnsi="Times New Roman"/>
          <w:kern w:val="24"/>
          <w:vertAlign w:val="superscript"/>
          <w:lang w:val="it-IT"/>
        </w:rPr>
        <w:t>1</w:t>
      </w:r>
      <w:r>
        <w:rPr>
          <w:rFonts w:ascii="Times New Roman" w:hAnsi="Times New Roman"/>
          <w:lang w:val="it-IT"/>
        </w:rPr>
        <w:t>, Mario Andrea Marchisio</w:t>
      </w:r>
      <w:r>
        <w:rPr>
          <w:rFonts w:ascii="Times New Roman" w:hAnsi="Times New Roman"/>
          <w:kern w:val="24"/>
          <w:vertAlign w:val="superscript"/>
          <w:lang w:val="it-IT"/>
        </w:rPr>
        <w:t>1*</w:t>
      </w:r>
      <w:r>
        <w:rPr>
          <w:rFonts w:ascii="Times New Roman" w:hAnsi="Times New Roman"/>
          <w:lang w:val="it-IT"/>
        </w:rPr>
        <w:t>, Vijai Kumar Gupta</w:t>
      </w:r>
      <w:r>
        <w:rPr>
          <w:rFonts w:ascii="Times New Roman" w:hAnsi="Times New Roman" w:cs="Times New Roman (Corpo CS)"/>
          <w:vertAlign w:val="superscript"/>
          <w:lang w:val="it-IT"/>
        </w:rPr>
        <w:t>2</w:t>
      </w:r>
      <w:r>
        <w:rPr>
          <w:rFonts w:ascii="Times New Roman" w:hAnsi="Times New Roman"/>
          <w:lang w:val="it-IT"/>
        </w:rPr>
        <w:t>, Lorenzo Pecoraro</w:t>
      </w:r>
      <w:r>
        <w:rPr>
          <w:rFonts w:ascii="Times New Roman" w:hAnsi="Times New Roman"/>
          <w:kern w:val="24"/>
          <w:vertAlign w:val="superscript"/>
          <w:lang w:val="it-IT"/>
        </w:rPr>
        <w:t>1*</w:t>
      </w:r>
    </w:p>
    <w:p>
      <w:pPr>
        <w:spacing w:line="240" w:lineRule="auto"/>
        <w:jc w:val="both"/>
        <w:rPr>
          <w:rFonts w:ascii="Times New Roman" w:hAnsi="Times New Roman"/>
          <w:lang w:val="it-IT"/>
        </w:rPr>
      </w:pPr>
    </w:p>
    <w:p>
      <w:pPr>
        <w:spacing w:line="240" w:lineRule="auto"/>
        <w:jc w:val="both"/>
        <w:rPr>
          <w:rFonts w:ascii="Times New Roman" w:hAnsi="Times New Roman"/>
          <w:i/>
          <w:iCs/>
          <w:lang w:val="en-GB"/>
        </w:rPr>
      </w:pPr>
      <w:bookmarkStart w:id="0" w:name="_Hlk33279531"/>
      <w:r>
        <w:rPr>
          <w:rFonts w:ascii="Times New Roman" w:hAnsi="Times New Roman"/>
          <w:i/>
          <w:iCs/>
          <w:vertAlign w:val="superscript"/>
          <w:lang w:val="en-GB"/>
        </w:rPr>
        <w:t>1</w:t>
      </w:r>
      <w:r>
        <w:rPr>
          <w:rFonts w:ascii="Times New Roman" w:hAnsi="Times New Roman"/>
          <w:i/>
          <w:iCs/>
          <w:lang w:val="en-GB"/>
        </w:rPr>
        <w:t>School of Pharmaceutical Science and Technology, Tianjin University, 92 Weijin Road, Nankai District, 300072, Tianjin, China</w:t>
      </w:r>
      <w:bookmarkEnd w:id="0"/>
      <w:r>
        <w:rPr>
          <w:rFonts w:ascii="Times New Roman" w:hAnsi="Times New Roman"/>
          <w:i/>
          <w:iCs/>
          <w:lang w:val="en-GB"/>
        </w:rPr>
        <w:t>.</w:t>
      </w:r>
    </w:p>
    <w:p>
      <w:pPr>
        <w:spacing w:line="240" w:lineRule="auto"/>
        <w:jc w:val="both"/>
        <w:rPr>
          <w:rFonts w:ascii="Times New Roman" w:hAnsi="Times New Roman" w:eastAsia="Calibri" w:cs="Times New Roman"/>
          <w:i/>
          <w:iCs/>
          <w:szCs w:val="24"/>
        </w:rPr>
      </w:pPr>
      <w:r>
        <w:rPr>
          <w:rFonts w:ascii="Times New Roman" w:hAnsi="Times New Roman" w:eastAsia="Calibri" w:cs="Times New Roman"/>
          <w:i/>
          <w:iCs/>
          <w:szCs w:val="24"/>
          <w:vertAlign w:val="superscript"/>
        </w:rPr>
        <w:t>2</w:t>
      </w:r>
      <w:r>
        <w:rPr>
          <w:rFonts w:ascii="Times New Roman" w:hAnsi="Times New Roman" w:eastAsia="Calibri" w:cs="Times New Roman"/>
          <w:i/>
          <w:iCs/>
          <w:szCs w:val="24"/>
        </w:rPr>
        <w:t>Biorefining and Advanced Materials Research Center, Scotland’s Rural College (SRUC), Kings Buildings, West Mains Road, Edinburgh, EH9 3JG, UK.</w:t>
      </w:r>
    </w:p>
    <w:p>
      <w:pPr>
        <w:spacing w:line="240" w:lineRule="auto"/>
        <w:jc w:val="both"/>
        <w:rPr>
          <w:rFonts w:ascii="Times New Roman" w:hAnsi="Times New Roman"/>
          <w:i/>
          <w:iCs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  <w:bCs/>
          <w:lang w:val="en-GB"/>
        </w:rPr>
      </w:pPr>
    </w:p>
    <w:p>
      <w:pPr>
        <w:shd w:val="clear" w:color="auto" w:fill="FFFFFF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lang w:val="en-GB"/>
        </w:rPr>
        <w:t xml:space="preserve">*Corresponding authors: </w:t>
      </w:r>
      <w:r>
        <w:rPr>
          <w:rFonts w:ascii="Times New Roman" w:hAnsi="Times New Roman"/>
        </w:rPr>
        <w:t xml:space="preserve">Mario Andrea Marchisio (telephone: +86 18526429643, e-mail: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HYPERLINK "mailto:mamarchisio@yahoo.com" </w:instrText>
      </w:r>
      <w:r>
        <w:rPr>
          <w:rFonts w:ascii="Times New Roman" w:hAnsi="Times New Roman"/>
        </w:rPr>
        <w:fldChar w:fldCharType="separate"/>
      </w:r>
      <w:r>
        <w:rPr>
          <w:rStyle w:val="6"/>
          <w:rFonts w:ascii="Times New Roman" w:hAnsi="Times New Roman"/>
        </w:rPr>
        <w:t>mamarchisio@yahoo.com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HYPERLINK "mailto:mario@tju.edu.cn" </w:instrText>
      </w:r>
      <w:r>
        <w:rPr>
          <w:rFonts w:ascii="Times New Roman" w:hAnsi="Times New Roman"/>
        </w:rPr>
        <w:fldChar w:fldCharType="separate"/>
      </w:r>
      <w:r>
        <w:rPr>
          <w:rStyle w:val="6"/>
          <w:rFonts w:ascii="Times New Roman" w:hAnsi="Times New Roman"/>
        </w:rPr>
        <w:t>mario@tju.edu.cn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), Lorenzo Pecoraro (telephone: +86 18520824550, e-mail: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HYPERLINK "mailto:lorenzo.pecoraro@gmail.com" </w:instrText>
      </w:r>
      <w:r>
        <w:rPr>
          <w:rFonts w:ascii="Times New Roman" w:hAnsi="Times New Roman"/>
        </w:rPr>
        <w:fldChar w:fldCharType="separate"/>
      </w:r>
      <w:r>
        <w:rPr>
          <w:rStyle w:val="6"/>
          <w:rFonts w:ascii="Times New Roman" w:hAnsi="Times New Roman"/>
        </w:rPr>
        <w:t>lorenzo.pecoraro@gmail.com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; </w:t>
      </w:r>
      <w:r>
        <w:rPr>
          <w:rStyle w:val="2"/>
          <w:rFonts w:ascii="Times New Roman" w:hAnsi="Times New Roman"/>
        </w:rPr>
        <w:fldChar w:fldCharType="begin"/>
      </w:r>
      <w:r>
        <w:rPr>
          <w:rStyle w:val="2"/>
          <w:rFonts w:ascii="Times New Roman" w:hAnsi="Times New Roman"/>
        </w:rPr>
        <w:instrText xml:space="preserve"> HYPERLINK "mailto:lorenzo.pecoraro@tju.edu.cn" </w:instrText>
      </w:r>
      <w:r>
        <w:rPr>
          <w:rStyle w:val="2"/>
          <w:rFonts w:ascii="Times New Roman" w:hAnsi="Times New Roman"/>
        </w:rPr>
        <w:fldChar w:fldCharType="separate"/>
      </w:r>
      <w:r>
        <w:rPr>
          <w:rStyle w:val="6"/>
          <w:rFonts w:ascii="Times New Roman" w:hAnsi="Times New Roman"/>
        </w:rPr>
        <w:t>lorenzo.pecoraro@tju.edu.cn</w:t>
      </w:r>
      <w:r>
        <w:rPr>
          <w:rStyle w:val="2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 School of Pharmaceutical Science and Technology, Tianjin University, 92 Weijin Road, Nankai District, Tianjin, 300072, China.</w:t>
      </w:r>
    </w:p>
    <w:p>
      <w:pPr>
        <w:spacing w:after="3" w:line="256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>
      <w:pPr>
        <w:spacing w:after="3" w:line="256" w:lineRule="auto"/>
        <w:ind w:left="6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Table S1: </w:t>
      </w:r>
      <w:r>
        <w:rPr>
          <w:rFonts w:ascii="Times New Roman" w:hAnsi="Times New Roman" w:cs="Times New Roman"/>
          <w:sz w:val="20"/>
          <w:szCs w:val="20"/>
        </w:rPr>
        <w:t xml:space="preserve">Fungal ligninolytic enzymes that are involved in the degradation of lignin, pesticides, drugs or hydrocarbons and their mediators </w:t>
      </w:r>
    </w:p>
    <w:p>
      <w:pPr>
        <w:spacing w:after="3" w:line="256" w:lineRule="auto"/>
        <w:ind w:left="65"/>
        <w:rPr>
          <w:rFonts w:ascii="Times New Roman" w:hAnsi="Times New Roman" w:cs="Times New Roman"/>
          <w:sz w:val="20"/>
          <w:szCs w:val="20"/>
        </w:rPr>
      </w:pPr>
    </w:p>
    <w:tbl>
      <w:tblPr>
        <w:tblStyle w:val="3"/>
        <w:tblW w:w="9600" w:type="dxa"/>
        <w:tblInd w:w="0" w:type="dxa"/>
        <w:tblLayout w:type="autofit"/>
        <w:tblCellMar>
          <w:top w:w="12" w:type="dxa"/>
          <w:left w:w="108" w:type="dxa"/>
          <w:bottom w:w="0" w:type="dxa"/>
          <w:right w:w="108" w:type="dxa"/>
        </w:tblCellMar>
      </w:tblPr>
      <w:tblGrid>
        <w:gridCol w:w="4060"/>
        <w:gridCol w:w="5540"/>
      </w:tblGrid>
      <w:tr>
        <w:tblPrEx>
          <w:tblCellMar>
            <w:top w:w="12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060" w:type="dxa"/>
            <w:tcBorders>
              <w:top w:val="single" w:color="181717" w:sz="8" w:space="0"/>
              <w:left w:val="nil"/>
              <w:bottom w:val="single" w:color="181717" w:sz="8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Fungal Enzyme</w:t>
            </w:r>
          </w:p>
        </w:tc>
        <w:tc>
          <w:tcPr>
            <w:tcW w:w="5540" w:type="dxa"/>
            <w:tcBorders>
              <w:top w:val="single" w:color="181717" w:sz="8" w:space="0"/>
              <w:left w:val="nil"/>
              <w:bottom w:val="single" w:color="181717" w:sz="8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Cofactor or Substrate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Lignin peroxidase, LiP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, veratryl alcohol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Manganese peroxidase, MnP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, Mn, organic acid as chelator, thiols, unsaturated lipids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Laccase, Lacc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mediators, for example, hydroxybenzotriazole or ABTS</w:t>
            </w:r>
          </w:p>
        </w:tc>
      </w:tr>
      <w:tr>
        <w:trPr>
          <w:trHeight w:val="300" w:hRule="atLeast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Versatile peroxidase (VP)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Reactive Black 5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Glyoxal oxidase (GLX)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Glyoxal, methyl glyoxal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Aryl-alcohol oxidase (AAO)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Aromatic alcohols (anisyl, veratryl alcohol)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Dye-decolorizing peroxidase (DyP)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Reactive Black 5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Chloroperoxidase (CPO)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Amino alcohol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Unspecific peroxygenase (UPO)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Aryl-alcohol 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Cellobiose hydrogenase (CDH)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Ferrocene derivatives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Glucose oxidase (GOX)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Ferrocene derivatives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Methanol oxidase (MOX)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Ferrocene–methanol (12</w:t>
            </w:r>
            <w:r>
              <w:rPr>
                <w:rFonts w:ascii="Cambria Math" w:hAnsi="Cambria Math" w:eastAsia="Times New Roman" w:cs="Cambria Math"/>
                <w:sz w:val="20"/>
                <w:szCs w:val="20"/>
              </w:rPr>
              <w:t>‐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fold) and nitrosoaniline (8</w:t>
            </w:r>
            <w:r>
              <w:rPr>
                <w:rFonts w:ascii="Cambria Math" w:hAnsi="Cambria Math" w:eastAsia="Times New Roman" w:cs="Cambria Math"/>
                <w:sz w:val="20"/>
                <w:szCs w:val="20"/>
              </w:rPr>
              <w:t>‐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fold)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Pyranose 2-oxidase (P2O)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Ferrocene carboxylic acid; 2-ketoaldoses</w:t>
            </w:r>
          </w:p>
        </w:tc>
      </w:tr>
      <w:tr>
        <w:trPr>
          <w:trHeight w:val="300" w:hRule="atLeast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Vanillyl-alcohol oxidase (VAO)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Vanillin, coniferyl alcohol and chiral aryl alcohols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Galactose oxidase (GAO)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Galactose and N-acetylgalactosamine</w:t>
            </w:r>
          </w:p>
        </w:tc>
      </w:tr>
      <w:tr>
        <w:tblPrEx>
          <w:tblCellMar>
            <w:top w:w="12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0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Benzoquinone reductase (BQR)</w:t>
            </w:r>
          </w:p>
        </w:tc>
        <w:tc>
          <w:tcPr>
            <w:tcW w:w="55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Quinone</w:t>
            </w:r>
          </w:p>
        </w:tc>
      </w:tr>
    </w:tbl>
    <w:p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ABTS = 2,2′-Azino-bis(3-ethylbenzothiazoline-6-sulfonic acid)</w:t>
      </w:r>
    </w:p>
    <w:p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br w:type="page"/>
      </w:r>
    </w:p>
    <w:p>
      <w:pPr>
        <w:rPr>
          <w:rFonts w:ascii="Times New Roman" w:hAnsi="Times New Roman" w:eastAsia="Times New Roman" w:cs="Times New Roman"/>
          <w:b/>
          <w:bCs/>
          <w:color w:val="222222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Table S2: </w:t>
      </w:r>
      <w:r>
        <w:rPr>
          <w:rFonts w:ascii="Times New Roman" w:hAnsi="Times New Roman" w:cs="Times New Roman"/>
          <w:color w:val="000000"/>
          <w:sz w:val="20"/>
          <w:szCs w:val="20"/>
        </w:rPr>
        <w:t>Fungal Ligninolytic enzymes and their reactions in mediator containing media</w:t>
      </w:r>
    </w:p>
    <w:tbl>
      <w:tblPr>
        <w:tblStyle w:val="3"/>
        <w:tblW w:w="5577" w:type="pct"/>
        <w:tblInd w:w="-5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5"/>
        <w:gridCol w:w="1196"/>
        <w:gridCol w:w="70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21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Enzyme</w:t>
            </w:r>
          </w:p>
        </w:tc>
        <w:tc>
          <w:tcPr>
            <w:tcW w:w="560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EC no. </w:t>
            </w:r>
          </w:p>
        </w:tc>
        <w:tc>
          <w:tcPr>
            <w:tcW w:w="3319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Reaction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Lignin peroxidase (LiP)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1.11.1.14</w:t>
            </w:r>
          </w:p>
        </w:tc>
        <w:tc>
          <w:tcPr>
            <w:tcW w:w="3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(3,4-Dimethoxyphenyl)methanol +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mbria Math" w:hAnsi="Cambria Math" w:eastAsia="Times New Roman" w:cs="Cambria Math"/>
                <w:color w:val="000000"/>
                <w:sz w:val="20"/>
                <w:szCs w:val="20"/>
              </w:rPr>
              <w:t>⇒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3,4-di-methoxybenzaldehyde + 2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Manganese peroxidase (MnP)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1.11.1.13</w:t>
            </w:r>
          </w:p>
        </w:tc>
        <w:tc>
          <w:tcPr>
            <w:tcW w:w="3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2 Mn(II) + 2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perscript"/>
                <w:lang w:val="it-IT"/>
              </w:rPr>
              <w:t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 xml:space="preserve"> + H2O2 </w:t>
            </w:r>
            <w:r>
              <w:rPr>
                <w:rFonts w:ascii="Cambria Math" w:hAnsi="Cambria Math" w:eastAsia="Times New Roman" w:cs="Cambria Math"/>
                <w:color w:val="000000"/>
                <w:sz w:val="20"/>
                <w:szCs w:val="20"/>
                <w:lang w:val="it-IT"/>
              </w:rPr>
              <w:t>⇒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 xml:space="preserve"> 2 Mn(III) + 2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O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Versatile peroxidase (VP)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1.11.1.16</w:t>
            </w:r>
          </w:p>
        </w:tc>
        <w:tc>
          <w:tcPr>
            <w:tcW w:w="3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(1) Reactive Black 5 +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Cambria Math" w:hAnsi="Cambria Math" w:eastAsia="Times New Roman" w:cs="Cambria Math"/>
                <w:color w:val="000000"/>
                <w:sz w:val="20"/>
                <w:szCs w:val="20"/>
              </w:rPr>
              <w:t>⇒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oxidized Reactive Black 5 + 2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O    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(2) Donor +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= oxidized donor + 2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Laccase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1.10.3.2</w:t>
            </w:r>
          </w:p>
        </w:tc>
        <w:tc>
          <w:tcPr>
            <w:tcW w:w="3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bookmarkStart w:id="1" w:name="_GoBack"/>
            <w:bookmarkEnd w:id="1"/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4 Benzenediol + 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mbria Math" w:hAnsi="Cambria Math" w:eastAsia="Times New Roman" w:cs="Cambria Math"/>
                <w:color w:val="000000"/>
                <w:sz w:val="20"/>
                <w:szCs w:val="20"/>
              </w:rPr>
              <w:t>⇒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4 benzosemiquinone + 2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Dye-decolorizing peroxidase (DyP)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1.11.1.19</w:t>
            </w:r>
          </w:p>
        </w:tc>
        <w:tc>
          <w:tcPr>
            <w:tcW w:w="3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Reactive Blue 5 + 2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Cambria Math" w:hAnsi="Cambria Math" w:eastAsia="Times New Roman" w:cs="Cambria Math"/>
                <w:color w:val="000000"/>
                <w:sz w:val="20"/>
                <w:szCs w:val="20"/>
                <w:lang w:val="it-IT"/>
              </w:rPr>
              <w:t>⇒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 xml:space="preserve"> phthalate + 2,2′-disulfonyl azobenzene + 3-[(4-amino-6-chloro-1,3,5-triazin-2-yl)amino] benzenesulfonate + 2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O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Chloroperoxidase (CPO)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1.11.1.10</w:t>
            </w:r>
          </w:p>
        </w:tc>
        <w:tc>
          <w:tcPr>
            <w:tcW w:w="3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RH + chloride +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Cambria Math" w:hAnsi="Cambria Math" w:eastAsia="Times New Roman" w:cs="Cambria Math"/>
                <w:color w:val="000000"/>
                <w:sz w:val="20"/>
                <w:szCs w:val="20"/>
                <w:lang w:val="it-IT"/>
              </w:rPr>
              <w:t>⇒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 xml:space="preserve"> RCl + 2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O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Unspecific peroxygenase (UPO)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1.11.2.1</w:t>
            </w:r>
          </w:p>
        </w:tc>
        <w:tc>
          <w:tcPr>
            <w:tcW w:w="3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RH +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mbria Math" w:hAnsi="Cambria Math" w:eastAsia="Times New Roman" w:cs="Cambria Math"/>
                <w:color w:val="000000"/>
                <w:sz w:val="20"/>
                <w:szCs w:val="20"/>
              </w:rPr>
              <w:t>⇒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ROH +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Cellobiose hydrogenase (CDH)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1.1.99.18</w:t>
            </w:r>
          </w:p>
        </w:tc>
        <w:tc>
          <w:tcPr>
            <w:tcW w:w="3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Cellobiose + acceptor </w:t>
            </w:r>
            <w:r>
              <w:rPr>
                <w:rFonts w:ascii="Cambria Math" w:hAnsi="Cambria Math" w:eastAsia="Times New Roman" w:cs="Cambria Math"/>
                <w:color w:val="000000"/>
                <w:sz w:val="20"/>
                <w:szCs w:val="20"/>
              </w:rPr>
              <w:t>⇒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cellobiono-1,5-lactone + reduced acceptor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Aryl-alcohol oxidase (AAO)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1.1.3.7</w:t>
            </w:r>
          </w:p>
        </w:tc>
        <w:tc>
          <w:tcPr>
            <w:tcW w:w="3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Aromatic primary alcohol + 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mbria Math" w:hAnsi="Cambria Math" w:eastAsia="Times New Roman" w:cs="Cambria Math"/>
                <w:color w:val="000000"/>
                <w:sz w:val="20"/>
                <w:szCs w:val="20"/>
              </w:rPr>
              <w:t>⇒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aromatic aldehyde +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Glucose oxidase (GOX)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1.1.3.4</w:t>
            </w:r>
          </w:p>
        </w:tc>
        <w:tc>
          <w:tcPr>
            <w:tcW w:w="3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-D-Glucose + 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Cambria Math" w:hAnsi="Cambria Math" w:eastAsia="Times New Roman" w:cs="Cambria Math"/>
                <w:color w:val="000000"/>
                <w:sz w:val="20"/>
                <w:szCs w:val="20"/>
                <w:lang w:val="it-IT"/>
              </w:rPr>
              <w:t>⇒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 xml:space="preserve"> D-glucono-1,5-lactone +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Methanol oxidase (MOX)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1.1.3.13</w:t>
            </w:r>
          </w:p>
        </w:tc>
        <w:tc>
          <w:tcPr>
            <w:tcW w:w="3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A primary alcohol + 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mbria Math" w:hAnsi="Cambria Math" w:eastAsia="Times New Roman" w:cs="Cambria Math"/>
                <w:color w:val="000000"/>
                <w:sz w:val="20"/>
                <w:szCs w:val="20"/>
              </w:rPr>
              <w:t>⇒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an aldehyde +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Pyranose 2-oxidase (P2O)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EC1.1.3.10</w:t>
            </w:r>
          </w:p>
        </w:tc>
        <w:tc>
          <w:tcPr>
            <w:tcW w:w="3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D-Glucose + 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Cambria Math" w:hAnsi="Cambria Math" w:eastAsia="Times New Roman" w:cs="Cambria Math"/>
                <w:color w:val="000000"/>
                <w:sz w:val="20"/>
                <w:szCs w:val="20"/>
                <w:lang w:val="it-IT"/>
              </w:rPr>
              <w:t>⇒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 xml:space="preserve"> 2-dehydro-D-glucose +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Vanillyl-alcohol oxidase (VAO)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1.1.3.38</w:t>
            </w:r>
          </w:p>
        </w:tc>
        <w:tc>
          <w:tcPr>
            <w:tcW w:w="3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Vanillyl alcohol + 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Cambria Math" w:hAnsi="Cambria Math" w:eastAsia="Times New Roman" w:cs="Cambria Math"/>
                <w:color w:val="000000"/>
                <w:sz w:val="20"/>
                <w:szCs w:val="20"/>
                <w:lang w:val="it-IT"/>
              </w:rPr>
              <w:t>⇒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 xml:space="preserve"> vanillin +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Glyoxal oxidase (GLX)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1.1.3.–</w:t>
            </w:r>
          </w:p>
        </w:tc>
        <w:tc>
          <w:tcPr>
            <w:tcW w:w="3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RCHO + 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 xml:space="preserve"> +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 xml:space="preserve">O </w:t>
            </w:r>
            <w:r>
              <w:rPr>
                <w:rFonts w:ascii="Cambria Math" w:hAnsi="Cambria Math" w:eastAsia="Times New Roman" w:cs="Cambria Math"/>
                <w:color w:val="000000"/>
                <w:sz w:val="20"/>
                <w:szCs w:val="20"/>
                <w:lang w:val="it-IT"/>
              </w:rPr>
              <w:t>⇒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 xml:space="preserve"> RCOOH +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Galactose oxidase (GAO)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1.1.3.9</w:t>
            </w:r>
          </w:p>
        </w:tc>
        <w:tc>
          <w:tcPr>
            <w:tcW w:w="3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D-Galactose + 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Cambria Math" w:hAnsi="Cambria Math" w:eastAsia="Times New Roman" w:cs="Cambria Math"/>
                <w:color w:val="000000"/>
                <w:sz w:val="20"/>
                <w:szCs w:val="20"/>
                <w:lang w:val="it-IT"/>
              </w:rPr>
              <w:t>⇒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 xml:space="preserve"> D-galacto-hexodialdose +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it-IT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Benzoquinone reductase (BQR)</w:t>
            </w:r>
          </w:p>
        </w:tc>
        <w:tc>
          <w:tcPr>
            <w:tcW w:w="56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1.6.5.6</w:t>
            </w:r>
          </w:p>
        </w:tc>
        <w:tc>
          <w:tcPr>
            <w:tcW w:w="331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NADPH + H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+ p-benzoquinone </w:t>
            </w:r>
            <w:r>
              <w:rPr>
                <w:rFonts w:ascii="Cambria Math" w:hAnsi="Cambria Math" w:eastAsia="Times New Roman" w:cs="Cambria Math"/>
                <w:color w:val="000000"/>
                <w:sz w:val="20"/>
                <w:szCs w:val="20"/>
              </w:rPr>
              <w:t>⇒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NADP+ + hydroquinone</w:t>
            </w:r>
          </w:p>
        </w:tc>
      </w:tr>
    </w:tbl>
    <w:p>
      <w:pPr>
        <w:rPr>
          <w:rFonts w:ascii="Times New Roman" w:hAnsi="Times New Roman" w:cs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  <w:r>
        <w:rPr>
          <w:rFonts w:ascii="Times New Roman" w:hAnsi="Times New Roman" w:cs="Times New Roman"/>
          <w:b/>
          <w:sz w:val="20"/>
          <w:szCs w:val="20"/>
        </w:rPr>
        <w:t>Table S3:</w:t>
      </w:r>
      <w:r>
        <w:rPr>
          <w:rFonts w:ascii="Times New Roman" w:hAnsi="Times New Roman" w:cs="Times New Roman"/>
          <w:sz w:val="20"/>
          <w:szCs w:val="20"/>
        </w:rPr>
        <w:t xml:space="preserve"> Example of some computation tools that can be used for pathway construction in fungi</w:t>
      </w:r>
    </w:p>
    <w:tbl>
      <w:tblPr>
        <w:tblStyle w:val="3"/>
        <w:tblW w:w="5625" w:type="pct"/>
        <w:tblInd w:w="-4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2118"/>
        <w:gridCol w:w="1747"/>
        <w:gridCol w:w="2762"/>
        <w:gridCol w:w="26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8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Category</w:t>
            </w:r>
          </w:p>
        </w:tc>
        <w:tc>
          <w:tcPr>
            <w:tcW w:w="98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81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Database</w:t>
            </w:r>
          </w:p>
        </w:tc>
        <w:tc>
          <w:tcPr>
            <w:tcW w:w="128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Search algorithm</w:t>
            </w:r>
          </w:p>
        </w:tc>
        <w:tc>
          <w:tcPr>
            <w:tcW w:w="12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Supplementary Reference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Graph-based</w:t>
            </w:r>
          </w:p>
        </w:tc>
        <w:tc>
          <w:tcPr>
            <w:tcW w:w="98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ReTrace </w:t>
            </w:r>
          </w:p>
        </w:tc>
        <w:tc>
          <w:tcPr>
            <w:tcW w:w="81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</w:t>
            </w:r>
          </w:p>
        </w:tc>
        <w:tc>
          <w:tcPr>
            <w:tcW w:w="128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Heuristic search</w:t>
            </w:r>
          </w:p>
        </w:tc>
        <w:tc>
          <w:tcPr>
            <w:tcW w:w="123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[1]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PathComp  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Depth-first search (DFS)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[2]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MetaRoute 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</w:t>
            </w:r>
          </w:p>
        </w:tc>
        <w:tc>
          <w:tcPr>
            <w:tcW w:w="25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Eppstein's k-shortest path             [3]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Pathway Hunter Tool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BFS with HOHL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[4]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FMM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BFS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[5]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RouteSearch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MetaCyc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Branch and Bound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[6]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MRE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Yen's loopless k-shortest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path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[7]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CMPF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KEGG, RPAIR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Bounded depth path enumeration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[8]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NeAT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MetaCyc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Takahashie Matsuyama, Pairwise K-shortest paths, and k Walks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[9]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LPAT/BPAT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BPAT-M Search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[10]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Rahnuma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DFS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[11]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Metabolic Tinker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CHEBI, Rhea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Heuristic search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[12]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FogLight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KEGG, MetaCyc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Brute-force search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[13]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MRSD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</w:t>
            </w:r>
          </w:p>
        </w:tc>
        <w:tc>
          <w:tcPr>
            <w:tcW w:w="25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Eppstein's k-shortest path             [14]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DESHARKY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Monte Carlo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[15]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Stoichiometry based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optStoic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KEGG, MetRxn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MILP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ind w:right="-20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[16]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PathTracer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BIGG, Ijo1366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MILP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[17]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CFP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BIGG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MILP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[18]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METATOOL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5.0/kshortest FFM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BIGG,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iAF1260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MILP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[19, 20]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OptStrain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MILP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[21]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Retrosynthesis based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Simpheny 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BIGG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Retrosynthetic enumeration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[22]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GEM-Path 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BIGG, iJO1366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Retrosyntheticenumeration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[23]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XTMS/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RetroPath/ RetroPath 2.0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MetaCyc,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BioCyc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Retrosynthetic enumeration and MILP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[24-26]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BNICE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ATLAS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Retrosynthetic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enumeration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[27]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UM-PPS 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UM-BBD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Retrosynthetic enumeration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[28]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PathPred 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KEGG, RPAIR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Retrosynthetic enumeration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[29]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Route Designer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MOS, Beilste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Retrosynthetic enumeration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[30]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SimIndex/ SimZyme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BRENDA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ByerseWaterman type pathway search</w:t>
            </w:r>
          </w:p>
        </w:tc>
        <w:tc>
          <w:tcPr>
            <w:tcW w:w="1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[31]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68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Method by Cho et al.</w:t>
            </w:r>
          </w:p>
        </w:tc>
        <w:tc>
          <w:tcPr>
            <w:tcW w:w="81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</w:t>
            </w:r>
          </w:p>
        </w:tc>
        <w:tc>
          <w:tcPr>
            <w:tcW w:w="128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Retrosynthetic enumeration</w:t>
            </w:r>
          </w:p>
        </w:tc>
        <w:tc>
          <w:tcPr>
            <w:tcW w:w="12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[32]</w:t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Table adapted from Wang et al. (2017)</w:t>
      </w:r>
    </w:p>
    <w:p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br w:type="page"/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Further information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Active Site Classification (ASC):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http://asc.informatik.uni-tuebingen.de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antiSMASH: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http://antismash.secondarymetabolites.org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Asmparts: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http://soft.synth-bio.org/asmparts.html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Biojade: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http://web.mit.edu/jagoler/www/biojade/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BioMet Toolbox: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http://www.sysbio.se/BioMet/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BioNetCAD: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http://www.sysdiag.cnrs.fr/BioNetCAD/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CarbonSearch: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http://www.kavrakilab.org/atommetanet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CellDesigner: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http://www.celldesigner.org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CloneQC: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http://cloneqc.thruhere.net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Clotho: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http://www.clothocad.org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COBRA Toolbox: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http://opencobra.sourceforge.net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CycSim: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http://www.genoscope.cns.fr/cycsim/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DESHARKY: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http://soft.synth-bio.org/desharky.html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DNAWorks: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http://helixweb.nih.gov/dnaworks/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From Metabolite to Metabolite (FMM):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http://fmm.mbc.nctu. edu.tw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  <w:lang w:val="it-IT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Gene Composer: </w:t>
      </w:r>
      <w:r>
        <w:rPr>
          <w:rStyle w:val="10"/>
          <w:rFonts w:ascii="Times New Roman" w:hAnsi="Times New Roman" w:cs="Times New Roman"/>
          <w:sz w:val="20"/>
          <w:szCs w:val="20"/>
          <w:lang w:val="it-IT"/>
        </w:rPr>
        <w:t xml:space="preserve">http://www.genecomposer.net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  <w:lang w:val="it-IT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Gene Designer 2.0: </w:t>
      </w:r>
      <w:r>
        <w:rPr>
          <w:rStyle w:val="10"/>
          <w:rFonts w:ascii="Times New Roman" w:hAnsi="Times New Roman" w:cs="Times New Roman"/>
          <w:sz w:val="20"/>
          <w:szCs w:val="20"/>
          <w:lang w:val="it-IT"/>
        </w:rPr>
        <w:t xml:space="preserve">https://www.dna20.com/genedesigner2/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  <w:lang w:val="it-IT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GeneDesign: </w:t>
      </w:r>
      <w:r>
        <w:rPr>
          <w:rStyle w:val="10"/>
          <w:rFonts w:ascii="Times New Roman" w:hAnsi="Times New Roman" w:cs="Times New Roman"/>
          <w:sz w:val="20"/>
          <w:szCs w:val="20"/>
          <w:lang w:val="it-IT"/>
        </w:rPr>
        <w:t xml:space="preserve">http://www.genedesign.org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  <w:lang w:val="it-IT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GenoCAD: </w:t>
      </w:r>
      <w:r>
        <w:rPr>
          <w:rStyle w:val="10"/>
          <w:rFonts w:ascii="Times New Roman" w:hAnsi="Times New Roman" w:cs="Times New Roman"/>
          <w:sz w:val="20"/>
          <w:szCs w:val="20"/>
          <w:lang w:val="it-IT"/>
        </w:rPr>
        <w:t xml:space="preserve">http://www.genocad.org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  <w:lang w:val="it-IT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GLAMM: </w:t>
      </w:r>
      <w:r>
        <w:rPr>
          <w:rStyle w:val="10"/>
          <w:rFonts w:ascii="Times New Roman" w:hAnsi="Times New Roman" w:cs="Times New Roman"/>
          <w:sz w:val="20"/>
          <w:szCs w:val="20"/>
          <w:lang w:val="it-IT"/>
        </w:rPr>
        <w:t xml:space="preserve">http://glamm.lbl.gov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Integrated Microbial Genomes (IMG):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http://img.jgi.doe.gov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iPATH2: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http://pathways.embl.de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KEGG: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http://www.genome.jp/kegg/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  <w:lang w:val="it-IT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MultiGeneBlast: </w:t>
      </w:r>
      <w:r>
        <w:rPr>
          <w:rStyle w:val="10"/>
          <w:rFonts w:ascii="Times New Roman" w:hAnsi="Times New Roman" w:cs="Times New Roman"/>
          <w:sz w:val="20"/>
          <w:szCs w:val="20"/>
          <w:lang w:val="it-IT"/>
        </w:rPr>
        <w:t xml:space="preserve">http://multigeneblast.sourceforge.net/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Optimizer: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http://genomes.urv.cat/OPTIMIZER/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RBS Calculator: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https://salis.psu.edu/software/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RBSDesigner: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http://rbs.kaist.ac.kr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Registry of Standard Biological Parts: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http://partsregistry.org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RetroPath: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http://www.issb.genopole.fr/~faulon/retropath. php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Standard Biological Parts knowledgebase: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http://sbpkb. sbolstandard.org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SurreyFBA: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http://sysbio3.fhms.surrey.ac.uk/SurreyFBA.zip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SynBioSS: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http://synbioss.sourceforge.net </w:t>
      </w:r>
    </w:p>
    <w:p>
      <w:pPr>
        <w:pStyle w:val="9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TinkerCell: </w:t>
      </w:r>
      <w:r>
        <w:rPr>
          <w:rStyle w:val="10"/>
          <w:rFonts w:ascii="Times New Roman" w:hAnsi="Times New Roman" w:cs="Times New Roman"/>
          <w:sz w:val="20"/>
          <w:szCs w:val="20"/>
        </w:rPr>
        <w:t xml:space="preserve">http://www.tinkercell.com </w:t>
      </w:r>
    </w:p>
    <w:p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WebGEC: </w:t>
      </w:r>
      <w:r>
        <w:rPr>
          <w:rStyle w:val="10"/>
          <w:rFonts w:ascii="Times New Roman" w:hAnsi="Times New Roman" w:cs="Times New Roman"/>
          <w:sz w:val="20"/>
          <w:szCs w:val="20"/>
        </w:rPr>
        <w:t>http://lepton.research.microsoft.com/webgec/</w:t>
      </w:r>
    </w:p>
    <w:p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  <w:sectPr>
          <w:footerReference r:id="rId5" w:type="default"/>
          <w:pgSz w:w="12240" w:h="15840"/>
          <w:pgMar w:top="1440" w:right="1440" w:bottom="1440" w:left="1440" w:header="720" w:footer="720" w:gutter="0"/>
          <w:cols w:space="720" w:num="1"/>
          <w:docGrid w:linePitch="360" w:charSpace="0"/>
        </w:sectPr>
      </w:pPr>
    </w:p>
    <w:p>
      <w:pPr>
        <w:pageBreakBefore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Supplementary Reference 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Pitkanen E, Jouhten P, Rousu J. Inferring branching pathways in genomescale metabolic networks. BMC Syst. Biol. 2009;3:103.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  <w:lang w:val="it-IT"/>
        </w:rPr>
        <w:t xml:space="preserve">Goto S, Bono H, Ogata H, et al.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Organizing and computing metabolic pathway data in terms of binary relations. </w:t>
      </w:r>
      <w:r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Pac Symp Biocomput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. 1997;175-186.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Blum T, Kohlbacher O. MetaRoute: fast search for relevant metabolic routes for interactive network navigation and visualization. Bioinform. 2008;24(18):2108e9. 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Rahman SA, Advani P, Schunk R. et al. </w:t>
      </w:r>
      <w:r>
        <w:rPr>
          <w:rFonts w:ascii="Times New Roman" w:hAnsi="Times New Roman" w:cs="Times New Roman"/>
          <w:sz w:val="20"/>
          <w:szCs w:val="20"/>
        </w:rPr>
        <w:t xml:space="preserve">Metabolic pathway analysis web service (Pathway Hunter Tool at CUBIC). Bioinform. 2005;21(7):1189e93. 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Chou CH, Chang W, Chiu C et al. FMM: a web server for metabolic pathway reconstruction and comparative analysis. Nucleic Acids Res. 2009;37:W129e34.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Latendresse M, Krummenacker M, Karp PD. Optimal metabolic route search based on atom mappings. Bioinform. 2014;30(14):2043e50.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Kuwahara H, Alazmi M, Cui X, Gao X.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MRE: a web tool to suggest foreign enzymes for the biosynthesis pathway design with competing endogenous reactions in mind. Nucleic Acids Res. 2016;44(W1):W217e25. </w:t>
      </w:r>
      <w:r>
        <w:fldChar w:fldCharType="begin"/>
      </w:r>
      <w:r>
        <w:instrText xml:space="preserve"> HYPERLINK "https://doi.org/10.1093/nar/gkw342" </w:instrText>
      </w:r>
      <w:r>
        <w:fldChar w:fldCharType="separate"/>
      </w:r>
      <w:r>
        <w:rPr>
          <w:rStyle w:val="6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https://doi.org/10.1093/nar/gkw342</w:t>
      </w:r>
      <w:r>
        <w:rPr>
          <w:rStyle w:val="6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fldChar w:fldCharType="end"/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Lim K, Wong L. CMPF: class-switching minimized pathfinding in metabolic networks. BMC Bioinforma. 2012;13(Suppl 17):S17.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Faust K, Dupont P, Callut J, van Helden J: Pathway discovery in metabolic networks by subgraph extraction. Bioinformatics 2010;26:1211-1218.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Heath AP, Bennett GN, Kavraki LE. An algorithm for efficient identification of branched metabolic pathways. J. Comput. Biol. 2011;18(11):1575e97.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Mithani A, Preston GM, Hein J. Rahnuma: hypergraph-based tool for metabolic pathway prediction and network comparison. Bioinform. 2009;25(14):1831e2.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McClymont K, Soyer OS. Metabolic tinker: an online tool for guiding the design of synthetic metabolic pathways. Nucleic Acids Res 2013;41(11), e113.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Khosraviani M, Saheb ZM, Bidkhori G. FogLight: an efficient matrixbased approach to construct metabolic pathways by search space reduction. Bioinform. 2016;32(3):398e408. 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Xia D, Zheng H, Liu Z. et al. MRSD: a web server for metabolic route search and design. Bioinform. 2011;27(11):1581e2. </w:t>
      </w:r>
      <w:r>
        <w:fldChar w:fldCharType="begin"/>
      </w:r>
      <w:r>
        <w:instrText xml:space="preserve"> HYPERLINK "https://doi.org/10.1093/bioinformatics/btr160" </w:instrText>
      </w:r>
      <w:r>
        <w:fldChar w:fldCharType="separate"/>
      </w:r>
      <w:r>
        <w:rPr>
          <w:rStyle w:val="6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https://doi.org/10.1093/bioinformatics/btr160</w:t>
      </w:r>
      <w:r>
        <w:rPr>
          <w:rStyle w:val="6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fldChar w:fldCharType="end"/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Rodrigo G, Carrera J, Prather JK, Jaramillo A. DESHARKY: automatic design of metabolic pathways for optimal cell growth. Bioinform. 2008;24(21):2554e6.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Chowdhury A, Maranas CD. Designing overall stoichiometric conversions and intervening metabolic reactions. Sci. Rep. 2015;5. 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Tervo CJ, Reed JL. MapMaker and PathTracer for tracking carbon in genomescale metabolic models. Biotechnol. J. 2016;11(5):648e61. 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Pey J, Prada J, Beasley J.E. et al. Path finding methods accounting for stoichiometry in metabolic networks. Genome Biol. 2011;12(5):R49.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https://doi.org/10.1186/gb-2011-12-5-r49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von Kamp A, Schuster S, Metatool S. 5.0: fast and flexible elementary modes analysis. Bioinform. 2006;22(15):1930e1. 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de Figueiredo LF, Podhorski A, Rubio A. et al. </w:t>
      </w:r>
      <w:r>
        <w:rPr>
          <w:rFonts w:ascii="Times New Roman" w:hAnsi="Times New Roman" w:cs="Times New Roman"/>
          <w:sz w:val="20"/>
          <w:szCs w:val="20"/>
        </w:rPr>
        <w:t xml:space="preserve">Computing the shortest elementary flux modes in genome-scale metabolic networks. Bioinform. 2009;25(23);3158e65. </w:t>
      </w:r>
      <w:r>
        <w:fldChar w:fldCharType="begin"/>
      </w:r>
      <w:r>
        <w:instrText xml:space="preserve"> HYPERLINK "https://doi.org/10.1093/bioinformatics/btp564" </w:instrText>
      </w:r>
      <w:r>
        <w:fldChar w:fldCharType="separate"/>
      </w:r>
      <w:r>
        <w:rPr>
          <w:rStyle w:val="6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https://doi.org/10.1093/bioinformatics/btp564</w:t>
      </w:r>
      <w:r>
        <w:rPr>
          <w:rStyle w:val="6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Pharkya P, Burgard AP, Maranas CD. OptStrain: a computational framework for redesign of microbial production systems. Genome Res. 2004;14(11):2367e76. 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Yim H.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Haselbeck R, Niu W. </w:t>
      </w:r>
      <w:r>
        <w:rPr>
          <w:rFonts w:ascii="Times New Roman" w:hAnsi="Times New Roman" w:cs="Times New Roman"/>
          <w:sz w:val="20"/>
          <w:szCs w:val="20"/>
        </w:rPr>
        <w:t xml:space="preserve">et al. Metabolic engineering of Escherichia coli for direct production of 1,4-butanediol. Nat. Chem. Biol. 2011;7(7):445e52.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https://doi.org/10.1038/nchembio.580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Campodonico MA, Andrews BA, Asenjo J. et al. </w:t>
      </w:r>
      <w:r>
        <w:rPr>
          <w:rFonts w:ascii="Times New Roman" w:hAnsi="Times New Roman" w:cs="Times New Roman"/>
          <w:sz w:val="20"/>
          <w:szCs w:val="20"/>
        </w:rPr>
        <w:t xml:space="preserve">Generation of an atlas for commodity chemical production in Escherichia coli and a novel pathway prediction algorithm, GEM-Path. Metab. Eng. 2014;25:140e58. </w:t>
      </w:r>
      <w:r>
        <w:fldChar w:fldCharType="begin"/>
      </w:r>
      <w:r>
        <w:instrText xml:space="preserve"> HYPERLINK "https://doi.org/10.1016/j.ymben.2014.07.009" \t "_blank" \o "Persistent link using digital object identifier" </w:instrText>
      </w:r>
      <w:r>
        <w:fldChar w:fldCharType="separate"/>
      </w:r>
      <w:r>
        <w:rPr>
          <w:rStyle w:val="6"/>
          <w:rFonts w:ascii="Times New Roman" w:hAnsi="Times New Roman" w:cs="Times New Roman"/>
          <w:color w:val="auto"/>
          <w:sz w:val="20"/>
          <w:szCs w:val="20"/>
        </w:rPr>
        <w:t>https://doi.org/10.1016/j.ymben.2014.07.009</w:t>
      </w:r>
      <w:r>
        <w:rPr>
          <w:rStyle w:val="6"/>
          <w:rFonts w:ascii="Times New Roman" w:hAnsi="Times New Roman" w:cs="Times New Roman"/>
          <w:color w:val="auto"/>
          <w:sz w:val="20"/>
          <w:szCs w:val="20"/>
        </w:rP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Carbonell P, Parutto P, Herisson SJ, Pandit SB, Faulon J. XTMS: pathway design in an eXTended metabolic space. Nucleic Acids Res. 2014;42;W389e94. </w:t>
      </w:r>
      <w:r>
        <w:fldChar w:fldCharType="begin"/>
      </w:r>
      <w:r>
        <w:instrText xml:space="preserve"> HYPERLINK "https://doi.org/10.1093/nar/gku362" </w:instrText>
      </w:r>
      <w:r>
        <w:fldChar w:fldCharType="separate"/>
      </w:r>
      <w:r>
        <w:rPr>
          <w:rStyle w:val="6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https://doi.org/10.1093/nar/gku362</w:t>
      </w:r>
      <w:r>
        <w:rPr>
          <w:rStyle w:val="6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fldChar w:fldCharType="end"/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Carbonell P,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Planson AG, Fichera D, Faulon JL.</w:t>
      </w:r>
      <w:r>
        <w:rPr>
          <w:rFonts w:ascii="Times New Roman" w:hAnsi="Times New Roman" w:cs="Times New Roman"/>
          <w:sz w:val="20"/>
          <w:szCs w:val="20"/>
        </w:rPr>
        <w:t xml:space="preserve"> A retrosynthetic biology approach to metabolic pathway design for therapeutic production. BMC Syst. Biol. 2011;5:122.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doi:10.1186/1752-0509-5-122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Delepine B. et al. RetroPath2.0: a retrosynthesis workflow for metabolic engineers. bioRxiv; 2017;141721. 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Hatzimanikatis V, Li C, Justin A. et al. Exploring the diversity of complex metabolic networks. Bioinform. 2005;21(8):1603e9. </w:t>
      </w:r>
      <w:r>
        <w:fldChar w:fldCharType="begin"/>
      </w:r>
      <w:r>
        <w:instrText xml:space="preserve"> HYPERLINK "https://doi.org/10.1093/bioinformatics/bti213" </w:instrText>
      </w:r>
      <w:r>
        <w:fldChar w:fldCharType="separate"/>
      </w:r>
      <w:r>
        <w:rPr>
          <w:rStyle w:val="6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https://doi.org/10.1093/bioinformatics/bti213</w:t>
      </w:r>
      <w:r>
        <w:rPr>
          <w:rStyle w:val="6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fldChar w:fldCharType="end"/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Gao J, Ellis LB, Wackett LP. The university of Minnesota pathway prediction system: multi-level prediction and visualization. Nucleic Acids Res. 2011;39:W406e11. 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Moriya Y, Shigemizu D, Hattori M. et al. PathPred: an enzyme-catalyzed metabolic pathway prediction server. Nucleic Acids Res. 2010;38:W138e43.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Law J. Zsoldos Z, Simon A. et al. Route Designer: a retrosynthetic analysis tool utilizing automated retrosynthetic rule generation. J. Chem. Inf. Model. 2009;249(3):593e602. 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Pertusi DA. </w:t>
      </w:r>
      <w:r>
        <w:rPr>
          <w:rFonts w:ascii="Times New Roman" w:hAnsi="Times New Roman" w:cs="Times New Roman"/>
          <w:sz w:val="20"/>
          <w:szCs w:val="20"/>
          <w:shd w:val="clear" w:color="auto" w:fill="FFFFFF"/>
          <w:lang w:val="it-IT"/>
        </w:rPr>
        <w:t>Stine AE, Broadbelt LJ, Tyo KE. </w:t>
      </w:r>
      <w:r>
        <w:rPr>
          <w:rFonts w:ascii="Times New Roman" w:hAnsi="Times New Roman" w:cs="Times New Roman"/>
          <w:sz w:val="20"/>
          <w:szCs w:val="20"/>
        </w:rPr>
        <w:t xml:space="preserve">Efficient searching and annotation of metabolic networks using chemical similarity. Bioinform. 2015;31(7):1016e24.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https://doi.org/10.1093/bioinformatics/btu760.</w:t>
      </w:r>
    </w:p>
    <w:p>
      <w:pPr>
        <w:pStyle w:val="1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Cho A.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Yun, H., Park, J.H. </w:t>
      </w:r>
      <w:r>
        <w:rPr>
          <w:rFonts w:ascii="Times New Roman" w:hAnsi="Times New Roman" w:cs="Times New Roman"/>
          <w:sz w:val="20"/>
          <w:szCs w:val="20"/>
        </w:rPr>
        <w:t xml:space="preserve">et al. Prediction of novel synthetic pathways for the production of desired chemicals. BMC Syst. Biol. 2010;4:35.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https://doi.org/10.1186/1752-0509-4-35</w:t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>
      <w:footnotePr>
        <w:pos w:val="beneathText"/>
      </w:footnotePr>
      <w:pgSz w:w="12240" w:h="15840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iverda Sans Com Medium">
    <w:altName w:val="Segoe Print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Diverda Sans Com Light">
    <w:altName w:val="Segoe Print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Times New Roman (Corpo CS)">
    <w:altName w:val="Times New Roman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60126623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3576DB"/>
    <w:multiLevelType w:val="multilevel"/>
    <w:tmpl w:val="1B3576DB"/>
    <w:lvl w:ilvl="0" w:tentative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462"/>
    <w:rsid w:val="00035000"/>
    <w:rsid w:val="0003551B"/>
    <w:rsid w:val="00037592"/>
    <w:rsid w:val="001139DB"/>
    <w:rsid w:val="00124D93"/>
    <w:rsid w:val="00160B5C"/>
    <w:rsid w:val="0020736A"/>
    <w:rsid w:val="00256462"/>
    <w:rsid w:val="00353CB8"/>
    <w:rsid w:val="003951F5"/>
    <w:rsid w:val="004817E0"/>
    <w:rsid w:val="004938BA"/>
    <w:rsid w:val="004B4E6C"/>
    <w:rsid w:val="004D6065"/>
    <w:rsid w:val="00505C26"/>
    <w:rsid w:val="0057432E"/>
    <w:rsid w:val="005A495A"/>
    <w:rsid w:val="00650B4C"/>
    <w:rsid w:val="00667137"/>
    <w:rsid w:val="00673A73"/>
    <w:rsid w:val="006A39D9"/>
    <w:rsid w:val="00717665"/>
    <w:rsid w:val="00783076"/>
    <w:rsid w:val="00800350"/>
    <w:rsid w:val="00855749"/>
    <w:rsid w:val="008573EF"/>
    <w:rsid w:val="008E1928"/>
    <w:rsid w:val="008E673E"/>
    <w:rsid w:val="00935AE5"/>
    <w:rsid w:val="009D3DDA"/>
    <w:rsid w:val="009D6E67"/>
    <w:rsid w:val="009F16ED"/>
    <w:rsid w:val="00AD04BB"/>
    <w:rsid w:val="00B2578C"/>
    <w:rsid w:val="00C9715B"/>
    <w:rsid w:val="00CA4FE6"/>
    <w:rsid w:val="00D048FA"/>
    <w:rsid w:val="00D356B9"/>
    <w:rsid w:val="00DB420D"/>
    <w:rsid w:val="00DF05AE"/>
    <w:rsid w:val="00E609F7"/>
    <w:rsid w:val="00F410B3"/>
    <w:rsid w:val="00F97728"/>
    <w:rsid w:val="00FD59D5"/>
    <w:rsid w:val="28771087"/>
    <w:rsid w:val="7147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1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6">
    <w:name w:val="Hyperlink"/>
    <w:basedOn w:val="2"/>
    <w:semiHidden/>
    <w:unhideWhenUsed/>
    <w:qFormat/>
    <w:uiPriority w:val="99"/>
    <w:rPr>
      <w:color w:val="0000FF"/>
      <w:u w:val="single"/>
    </w:rPr>
  </w:style>
  <w:style w:type="table" w:customStyle="1" w:styleId="7">
    <w:name w:val="TableGrid"/>
    <w:qFormat/>
    <w:uiPriority w:val="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Diverda Sans Com Medium" w:hAnsi="Diverda Sans Com Medium" w:cs="Diverda Sans Com Medium" w:eastAsiaTheme="minorHAnsi"/>
      <w:color w:val="000000"/>
      <w:sz w:val="24"/>
      <w:szCs w:val="24"/>
      <w:lang w:val="en-US" w:eastAsia="en-US" w:bidi="ar-SA"/>
    </w:rPr>
  </w:style>
  <w:style w:type="paragraph" w:customStyle="1" w:styleId="9">
    <w:name w:val="Pa32"/>
    <w:basedOn w:val="8"/>
    <w:next w:val="8"/>
    <w:uiPriority w:val="99"/>
    <w:pPr>
      <w:spacing w:line="120" w:lineRule="atLeast"/>
    </w:pPr>
    <w:rPr>
      <w:rFonts w:cstheme="minorBidi"/>
      <w:color w:val="auto"/>
    </w:rPr>
  </w:style>
  <w:style w:type="character" w:customStyle="1" w:styleId="10">
    <w:name w:val="A25"/>
    <w:qFormat/>
    <w:uiPriority w:val="99"/>
    <w:rPr>
      <w:rFonts w:ascii="Diverda Sans Com Light" w:hAnsi="Diverda Sans Com Light" w:cs="Diverda Sans Com Light"/>
      <w:color w:val="000000"/>
      <w:sz w:val="12"/>
      <w:szCs w:val="12"/>
      <w:u w:val="single"/>
    </w:rPr>
  </w:style>
  <w:style w:type="character" w:customStyle="1" w:styleId="11">
    <w:name w:val="Intestazione Carattere"/>
    <w:basedOn w:val="2"/>
    <w:link w:val="5"/>
    <w:uiPriority w:val="99"/>
  </w:style>
  <w:style w:type="character" w:customStyle="1" w:styleId="12">
    <w:name w:val="Piè di pagina Carattere"/>
    <w:basedOn w:val="2"/>
    <w:link w:val="4"/>
    <w:uiPriority w:val="99"/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text"/>
    <w:basedOn w:val="2"/>
    <w:uiPriority w:val="0"/>
  </w:style>
  <w:style w:type="character" w:customStyle="1" w:styleId="15">
    <w:name w:val="author-ref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1859</Words>
  <Characters>10597</Characters>
  <Lines>88</Lines>
  <Paragraphs>24</Paragraphs>
  <TotalTime>1</TotalTime>
  <ScaleCrop>false</ScaleCrop>
  <LinksUpToDate>false</LinksUpToDate>
  <CharactersWithSpaces>12432</CharactersWithSpaces>
  <Application>WPS Office_11.2.0.9906_F1E327BC-269C-435d-A152-05C5408002CA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2020-07-29T20:06:00Z</dcterms:created>
  <dc:creator>USER</dc:creator>
  <cp:lastModifiedBy>Asemoloye </cp:lastModifiedBy>
  <dcterms:modified xsi:type="dcterms:W3CDTF">2020-12-27T12:46:04Z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1033-11.2.0.9906</vt:lpwstr>
  </property>
</Properties>
</file>