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92410B" w14:textId="5200262B" w:rsidR="00206ED8" w:rsidRPr="00206ED8" w:rsidRDefault="00DA179F" w:rsidP="000D130D">
      <w:pPr>
        <w:pBdr>
          <w:left w:val="none" w:sz="4" w:space="5" w:color="000000"/>
        </w:pBdr>
        <w:spacing w:line="480" w:lineRule="auto"/>
        <w:rPr>
          <w:rFonts w:cs="Times New Roman"/>
          <w:b/>
          <w:bCs/>
          <w:sz w:val="24"/>
          <w:szCs w:val="24"/>
          <w:shd w:val="clear" w:color="auto" w:fill="FFFFFF"/>
          <w:lang w:val="en-US"/>
        </w:rPr>
      </w:pPr>
      <w:r>
        <w:rPr>
          <w:rFonts w:cs="Times New Roman"/>
          <w:b/>
          <w:sz w:val="24"/>
          <w:szCs w:val="24"/>
          <w:shd w:val="clear" w:color="auto" w:fill="FFFFFF"/>
          <w:lang w:val="en-US"/>
        </w:rPr>
        <w:t>Table S</w:t>
      </w:r>
      <w:r w:rsidR="00206ED8" w:rsidRPr="00206ED8">
        <w:rPr>
          <w:rFonts w:cs="Times New Roman"/>
          <w:b/>
          <w:sz w:val="24"/>
          <w:szCs w:val="24"/>
          <w:shd w:val="clear" w:color="auto" w:fill="FFFFFF"/>
          <w:lang w:val="en-US"/>
        </w:rPr>
        <w:t>1:</w:t>
      </w:r>
      <w:r w:rsidR="00206ED8" w:rsidRPr="00206ED8">
        <w:rPr>
          <w:rFonts w:cs="Times New Roman"/>
          <w:sz w:val="24"/>
          <w:szCs w:val="24"/>
          <w:shd w:val="clear" w:color="auto" w:fill="FFFFFF"/>
          <w:lang w:val="en-US"/>
        </w:rPr>
        <w:t xml:space="preserve"> </w:t>
      </w:r>
      <w:bookmarkStart w:id="0" w:name="_Hlk92990015"/>
      <w:r w:rsidR="00206ED8" w:rsidRPr="00206ED8">
        <w:rPr>
          <w:rFonts w:cs="Times New Roman"/>
          <w:b/>
          <w:bCs/>
          <w:sz w:val="24"/>
          <w:szCs w:val="24"/>
          <w:shd w:val="clear" w:color="auto" w:fill="FFFFFF"/>
          <w:lang w:val="en-US"/>
        </w:rPr>
        <w:t>Evolution of the relative growth rate and relative xylanase activity along generations.</w:t>
      </w:r>
      <w:bookmarkEnd w:id="0"/>
    </w:p>
    <w:tbl>
      <w:tblPr>
        <w:tblStyle w:val="Tableausimple2"/>
        <w:tblW w:w="10000" w:type="dxa"/>
        <w:tblInd w:w="-567" w:type="dxa"/>
        <w:tblLook w:val="04A0" w:firstRow="1" w:lastRow="0" w:firstColumn="1" w:lastColumn="0" w:noHBand="0" w:noVBand="1"/>
      </w:tblPr>
      <w:tblGrid>
        <w:gridCol w:w="1304"/>
        <w:gridCol w:w="2300"/>
        <w:gridCol w:w="2163"/>
        <w:gridCol w:w="2126"/>
        <w:gridCol w:w="142"/>
        <w:gridCol w:w="1965"/>
      </w:tblGrid>
      <w:tr w:rsidR="00206ED8" w:rsidRPr="00206ED8" w14:paraId="16CCD0DA" w14:textId="77777777" w:rsidTr="00862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  <w:vAlign w:val="center"/>
          </w:tcPr>
          <w:p w14:paraId="61D60CF3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Number of generations</w:t>
            </w:r>
          </w:p>
        </w:tc>
        <w:tc>
          <w:tcPr>
            <w:tcW w:w="2300" w:type="dxa"/>
            <w:vAlign w:val="center"/>
          </w:tcPr>
          <w:p w14:paraId="6BBBAAD4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 xml:space="preserve">Xylanase enzymatic activity (IU/mg) – Mean </w:t>
            </w:r>
            <w:r w:rsidRPr="00206ED8">
              <w:rPr>
                <w:rFonts w:cs="Times New Roman"/>
                <w:color w:val="auto"/>
                <w:lang w:val="en-US"/>
              </w:rPr>
              <w:t>± SD</w:t>
            </w:r>
          </w:p>
        </w:tc>
        <w:tc>
          <w:tcPr>
            <w:tcW w:w="2163" w:type="dxa"/>
            <w:vAlign w:val="center"/>
          </w:tcPr>
          <w:p w14:paraId="19957E14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Relative* xylanase enzymatic activity (%)</w:t>
            </w:r>
          </w:p>
        </w:tc>
        <w:tc>
          <w:tcPr>
            <w:tcW w:w="2268" w:type="dxa"/>
            <w:gridSpan w:val="2"/>
            <w:vAlign w:val="center"/>
          </w:tcPr>
          <w:p w14:paraId="171290DF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Maximal growth rate (h</w:t>
            </w:r>
            <w:r w:rsidRPr="00206ED8">
              <w:rPr>
                <w:rFonts w:cs="Times New Roman"/>
                <w:color w:val="auto"/>
                <w:shd w:val="clear" w:color="auto" w:fill="FFFFFF"/>
                <w:vertAlign w:val="superscript"/>
                <w:lang w:val="en-US"/>
              </w:rPr>
              <w:t>-1</w:t>
            </w: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 xml:space="preserve">) – </w:t>
            </w: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br/>
              <w:t xml:space="preserve">Mean </w:t>
            </w:r>
            <w:r w:rsidRPr="00206ED8">
              <w:rPr>
                <w:rFonts w:cs="Times New Roman"/>
                <w:color w:val="auto"/>
                <w:lang w:val="en-US"/>
              </w:rPr>
              <w:t>± SD</w:t>
            </w:r>
          </w:p>
        </w:tc>
        <w:tc>
          <w:tcPr>
            <w:tcW w:w="1965" w:type="dxa"/>
            <w:vAlign w:val="center"/>
          </w:tcPr>
          <w:p w14:paraId="3E4C790E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Relative* maximal growth rate (%)</w:t>
            </w:r>
          </w:p>
        </w:tc>
      </w:tr>
      <w:tr w:rsidR="00206ED8" w:rsidRPr="00206ED8" w14:paraId="2AE2871E" w14:textId="77777777" w:rsidTr="008622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4A74E89A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0</w:t>
            </w:r>
          </w:p>
        </w:tc>
        <w:tc>
          <w:tcPr>
            <w:tcW w:w="2300" w:type="dxa"/>
          </w:tcPr>
          <w:p w14:paraId="020C38A3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141.36 ± 7.77</w:t>
            </w:r>
          </w:p>
        </w:tc>
        <w:tc>
          <w:tcPr>
            <w:tcW w:w="2163" w:type="dxa"/>
          </w:tcPr>
          <w:p w14:paraId="29E56CC7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100</w:t>
            </w:r>
          </w:p>
        </w:tc>
        <w:tc>
          <w:tcPr>
            <w:tcW w:w="2126" w:type="dxa"/>
          </w:tcPr>
          <w:p w14:paraId="618AE489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0.72 ± 0.12</w:t>
            </w:r>
          </w:p>
        </w:tc>
        <w:tc>
          <w:tcPr>
            <w:tcW w:w="2107" w:type="dxa"/>
            <w:gridSpan w:val="2"/>
          </w:tcPr>
          <w:p w14:paraId="286E4F3C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100</w:t>
            </w:r>
          </w:p>
        </w:tc>
      </w:tr>
      <w:tr w:rsidR="00206ED8" w:rsidRPr="00206ED8" w14:paraId="3E76BAFB" w14:textId="77777777" w:rsidTr="008622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4F6646F7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23.5</w:t>
            </w:r>
          </w:p>
        </w:tc>
        <w:tc>
          <w:tcPr>
            <w:tcW w:w="2300" w:type="dxa"/>
          </w:tcPr>
          <w:p w14:paraId="21BD4CFF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19.99 ± 4.60</w:t>
            </w:r>
          </w:p>
        </w:tc>
        <w:tc>
          <w:tcPr>
            <w:tcW w:w="2163" w:type="dxa"/>
          </w:tcPr>
          <w:p w14:paraId="763F8F40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14</w:t>
            </w:r>
          </w:p>
        </w:tc>
        <w:tc>
          <w:tcPr>
            <w:tcW w:w="2126" w:type="dxa"/>
          </w:tcPr>
          <w:p w14:paraId="7F67886D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0.95 ± 0.08</w:t>
            </w:r>
          </w:p>
        </w:tc>
        <w:tc>
          <w:tcPr>
            <w:tcW w:w="2107" w:type="dxa"/>
            <w:gridSpan w:val="2"/>
          </w:tcPr>
          <w:p w14:paraId="41E9B94E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132</w:t>
            </w:r>
          </w:p>
        </w:tc>
      </w:tr>
      <w:tr w:rsidR="00206ED8" w:rsidRPr="00206ED8" w14:paraId="7429F515" w14:textId="77777777" w:rsidTr="008622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6BEFFA42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50.8</w:t>
            </w:r>
          </w:p>
        </w:tc>
        <w:tc>
          <w:tcPr>
            <w:tcW w:w="2300" w:type="dxa"/>
          </w:tcPr>
          <w:p w14:paraId="7060B653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35.40 ± 10.92</w:t>
            </w:r>
          </w:p>
        </w:tc>
        <w:tc>
          <w:tcPr>
            <w:tcW w:w="2163" w:type="dxa"/>
          </w:tcPr>
          <w:p w14:paraId="493F9433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25</w:t>
            </w:r>
          </w:p>
        </w:tc>
        <w:tc>
          <w:tcPr>
            <w:tcW w:w="2126" w:type="dxa"/>
          </w:tcPr>
          <w:p w14:paraId="272540B8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1.02 ± 0.05</w:t>
            </w:r>
          </w:p>
        </w:tc>
        <w:tc>
          <w:tcPr>
            <w:tcW w:w="2107" w:type="dxa"/>
            <w:gridSpan w:val="2"/>
          </w:tcPr>
          <w:p w14:paraId="5B30A4AA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142</w:t>
            </w:r>
          </w:p>
        </w:tc>
      </w:tr>
      <w:tr w:rsidR="00206ED8" w:rsidRPr="00206ED8" w14:paraId="666CC0BA" w14:textId="77777777" w:rsidTr="008622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08AC12FB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80.3</w:t>
            </w:r>
          </w:p>
        </w:tc>
        <w:tc>
          <w:tcPr>
            <w:tcW w:w="2300" w:type="dxa"/>
          </w:tcPr>
          <w:p w14:paraId="4C60CD79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38.51 ± 11.78</w:t>
            </w:r>
          </w:p>
        </w:tc>
        <w:tc>
          <w:tcPr>
            <w:tcW w:w="2163" w:type="dxa"/>
          </w:tcPr>
          <w:p w14:paraId="38B76DD4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27</w:t>
            </w:r>
          </w:p>
        </w:tc>
        <w:tc>
          <w:tcPr>
            <w:tcW w:w="2126" w:type="dxa"/>
          </w:tcPr>
          <w:p w14:paraId="6FFD33CE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0.97 ± 0.03</w:t>
            </w:r>
          </w:p>
        </w:tc>
        <w:tc>
          <w:tcPr>
            <w:tcW w:w="2107" w:type="dxa"/>
            <w:gridSpan w:val="2"/>
          </w:tcPr>
          <w:p w14:paraId="5FB96536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134</w:t>
            </w:r>
          </w:p>
        </w:tc>
      </w:tr>
      <w:tr w:rsidR="00206ED8" w:rsidRPr="00206ED8" w14:paraId="4188EE2A" w14:textId="77777777" w:rsidTr="008622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4" w:type="dxa"/>
          </w:tcPr>
          <w:p w14:paraId="752A7FED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rPr>
                <w:rFonts w:cs="Times New Roman"/>
                <w:color w:val="auto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color w:val="auto"/>
                <w:shd w:val="clear" w:color="auto" w:fill="FFFFFF"/>
                <w:lang w:val="en-US"/>
              </w:rPr>
              <w:t>107.7</w:t>
            </w:r>
          </w:p>
        </w:tc>
        <w:tc>
          <w:tcPr>
            <w:tcW w:w="2300" w:type="dxa"/>
          </w:tcPr>
          <w:p w14:paraId="7A7A9790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18.51 ± 4.54</w:t>
            </w:r>
          </w:p>
        </w:tc>
        <w:tc>
          <w:tcPr>
            <w:tcW w:w="2163" w:type="dxa"/>
          </w:tcPr>
          <w:p w14:paraId="4C1561E1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13</w:t>
            </w:r>
          </w:p>
        </w:tc>
        <w:tc>
          <w:tcPr>
            <w:tcW w:w="2126" w:type="dxa"/>
          </w:tcPr>
          <w:p w14:paraId="6B58C43C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0.96 ± 0.06</w:t>
            </w:r>
          </w:p>
        </w:tc>
        <w:tc>
          <w:tcPr>
            <w:tcW w:w="2107" w:type="dxa"/>
            <w:gridSpan w:val="2"/>
          </w:tcPr>
          <w:p w14:paraId="476D2749" w14:textId="77777777" w:rsidR="00206ED8" w:rsidRPr="00206ED8" w:rsidRDefault="00206ED8" w:rsidP="000D130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hd w:val="clear" w:color="auto" w:fill="FFFFFF"/>
                <w:lang w:val="en-US"/>
              </w:rPr>
            </w:pPr>
            <w:r w:rsidRPr="00206ED8">
              <w:rPr>
                <w:rFonts w:cs="Times New Roman"/>
                <w:shd w:val="clear" w:color="auto" w:fill="FFFFFF"/>
                <w:lang w:val="en-US"/>
              </w:rPr>
              <w:t>133</w:t>
            </w:r>
          </w:p>
        </w:tc>
      </w:tr>
    </w:tbl>
    <w:p w14:paraId="31995F77" w14:textId="77777777" w:rsidR="000E0CC9" w:rsidRDefault="00206ED8" w:rsidP="000E0CC9">
      <w:pPr>
        <w:spacing w:line="480" w:lineRule="auto"/>
        <w:rPr>
          <w:lang w:val="en-US"/>
        </w:rPr>
      </w:pPr>
      <w:r w:rsidRPr="00206ED8">
        <w:rPr>
          <w:lang w:val="en-US"/>
        </w:rPr>
        <w:t>* The relative values were calculated by reporting the means values of a specific generation by the means values at the beginning of the cultivations and expressed as a percentage of activity or growth rate.</w:t>
      </w:r>
    </w:p>
    <w:sectPr w:rsidR="000E0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ED8"/>
    <w:rsid w:val="000D130D"/>
    <w:rsid w:val="000E0CC9"/>
    <w:rsid w:val="00183835"/>
    <w:rsid w:val="00206ED8"/>
    <w:rsid w:val="00AC39B8"/>
    <w:rsid w:val="00B64C9A"/>
    <w:rsid w:val="00BE0BBF"/>
    <w:rsid w:val="00C44572"/>
    <w:rsid w:val="00CC2367"/>
    <w:rsid w:val="00DA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1FEA"/>
  <w15:chartTrackingRefBased/>
  <w15:docId w15:val="{EE4C0CB4-FF4D-4562-BFC1-7C31F1BE4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59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ED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</w:pPr>
    <w:rPr>
      <w:rFonts w:ascii="Times New Roman" w:eastAsia="Calibri" w:hAnsi="Times New Roman" w:cs="Calibri"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2">
    <w:name w:val="Plain Table 2"/>
    <w:basedOn w:val="TableauNormal"/>
    <w:uiPriority w:val="59"/>
    <w:rsid w:val="00206ED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fr-BE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206E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06ED8"/>
    <w:rPr>
      <w:rFonts w:ascii="Times New Roman" w:eastAsia="Calibri" w:hAnsi="Times New Roman" w:cs="Calibri"/>
      <w:sz w:val="20"/>
      <w:szCs w:val="20"/>
      <w:lang w:val="fr-BE"/>
    </w:rPr>
  </w:style>
  <w:style w:type="character" w:styleId="Marquedecommentaire">
    <w:name w:val="annotation reference"/>
    <w:basedOn w:val="Policepardfaut"/>
    <w:uiPriority w:val="99"/>
    <w:semiHidden/>
    <w:unhideWhenUsed/>
    <w:rsid w:val="00206ED8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06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6ED8"/>
    <w:rPr>
      <w:rFonts w:ascii="Segoe UI" w:eastAsia="Calibri" w:hAnsi="Segoe UI" w:cs="Segoe UI"/>
      <w:sz w:val="18"/>
      <w:szCs w:val="18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NP-</dc:creator>
  <cp:keywords/>
  <dc:description/>
  <cp:lastModifiedBy>Romain Bouchat</cp:lastModifiedBy>
  <cp:revision>4</cp:revision>
  <dcterms:created xsi:type="dcterms:W3CDTF">2022-01-13T17:18:00Z</dcterms:created>
  <dcterms:modified xsi:type="dcterms:W3CDTF">2022-01-13T17:19:00Z</dcterms:modified>
</cp:coreProperties>
</file>