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107405" w14:textId="77777777" w:rsidR="00AE52D1" w:rsidRDefault="00AE52D1" w:rsidP="00AE52D1">
      <w:pPr>
        <w:spacing w:line="480" w:lineRule="auto"/>
        <w:rPr>
          <w:lang w:val="en-US"/>
        </w:rPr>
      </w:pPr>
    </w:p>
    <w:p w14:paraId="0B3FCFDE" w14:textId="77777777" w:rsidR="00AE52D1" w:rsidRPr="00206ED8" w:rsidRDefault="00AE52D1" w:rsidP="00AE52D1">
      <w:pPr>
        <w:shd w:val="clear" w:color="auto" w:fill="FFFFFF"/>
        <w:spacing w:after="120" w:line="480" w:lineRule="auto"/>
        <w:jc w:val="both"/>
        <w:outlineLvl w:val="2"/>
        <w:rPr>
          <w:rFonts w:cs="Times New Roman"/>
          <w:sz w:val="24"/>
          <w:szCs w:val="24"/>
          <w:shd w:val="clear" w:color="auto" w:fill="FFFFFF"/>
          <w:lang w:val="en-US"/>
        </w:rPr>
      </w:pPr>
      <w:r>
        <w:rPr>
          <w:rFonts w:cs="Times New Roman"/>
          <w:b/>
          <w:sz w:val="24"/>
          <w:szCs w:val="24"/>
          <w:shd w:val="clear" w:color="auto" w:fill="FFFFFF"/>
          <w:lang w:val="en-US"/>
        </w:rPr>
        <w:t>Table S</w:t>
      </w:r>
      <w:r w:rsidRPr="00206ED8">
        <w:rPr>
          <w:rFonts w:cs="Times New Roman"/>
          <w:b/>
          <w:sz w:val="24"/>
          <w:szCs w:val="24"/>
          <w:shd w:val="clear" w:color="auto" w:fill="FFFFFF"/>
          <w:lang w:val="en-US"/>
        </w:rPr>
        <w:t>2:</w:t>
      </w:r>
      <w:r w:rsidRPr="00206ED8">
        <w:rPr>
          <w:rFonts w:cs="Times New Roman"/>
          <w:sz w:val="24"/>
          <w:szCs w:val="24"/>
          <w:shd w:val="clear" w:color="auto" w:fill="FFFFFF"/>
          <w:lang w:val="en-US"/>
        </w:rPr>
        <w:t xml:space="preserve"> </w:t>
      </w:r>
      <w:bookmarkStart w:id="0" w:name="_Hlk92990028"/>
      <w:r w:rsidRPr="00206ED8">
        <w:rPr>
          <w:rFonts w:cs="Times New Roman"/>
          <w:b/>
          <w:bCs/>
          <w:shd w:val="clear" w:color="auto" w:fill="FFFFFF"/>
          <w:lang w:val="en-US"/>
        </w:rPr>
        <w:t xml:space="preserve">Evolution </w:t>
      </w:r>
      <w:r>
        <w:rPr>
          <w:rFonts w:cs="Times New Roman"/>
          <w:b/>
          <w:bCs/>
          <w:shd w:val="clear" w:color="auto" w:fill="FFFFFF"/>
          <w:lang w:val="en-US"/>
        </w:rPr>
        <w:t xml:space="preserve">of the growth rate </w:t>
      </w:r>
      <w:r w:rsidRPr="00206ED8">
        <w:rPr>
          <w:rFonts w:cs="Times New Roman"/>
          <w:b/>
          <w:bCs/>
          <w:shd w:val="clear" w:color="auto" w:fill="FFFFFF"/>
          <w:lang w:val="en-US"/>
        </w:rPr>
        <w:t>on glucose</w:t>
      </w:r>
      <w:r>
        <w:rPr>
          <w:rFonts w:cs="Times New Roman"/>
          <w:b/>
          <w:bCs/>
          <w:shd w:val="clear" w:color="auto" w:fill="FFFFFF"/>
          <w:lang w:val="en-US"/>
        </w:rPr>
        <w:t xml:space="preserve"> </w:t>
      </w:r>
      <w:r w:rsidRPr="00206ED8">
        <w:rPr>
          <w:rFonts w:cs="Times New Roman"/>
          <w:b/>
          <w:bCs/>
          <w:shd w:val="clear" w:color="auto" w:fill="FFFFFF"/>
          <w:lang w:val="en-US"/>
        </w:rPr>
        <w:t xml:space="preserve">along generations and </w:t>
      </w:r>
      <w:r w:rsidRPr="00206ED8">
        <w:rPr>
          <w:rFonts w:cs="Times New Roman"/>
          <w:b/>
          <w:bCs/>
          <w:sz w:val="24"/>
          <w:szCs w:val="24"/>
          <w:shd w:val="clear" w:color="auto" w:fill="FFFFFF"/>
          <w:lang w:val="en-US"/>
        </w:rPr>
        <w:t>xylanase</w:t>
      </w:r>
      <w:r>
        <w:rPr>
          <w:rFonts w:cs="Times New Roman"/>
          <w:b/>
          <w:bCs/>
          <w:shd w:val="clear" w:color="auto" w:fill="FFFFFF"/>
          <w:lang w:val="en-US"/>
        </w:rPr>
        <w:t xml:space="preserve"> activity </w:t>
      </w:r>
      <w:r w:rsidRPr="00206ED8">
        <w:rPr>
          <w:rFonts w:cs="Times New Roman"/>
          <w:b/>
          <w:bCs/>
          <w:shd w:val="clear" w:color="auto" w:fill="FFFFFF"/>
          <w:lang w:val="en-US"/>
        </w:rPr>
        <w:t xml:space="preserve">after carbon source switch to </w:t>
      </w:r>
      <w:proofErr w:type="spellStart"/>
      <w:r w:rsidRPr="00206ED8">
        <w:rPr>
          <w:rFonts w:cs="Times New Roman"/>
          <w:b/>
          <w:bCs/>
          <w:shd w:val="clear" w:color="auto" w:fill="FFFFFF"/>
          <w:lang w:val="en-US"/>
        </w:rPr>
        <w:t>xylan</w:t>
      </w:r>
      <w:proofErr w:type="spellEnd"/>
      <w:r w:rsidRPr="00206ED8">
        <w:rPr>
          <w:rFonts w:cs="Times New Roman"/>
          <w:b/>
          <w:bCs/>
          <w:sz w:val="24"/>
          <w:szCs w:val="24"/>
          <w:shd w:val="clear" w:color="auto" w:fill="FFFFFF"/>
          <w:lang w:val="en-US"/>
        </w:rPr>
        <w:t xml:space="preserve">. </w:t>
      </w:r>
      <w:bookmarkEnd w:id="0"/>
    </w:p>
    <w:tbl>
      <w:tblPr>
        <w:tblStyle w:val="Tableausimple2"/>
        <w:tblW w:w="9905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304"/>
        <w:gridCol w:w="2274"/>
        <w:gridCol w:w="2141"/>
        <w:gridCol w:w="2102"/>
        <w:gridCol w:w="139"/>
        <w:gridCol w:w="1945"/>
      </w:tblGrid>
      <w:tr w:rsidR="00AE52D1" w:rsidRPr="00206ED8" w14:paraId="4C1F732F" w14:textId="77777777" w:rsidTr="008D57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  <w:vAlign w:val="center"/>
          </w:tcPr>
          <w:p w14:paraId="2A162847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Number of generations</w:t>
            </w:r>
          </w:p>
        </w:tc>
        <w:tc>
          <w:tcPr>
            <w:tcW w:w="2274" w:type="dxa"/>
            <w:vAlign w:val="center"/>
          </w:tcPr>
          <w:p w14:paraId="2F140136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 xml:space="preserve">Xylanase enzymatic activity (IU/mg) – Mean </w:t>
            </w:r>
            <w:r w:rsidRPr="00206ED8">
              <w:rPr>
                <w:rFonts w:cs="Times New Roman"/>
                <w:color w:val="auto"/>
                <w:lang w:val="en-US"/>
              </w:rPr>
              <w:t>± SD</w:t>
            </w:r>
          </w:p>
        </w:tc>
        <w:tc>
          <w:tcPr>
            <w:tcW w:w="2141" w:type="dxa"/>
            <w:vAlign w:val="center"/>
          </w:tcPr>
          <w:p w14:paraId="2D7F5128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Relative* xylanase enzymatic activity (%)</w:t>
            </w:r>
          </w:p>
        </w:tc>
        <w:tc>
          <w:tcPr>
            <w:tcW w:w="2241" w:type="dxa"/>
            <w:gridSpan w:val="2"/>
            <w:vAlign w:val="center"/>
          </w:tcPr>
          <w:p w14:paraId="08592B86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Maximal growth rate (h</w:t>
            </w:r>
            <w:r w:rsidRPr="00206ED8">
              <w:rPr>
                <w:rFonts w:cs="Times New Roman"/>
                <w:color w:val="auto"/>
                <w:shd w:val="clear" w:color="auto" w:fill="FFFFFF"/>
                <w:vertAlign w:val="superscript"/>
                <w:lang w:val="en-US"/>
              </w:rPr>
              <w:t>-1</w:t>
            </w: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 xml:space="preserve">) – </w:t>
            </w: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br/>
              <w:t xml:space="preserve">Mean </w:t>
            </w:r>
            <w:r w:rsidRPr="00206ED8">
              <w:rPr>
                <w:rFonts w:cs="Times New Roman"/>
                <w:color w:val="auto"/>
                <w:lang w:val="en-US"/>
              </w:rPr>
              <w:t>± SD</w:t>
            </w:r>
          </w:p>
        </w:tc>
        <w:tc>
          <w:tcPr>
            <w:tcW w:w="1945" w:type="dxa"/>
            <w:vAlign w:val="center"/>
          </w:tcPr>
          <w:p w14:paraId="5FE76BCD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Relative* maximal growth rate (%)</w:t>
            </w:r>
          </w:p>
        </w:tc>
      </w:tr>
      <w:tr w:rsidR="00AE52D1" w:rsidRPr="00206ED8" w14:paraId="51257D53" w14:textId="77777777" w:rsidTr="008D57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6D92B880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0</w:t>
            </w:r>
          </w:p>
        </w:tc>
        <w:tc>
          <w:tcPr>
            <w:tcW w:w="2274" w:type="dxa"/>
          </w:tcPr>
          <w:p w14:paraId="30BCEBF4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217.07 ± 84.20</w:t>
            </w:r>
          </w:p>
        </w:tc>
        <w:tc>
          <w:tcPr>
            <w:tcW w:w="2141" w:type="dxa"/>
          </w:tcPr>
          <w:p w14:paraId="5AB4C761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100</w:t>
            </w:r>
          </w:p>
        </w:tc>
        <w:tc>
          <w:tcPr>
            <w:tcW w:w="2102" w:type="dxa"/>
          </w:tcPr>
          <w:p w14:paraId="6451C8FA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0.87 ± 0.05</w:t>
            </w:r>
          </w:p>
        </w:tc>
        <w:tc>
          <w:tcPr>
            <w:tcW w:w="2084" w:type="dxa"/>
            <w:gridSpan w:val="2"/>
          </w:tcPr>
          <w:p w14:paraId="3097F883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100</w:t>
            </w:r>
          </w:p>
        </w:tc>
      </w:tr>
      <w:tr w:rsidR="00AE52D1" w:rsidRPr="00206ED8" w14:paraId="0B84606D" w14:textId="77777777" w:rsidTr="008D57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2645BAC9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23.9</w:t>
            </w:r>
          </w:p>
        </w:tc>
        <w:tc>
          <w:tcPr>
            <w:tcW w:w="2274" w:type="dxa"/>
          </w:tcPr>
          <w:p w14:paraId="5C1B7E7E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196.48 ± 38.31</w:t>
            </w:r>
          </w:p>
        </w:tc>
        <w:tc>
          <w:tcPr>
            <w:tcW w:w="2141" w:type="dxa"/>
          </w:tcPr>
          <w:p w14:paraId="25D0A0EF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91</w:t>
            </w:r>
          </w:p>
        </w:tc>
        <w:tc>
          <w:tcPr>
            <w:tcW w:w="2102" w:type="dxa"/>
          </w:tcPr>
          <w:p w14:paraId="4FBABFA6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0.63 ± 0.05</w:t>
            </w:r>
          </w:p>
        </w:tc>
        <w:tc>
          <w:tcPr>
            <w:tcW w:w="2084" w:type="dxa"/>
            <w:gridSpan w:val="2"/>
          </w:tcPr>
          <w:p w14:paraId="4A572071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72</w:t>
            </w:r>
          </w:p>
        </w:tc>
      </w:tr>
      <w:tr w:rsidR="00AE52D1" w:rsidRPr="00206ED8" w14:paraId="3B45B50F" w14:textId="77777777" w:rsidTr="008D57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7073F31C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42.7</w:t>
            </w:r>
          </w:p>
        </w:tc>
        <w:tc>
          <w:tcPr>
            <w:tcW w:w="2274" w:type="dxa"/>
          </w:tcPr>
          <w:p w14:paraId="2B427E3F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346.99 ± 47.07</w:t>
            </w:r>
          </w:p>
        </w:tc>
        <w:tc>
          <w:tcPr>
            <w:tcW w:w="2141" w:type="dxa"/>
          </w:tcPr>
          <w:p w14:paraId="30F20124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160</w:t>
            </w:r>
          </w:p>
        </w:tc>
        <w:tc>
          <w:tcPr>
            <w:tcW w:w="2102" w:type="dxa"/>
          </w:tcPr>
          <w:p w14:paraId="4F229C24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0.68 ± 0.11</w:t>
            </w:r>
          </w:p>
        </w:tc>
        <w:tc>
          <w:tcPr>
            <w:tcW w:w="2084" w:type="dxa"/>
            <w:gridSpan w:val="2"/>
          </w:tcPr>
          <w:p w14:paraId="7DCCF7A7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78</w:t>
            </w:r>
          </w:p>
        </w:tc>
      </w:tr>
      <w:tr w:rsidR="00AE52D1" w:rsidRPr="00206ED8" w14:paraId="5FBF6D04" w14:textId="77777777" w:rsidTr="008D57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7C3FCFCC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62.9</w:t>
            </w:r>
          </w:p>
        </w:tc>
        <w:tc>
          <w:tcPr>
            <w:tcW w:w="2274" w:type="dxa"/>
          </w:tcPr>
          <w:p w14:paraId="3713ACA9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260.62 ± 56.87</w:t>
            </w:r>
          </w:p>
        </w:tc>
        <w:tc>
          <w:tcPr>
            <w:tcW w:w="2141" w:type="dxa"/>
          </w:tcPr>
          <w:p w14:paraId="08D3AA70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120</w:t>
            </w:r>
          </w:p>
        </w:tc>
        <w:tc>
          <w:tcPr>
            <w:tcW w:w="2102" w:type="dxa"/>
          </w:tcPr>
          <w:p w14:paraId="3B3E3266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0.61 ± 0.14</w:t>
            </w:r>
          </w:p>
        </w:tc>
        <w:tc>
          <w:tcPr>
            <w:tcW w:w="2084" w:type="dxa"/>
            <w:gridSpan w:val="2"/>
          </w:tcPr>
          <w:p w14:paraId="5C20573B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69</w:t>
            </w:r>
          </w:p>
        </w:tc>
      </w:tr>
      <w:tr w:rsidR="00AE52D1" w:rsidRPr="00206ED8" w14:paraId="76445E94" w14:textId="77777777" w:rsidTr="008D57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4DC61296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79.9</w:t>
            </w:r>
          </w:p>
        </w:tc>
        <w:tc>
          <w:tcPr>
            <w:tcW w:w="2274" w:type="dxa"/>
          </w:tcPr>
          <w:p w14:paraId="42C3E00E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288.55 ± 10.70</w:t>
            </w:r>
          </w:p>
        </w:tc>
        <w:tc>
          <w:tcPr>
            <w:tcW w:w="2141" w:type="dxa"/>
          </w:tcPr>
          <w:p w14:paraId="6F775193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133</w:t>
            </w:r>
          </w:p>
        </w:tc>
        <w:tc>
          <w:tcPr>
            <w:tcW w:w="2102" w:type="dxa"/>
          </w:tcPr>
          <w:p w14:paraId="4F816219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0.80 ± 0.14</w:t>
            </w:r>
          </w:p>
        </w:tc>
        <w:tc>
          <w:tcPr>
            <w:tcW w:w="2084" w:type="dxa"/>
            <w:gridSpan w:val="2"/>
          </w:tcPr>
          <w:p w14:paraId="319D2FED" w14:textId="77777777" w:rsidR="00AE52D1" w:rsidRPr="00206ED8" w:rsidRDefault="00AE52D1" w:rsidP="008D57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91</w:t>
            </w:r>
          </w:p>
        </w:tc>
      </w:tr>
    </w:tbl>
    <w:p w14:paraId="37ED388C" w14:textId="77777777" w:rsidR="00AE52D1" w:rsidRPr="006E63DE" w:rsidRDefault="00AE52D1" w:rsidP="00AE52D1">
      <w:pPr>
        <w:spacing w:line="480" w:lineRule="auto"/>
        <w:rPr>
          <w:rFonts w:cs="Times New Roman"/>
          <w:lang w:val="en-US"/>
        </w:rPr>
      </w:pPr>
      <w:r w:rsidRPr="00206ED8">
        <w:rPr>
          <w:rFonts w:cs="Times New Roman"/>
          <w:lang w:val="en-US"/>
        </w:rPr>
        <w:t>* The relative values were calculated by reporting the means values of a specific generation by the means values at the beginning of the cultivations and expressed as a percentage of activity or growth rate.</w:t>
      </w:r>
    </w:p>
    <w:p w14:paraId="4A8E316C" w14:textId="77777777" w:rsidR="00AA20F0" w:rsidRPr="00AE52D1" w:rsidRDefault="00AE52D1">
      <w:pPr>
        <w:rPr>
          <w:lang w:val="en-US"/>
        </w:rPr>
      </w:pPr>
    </w:p>
    <w:sectPr w:rsidR="00AA20F0" w:rsidRPr="00AE5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2D1"/>
    <w:rsid w:val="00A015E5"/>
    <w:rsid w:val="00AE52D1"/>
    <w:rsid w:val="00DE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35805"/>
  <w15:chartTrackingRefBased/>
  <w15:docId w15:val="{92D1916B-17B0-4C67-A3B1-66F545F5B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59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2D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</w:pPr>
    <w:rPr>
      <w:rFonts w:ascii="Times New Roman" w:eastAsia="Calibri" w:hAnsi="Times New Roman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E2369"/>
    <w:pPr>
      <w:pBdr>
        <w:top w:val="none" w:sz="0" w:space="0" w:color="auto"/>
        <w:left w:val="none" w:sz="0" w:space="0" w:color="auto"/>
        <w:bottom w:val="single" w:sz="4" w:space="1" w:color="auto"/>
        <w:right w:val="none" w:sz="0" w:space="0" w:color="auto"/>
        <w:between w:val="none" w:sz="0" w:space="0" w:color="auto"/>
      </w:pBd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60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E2369"/>
    <w:rPr>
      <w:rFonts w:asciiTheme="majorHAnsi" w:eastAsiaTheme="majorEastAsia" w:hAnsiTheme="majorHAnsi" w:cstheme="majorBidi"/>
      <w:b/>
      <w:spacing w:val="-10"/>
      <w:kern w:val="28"/>
      <w:sz w:val="60"/>
      <w:szCs w:val="56"/>
    </w:rPr>
  </w:style>
  <w:style w:type="table" w:styleId="Tableausimple2">
    <w:name w:val="Plain Table 2"/>
    <w:basedOn w:val="TableauNormal"/>
    <w:uiPriority w:val="59"/>
    <w:rsid w:val="00AE52D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611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Bouchat</dc:creator>
  <cp:keywords/>
  <dc:description/>
  <cp:lastModifiedBy>Romain Bouchat</cp:lastModifiedBy>
  <cp:revision>1</cp:revision>
  <dcterms:created xsi:type="dcterms:W3CDTF">2022-01-13T17:19:00Z</dcterms:created>
  <dcterms:modified xsi:type="dcterms:W3CDTF">2022-01-13T17:19:00Z</dcterms:modified>
</cp:coreProperties>
</file>