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48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Supplementary material</w:t>
      </w:r>
    </w:p>
    <w:p>
      <w:pPr>
        <w:spacing w:before="0" w:after="160" w:line="48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Table S1.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Osmolality of the synthetic medium, supplemented with different concentrations of pure and crude glycerol.</w:t>
      </w:r>
    </w:p>
    <w:tbl>
      <w:tblPr/>
      <w:tblGrid>
        <w:gridCol w:w="2045"/>
        <w:gridCol w:w="3278"/>
        <w:gridCol w:w="3575"/>
      </w:tblGrid>
      <w:tr>
        <w:trPr>
          <w:trHeight w:val="198" w:hRule="auto"/>
          <w:jc w:val="center"/>
        </w:trPr>
        <w:tc>
          <w:tcPr>
            <w:tcW w:w="204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Glycerol (% v/v)</w:t>
            </w:r>
          </w:p>
        </w:tc>
        <w:tc>
          <w:tcPr>
            <w:tcW w:w="327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Osmolality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  <w:vertAlign w:val="subscript"/>
              </w:rPr>
              <w:t xml:space="preserve">Pure Glycerol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 (mOsmol/kg)</w:t>
            </w:r>
          </w:p>
        </w:tc>
        <w:tc>
          <w:tcPr>
            <w:tcW w:w="357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Osmolality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  <w:vertAlign w:val="subscript"/>
              </w:rPr>
              <w:t xml:space="preserve">Crude Glycerol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 (mOsmol/kg)</w:t>
            </w:r>
          </w:p>
        </w:tc>
      </w:tr>
      <w:tr>
        <w:trPr>
          <w:trHeight w:val="198" w:hRule="auto"/>
          <w:jc w:val="center"/>
        </w:trPr>
        <w:tc>
          <w:tcPr>
            <w:tcW w:w="204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27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1,682 ± 0</w:t>
            </w:r>
          </w:p>
        </w:tc>
        <w:tc>
          <w:tcPr>
            <w:tcW w:w="357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2,241 ± 2</w:t>
            </w:r>
          </w:p>
        </w:tc>
      </w:tr>
      <w:tr>
        <w:trPr>
          <w:trHeight w:val="198" w:hRule="auto"/>
          <w:jc w:val="center"/>
        </w:trPr>
        <w:tc>
          <w:tcPr>
            <w:tcW w:w="204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327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2,334 ± 2</w:t>
            </w:r>
          </w:p>
        </w:tc>
        <w:tc>
          <w:tcPr>
            <w:tcW w:w="357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3,273 ± 23</w:t>
            </w:r>
          </w:p>
        </w:tc>
      </w:tr>
      <w:tr>
        <w:trPr>
          <w:trHeight w:val="198" w:hRule="auto"/>
          <w:jc w:val="center"/>
        </w:trPr>
        <w:tc>
          <w:tcPr>
            <w:tcW w:w="204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  <w:tc>
          <w:tcPr>
            <w:tcW w:w="327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2,607 ± 25</w:t>
            </w:r>
          </w:p>
        </w:tc>
        <w:tc>
          <w:tcPr>
            <w:tcW w:w="357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3,733 ± 9</w:t>
            </w:r>
          </w:p>
        </w:tc>
      </w:tr>
      <w:tr>
        <w:trPr>
          <w:trHeight w:val="198" w:hRule="auto"/>
          <w:jc w:val="center"/>
        </w:trPr>
        <w:tc>
          <w:tcPr>
            <w:tcW w:w="204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327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3,793 ± 37</w:t>
            </w:r>
          </w:p>
        </w:tc>
        <w:tc>
          <w:tcPr>
            <w:tcW w:w="357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5,619 ± 16</w:t>
            </w:r>
          </w:p>
        </w:tc>
      </w:tr>
    </w:tbl>
    <w:p>
      <w:pPr>
        <w:spacing w:before="0" w:after="16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48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Figure S1.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Monitoring of cell morphology during the cultivation of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  <w:t xml:space="preserve">Yarrowia lipolytica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MUCL 28849 wild type (WT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bscript"/>
        </w:rPr>
        <w:t xml:space="preserve">par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) and the evolved strain YLE469, in 25 mL synthetic medium, containing 15% v/v pure glycerol. Letters indicate cultivation timepoints,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(a)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24 h,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(b)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48 h,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(c)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72 h and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(d)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96 h. YLE469 strain was obtained after EMS mutagenesis and adaptive laboratory evolution through 520 generations of gradual increase of pure glycerol into the medium (9-20% v/v). Snow-flake morphology was observed in two biological duplicates (Scale bar=25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μm).</w:t>
      </w:r>
    </w:p>
    <w:p>
      <w:pPr>
        <w:spacing w:before="0" w:after="160" w:line="48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7109" w:dyaOrig="5331">
          <v:rect xmlns:o="urn:schemas-microsoft-com:office:office" xmlns:v="urn:schemas-microsoft-com:vml" id="rectole0000000000" style="width:355.450000pt;height:266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480"/>
        <w:ind w:right="0" w:left="0" w:firstLine="0"/>
        <w:jc w:val="both"/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Figure S2.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Cell morphology of the evolved strain YLE469, cultivated in 25 mL synthetic medium, containing 15% v/v pure glycerol, for 48 h. YLE469 strain was obtained after EMS mutagenesis and adaptive laboratory evolution through 520 generations of gradual increase of pure glycerol into the medium (9-20% v/v). Snow-flake morphology was observed in two biological duplicates (Scale bar=80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μm). </w:t>
      </w:r>
    </w:p>
    <w:p>
      <w:pPr>
        <w:spacing w:before="0" w:after="160" w:line="48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Table S2.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Number of reads obtained after sequencing and quality filtering of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  <w:t xml:space="preserve">Yarrowia lipolytica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28849 and evolved strains (after ALE). For each strain, the total number of sequences obtained for the three biological replicates is presented.</w:t>
      </w:r>
    </w:p>
    <w:tbl>
      <w:tblPr/>
      <w:tblGrid>
        <w:gridCol w:w="1126"/>
        <w:gridCol w:w="2620"/>
        <w:gridCol w:w="2374"/>
        <w:gridCol w:w="1552"/>
        <w:gridCol w:w="3178"/>
        <w:gridCol w:w="1809"/>
      </w:tblGrid>
      <w:tr>
        <w:trPr>
          <w:trHeight w:val="450" w:hRule="auto"/>
          <w:jc w:val="center"/>
        </w:trPr>
        <w:tc>
          <w:tcPr>
            <w:tcW w:w="11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A/A</w:t>
            </w:r>
          </w:p>
        </w:tc>
        <w:tc>
          <w:tcPr>
            <w:tcW w:w="26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Strain</w:t>
            </w:r>
          </w:p>
        </w:tc>
        <w:tc>
          <w:tcPr>
            <w:tcW w:w="3926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Raw reads</w:t>
            </w:r>
          </w:p>
        </w:tc>
        <w:tc>
          <w:tcPr>
            <w:tcW w:w="4987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Filtered reads</w:t>
            </w:r>
          </w:p>
        </w:tc>
      </w:tr>
      <w:tr>
        <w:trPr>
          <w:trHeight w:val="450" w:hRule="auto"/>
          <w:jc w:val="center"/>
        </w:trPr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6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Yl28849_WT</w:t>
            </w:r>
          </w:p>
        </w:tc>
        <w:tc>
          <w:tcPr>
            <w:tcW w:w="23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47,306,349</w:t>
            </w:r>
          </w:p>
        </w:tc>
        <w:tc>
          <w:tcPr>
            <w:tcW w:w="47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45,754,332</w:t>
            </w:r>
          </w:p>
        </w:tc>
      </w:tr>
      <w:tr>
        <w:trPr>
          <w:trHeight w:val="450" w:hRule="auto"/>
          <w:jc w:val="center"/>
        </w:trPr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6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YLE111</w:t>
            </w:r>
          </w:p>
        </w:tc>
        <w:tc>
          <w:tcPr>
            <w:tcW w:w="23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39,768,649</w:t>
            </w:r>
          </w:p>
        </w:tc>
        <w:tc>
          <w:tcPr>
            <w:tcW w:w="47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38,726,175</w:t>
            </w:r>
          </w:p>
        </w:tc>
      </w:tr>
      <w:tr>
        <w:trPr>
          <w:trHeight w:val="450" w:hRule="auto"/>
          <w:jc w:val="center"/>
        </w:trPr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6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YLE155</w:t>
            </w:r>
          </w:p>
        </w:tc>
        <w:tc>
          <w:tcPr>
            <w:tcW w:w="23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35,851,761</w:t>
            </w:r>
          </w:p>
        </w:tc>
        <w:tc>
          <w:tcPr>
            <w:tcW w:w="47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35,057,107</w:t>
            </w:r>
          </w:p>
        </w:tc>
      </w:tr>
      <w:tr>
        <w:trPr>
          <w:trHeight w:val="450" w:hRule="auto"/>
          <w:jc w:val="center"/>
        </w:trPr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6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YLE198</w:t>
            </w:r>
          </w:p>
        </w:tc>
        <w:tc>
          <w:tcPr>
            <w:tcW w:w="23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41,708,058</w:t>
            </w:r>
          </w:p>
        </w:tc>
        <w:tc>
          <w:tcPr>
            <w:tcW w:w="47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40,401,104</w:t>
            </w:r>
          </w:p>
        </w:tc>
      </w:tr>
      <w:tr>
        <w:trPr>
          <w:trHeight w:val="450" w:hRule="auto"/>
          <w:jc w:val="center"/>
        </w:trPr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6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YLE469</w:t>
            </w:r>
          </w:p>
        </w:tc>
        <w:tc>
          <w:tcPr>
            <w:tcW w:w="23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36,149,107</w:t>
            </w:r>
          </w:p>
        </w:tc>
        <w:tc>
          <w:tcPr>
            <w:tcW w:w="473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35,240,551</w:t>
            </w:r>
          </w:p>
        </w:tc>
      </w:tr>
      <w:tr>
        <w:trPr>
          <w:trHeight w:val="450" w:hRule="auto"/>
          <w:jc w:val="center"/>
        </w:trPr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6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YLE471</w:t>
            </w:r>
          </w:p>
        </w:tc>
        <w:tc>
          <w:tcPr>
            <w:tcW w:w="237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36,364,086</w:t>
            </w:r>
          </w:p>
        </w:tc>
        <w:tc>
          <w:tcPr>
            <w:tcW w:w="4730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35,447,045</w:t>
            </w:r>
          </w:p>
        </w:tc>
      </w:tr>
    </w:tbl>
    <w:p>
      <w:pPr>
        <w:spacing w:before="0" w:after="160" w:line="48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48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48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7753" w:dyaOrig="6426">
          <v:rect xmlns:o="urn:schemas-microsoft-com:office:office" xmlns:v="urn:schemas-microsoft-com:vml" id="rectole0000000001" style="width:387.650000pt;height:321.3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Figure S3.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Dotplot of gene ontology (GO) enrichment analysis for YLE111 evolved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  <w:t xml:space="preserve">Yarrowia lipolytica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strain. GO terms from top to bottom display biological process, cellular component, and molecular function domains.</w:t>
      </w:r>
    </w:p>
    <w:p>
      <w:pPr>
        <w:spacing w:before="0" w:after="160" w:line="48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10497" w:dyaOrig="5437">
          <v:rect xmlns:o="urn:schemas-microsoft-com:office:office" xmlns:v="urn:schemas-microsoft-com:vml" id="rectole0000000002" style="width:524.850000pt;height:271.8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Figure S4.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%OD drop of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  <w:t xml:space="preserve">Yarrowia lipolytica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cells during lag growth phase, grown in 50mL synthetic medium containing different crude glycerol concentrations (5, 7.5, 10, 15, 20% v/v) using as inoculum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(a)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preculture from YPG broth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(b)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preculture cultivated first in YPG broth and then in synthetic medium for preadaptation. The drop was observed immediately after the inoculation and its duration increased with increasing glycerol concentration. </w:t>
      </w:r>
    </w:p>
    <w:p>
      <w:pPr>
        <w:tabs>
          <w:tab w:val="left" w:pos="5880" w:leader="none"/>
        </w:tabs>
        <w:spacing w:before="0" w:after="160" w:line="48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48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5815" w:dyaOrig="5779">
          <v:rect xmlns:o="urn:schemas-microsoft-com:office:office" xmlns:v="urn:schemas-microsoft-com:vml" id="rectole0000000003" style="width:290.750000pt;height:288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tabs>
          <w:tab w:val="left" w:pos="7920" w:leader="none"/>
        </w:tabs>
        <w:spacing w:before="0" w:after="160" w:line="48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Figure S5.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Heatmap showing the expression levels of all genes in the strains WT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bscript"/>
        </w:rPr>
        <w:t xml:space="preserve">par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, YLE111, YLE155, YLE198, YLE469 and YLE471. Gene expression levels were normalized across all samples using z-score. Blue and red color indicates high and low expression levels, respectively. Sample (columns) and gene (rows) clustering was performed based on the respective euclidean distances. </w:t>
      </w:r>
    </w:p>
    <w:p>
      <w:pPr>
        <w:spacing w:before="0" w:after="160" w:line="48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5447" w:dyaOrig="5447">
          <v:rect xmlns:o="urn:schemas-microsoft-com:office:office" xmlns:v="urn:schemas-microsoft-com:vml" id="rectole0000000004" style="width:272.350000pt;height:272.3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48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Figure S6.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Correlation between dry biomass (g/L) and optical density (OD). Dry biomass was collected from a bioreactor fermentation at different cultivation time points, while OD values were obtained from a submerged OD sensor.</w:t>
      </w:r>
    </w:p>
    <w:p>
      <w:pPr>
        <w:keepNext w:val="true"/>
        <w:spacing w:before="0" w:after="200" w:line="480"/>
        <w:ind w:right="0" w:left="0" w:firstLine="0"/>
        <w:jc w:val="both"/>
        <w:rPr>
          <w:rFonts w:ascii="Calibri" w:hAnsi="Calibri" w:cs="Calibri" w:eastAsia="Calibri"/>
          <w:i/>
          <w:color w:val="44546A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Table S3.</w:t>
      </w:r>
      <w:r>
        <w:rPr>
          <w:rFonts w:ascii="Calibri" w:hAnsi="Calibri" w:cs="Calibri" w:eastAsia="Calibri"/>
          <w:color w:val="000000"/>
          <w:spacing w:val="0"/>
          <w:position w:val="0"/>
          <w:sz w:val="1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Estimated carbon balance of WT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bscript"/>
        </w:rPr>
        <w:t xml:space="preserve">par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and YLE155, cultivated in 1.75 L synthetic medium, supplemented with 20% v/v crude glycerol for 48 h. Fermentations were conducted in triplicates (N = 3). Carbon (mol) of glycerol and citric acid was estimated based on their chemical formula and calculated mass. According to Celi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ńska et al., the percentage of carbon in dry biomass was equal to 50% (g/g) [77].</w:t>
      </w:r>
    </w:p>
    <w:tbl>
      <w:tblPr/>
      <w:tblGrid>
        <w:gridCol w:w="2127"/>
        <w:gridCol w:w="495"/>
        <w:gridCol w:w="605"/>
        <w:gridCol w:w="605"/>
        <w:gridCol w:w="605"/>
      </w:tblGrid>
      <w:tr>
        <w:trPr>
          <w:trHeight w:val="315" w:hRule="auto"/>
          <w:jc w:val="center"/>
        </w:trPr>
        <w:tc>
          <w:tcPr>
            <w:tcW w:w="21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Strain No.</w:t>
            </w:r>
          </w:p>
        </w:tc>
        <w:tc>
          <w:tcPr>
            <w:tcW w:w="1100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WT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  <w:vertAlign w:val="subscript"/>
              </w:rPr>
              <w:t xml:space="preserve">par</w:t>
            </w:r>
          </w:p>
        </w:tc>
        <w:tc>
          <w:tcPr>
            <w:tcW w:w="1210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YLE155</w:t>
            </w:r>
          </w:p>
        </w:tc>
      </w:tr>
      <w:tr>
        <w:trPr>
          <w:trHeight w:val="360" w:hRule="auto"/>
          <w:jc w:val="center"/>
        </w:trPr>
        <w:tc>
          <w:tcPr>
            <w:tcW w:w="21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Cultivation time (h)</w:t>
            </w:r>
          </w:p>
        </w:tc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48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48</w:t>
            </w:r>
          </w:p>
        </w:tc>
      </w:tr>
      <w:tr>
        <w:trPr>
          <w:trHeight w:val="360" w:hRule="auto"/>
          <w:jc w:val="center"/>
        </w:trPr>
        <w:tc>
          <w:tcPr>
            <w:tcW w:w="21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mol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  <w:vertAlign w:val="subscript"/>
              </w:rPr>
              <w:t xml:space="preserve">Consumed Glycerol</w:t>
            </w:r>
          </w:p>
        </w:tc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1.0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4.1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0.9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2.4</w:t>
            </w:r>
          </w:p>
        </w:tc>
      </w:tr>
      <w:tr>
        <w:trPr>
          <w:trHeight w:val="360" w:hRule="auto"/>
          <w:jc w:val="center"/>
        </w:trPr>
        <w:tc>
          <w:tcPr>
            <w:tcW w:w="21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mol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  <w:vertAlign w:val="subscript"/>
              </w:rPr>
              <w:t xml:space="preserve">Dry Biomass</w:t>
            </w:r>
          </w:p>
        </w:tc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0.3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0.5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0.3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0.6</w:t>
            </w:r>
          </w:p>
        </w:tc>
      </w:tr>
      <w:tr>
        <w:trPr>
          <w:trHeight w:val="390" w:hRule="auto"/>
          <w:jc w:val="center"/>
        </w:trPr>
        <w:tc>
          <w:tcPr>
            <w:tcW w:w="21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mol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  <w:vertAlign w:val="subscript"/>
              </w:rPr>
              <w:t xml:space="preserve">Citric Acid</w:t>
            </w:r>
          </w:p>
        </w:tc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0.0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0.6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0.0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0.5</w:t>
            </w:r>
          </w:p>
        </w:tc>
      </w:tr>
      <w:tr>
        <w:trPr>
          <w:trHeight w:val="360" w:hRule="auto"/>
          <w:jc w:val="center"/>
        </w:trPr>
        <w:tc>
          <w:tcPr>
            <w:tcW w:w="21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mol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  <w:vertAlign w:val="subscript"/>
              </w:rPr>
              <w:t xml:space="preserve">Carbon Balance</w:t>
            </w:r>
          </w:p>
        </w:tc>
        <w:tc>
          <w:tcPr>
            <w:tcW w:w="4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0.8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3.0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0.6</w:t>
            </w:r>
          </w:p>
        </w:tc>
        <w:tc>
          <w:tcPr>
            <w:tcW w:w="60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1.3</w:t>
            </w:r>
          </w:p>
        </w:tc>
      </w:tr>
    </w:tbl>
    <w:p>
      <w:pPr>
        <w:keepNext w:val="true"/>
        <w:spacing w:before="0" w:after="200" w:line="480"/>
        <w:ind w:right="0" w:left="0" w:firstLine="0"/>
        <w:jc w:val="both"/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spacing w:before="0" w:after="200" w:line="480"/>
        <w:ind w:right="0" w:left="0" w:firstLine="0"/>
        <w:jc w:val="both"/>
        <w:rPr>
          <w:rFonts w:ascii="Calibri" w:hAnsi="Calibri" w:cs="Calibri" w:eastAsia="Calibri"/>
          <w:i/>
          <w:color w:val="44546A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Table S4.</w:t>
      </w:r>
      <w:r>
        <w:rPr>
          <w:rFonts w:ascii="Calibri" w:hAnsi="Calibri" w:cs="Calibri" w:eastAsia="Calibri"/>
          <w:color w:val="000000"/>
          <w:spacing w:val="0"/>
          <w:position w:val="0"/>
          <w:sz w:val="1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Fatty acid (FA) composition of the intracellular lipids of WT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  <w:vertAlign w:val="subscript"/>
        </w:rPr>
        <w:t xml:space="preserve">par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and YLE155, cultivated in 1.75 L synthetic medium, supplemented with 20% v/v crude glycerol for 48 h. Fermentations were conducted in triplicates (N = 3).</w:t>
      </w:r>
    </w:p>
    <w:tbl>
      <w:tblPr/>
      <w:tblGrid>
        <w:gridCol w:w="2552"/>
        <w:gridCol w:w="1559"/>
        <w:gridCol w:w="1843"/>
        <w:gridCol w:w="1843"/>
        <w:gridCol w:w="1651"/>
      </w:tblGrid>
      <w:tr>
        <w:trPr>
          <w:trHeight w:val="273" w:hRule="auto"/>
          <w:jc w:val="center"/>
        </w:trPr>
        <w:tc>
          <w:tcPr>
            <w:tcW w:w="255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Strain No.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WT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  <w:vertAlign w:val="subscript"/>
              </w:rPr>
              <w:t xml:space="preserve">par</w:t>
            </w:r>
          </w:p>
        </w:tc>
        <w:tc>
          <w:tcPr>
            <w:tcW w:w="3494" w:type="dxa"/>
            <w:gridSpan w:val="2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YLE155</w:t>
            </w:r>
          </w:p>
        </w:tc>
      </w:tr>
      <w:tr>
        <w:trPr>
          <w:trHeight w:val="273" w:hRule="auto"/>
          <w:jc w:val="center"/>
        </w:trPr>
        <w:tc>
          <w:tcPr>
            <w:tcW w:w="255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Cultivation Time (h)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24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48 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24 </w:t>
            </w:r>
          </w:p>
        </w:tc>
        <w:tc>
          <w:tcPr>
            <w:tcW w:w="165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48 </w:t>
            </w:r>
          </w:p>
        </w:tc>
      </w:tr>
      <w:tr>
        <w:trPr>
          <w:trHeight w:val="273" w:hRule="auto"/>
          <w:jc w:val="center"/>
        </w:trPr>
        <w:tc>
          <w:tcPr>
            <w:tcW w:w="2552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Palmitic C16:0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18.09 ± 0.02 %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15.23 ± 0.01 %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21.69 ± 0.00 %</w:t>
            </w:r>
          </w:p>
        </w:tc>
        <w:tc>
          <w:tcPr>
            <w:tcW w:w="1651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18.84 ± 0.02 %</w:t>
            </w:r>
          </w:p>
        </w:tc>
      </w:tr>
      <w:tr>
        <w:trPr>
          <w:trHeight w:val="273" w:hRule="auto"/>
          <w:jc w:val="center"/>
        </w:trPr>
        <w:tc>
          <w:tcPr>
            <w:tcW w:w="2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Palmitoleic C16:1 (cis-9)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8.57 ± 0.01 %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8.40 ± 0.02 %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11.04 ± 0.01 %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13.34 ± 0.02 %</w:t>
            </w:r>
          </w:p>
        </w:tc>
      </w:tr>
      <w:tr>
        <w:trPr>
          <w:trHeight w:val="273" w:hRule="auto"/>
          <w:jc w:val="center"/>
        </w:trPr>
        <w:tc>
          <w:tcPr>
            <w:tcW w:w="2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Stearic C18:0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11.90 ± 0.02 %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9.57 ± 0.01 %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13.76 ± 0.01 %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9.49 ± 0.03 %</w:t>
            </w:r>
          </w:p>
        </w:tc>
      </w:tr>
      <w:tr>
        <w:trPr>
          <w:trHeight w:val="273" w:hRule="auto"/>
          <w:jc w:val="center"/>
        </w:trPr>
        <w:tc>
          <w:tcPr>
            <w:tcW w:w="2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Oleic C18:1 (cis-9)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30.05 ± 0.02 %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41.71 ± 0.01 %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31.23 ± 0.01 %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43.79 ± 0.03 %</w:t>
            </w:r>
          </w:p>
        </w:tc>
      </w:tr>
      <w:tr>
        <w:trPr>
          <w:trHeight w:val="247" w:hRule="auto"/>
          <w:jc w:val="center"/>
        </w:trPr>
        <w:tc>
          <w:tcPr>
            <w:tcW w:w="2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Linoleic C18:2 (cis-9,12)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31.39 ± 0.04 %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24.99 ± 0.04 %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22.28 ± 0.02 %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48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14.54 ± 0.01 %</w:t>
            </w:r>
          </w:p>
        </w:tc>
      </w:tr>
    </w:tbl>
    <w:p>
      <w:pPr>
        <w:tabs>
          <w:tab w:val="left" w:pos="939" w:leader="none"/>
        </w:tabs>
        <w:spacing w:before="0" w:after="160" w:line="48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