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6886D" w14:textId="77777777" w:rsidR="00D77119" w:rsidRPr="00385C4E" w:rsidRDefault="00D77119" w:rsidP="0096638D">
      <w:pPr>
        <w:pStyle w:val="BATitle"/>
      </w:pPr>
      <w:r w:rsidRPr="00385C4E">
        <w:t>Regulation Mechanism an</w:t>
      </w:r>
      <w:bookmarkStart w:id="0" w:name="_GoBack"/>
      <w:bookmarkEnd w:id="0"/>
      <w:r w:rsidRPr="00385C4E">
        <w:t>d Bioactivity Characteristic of Surfactin Homologues with C14 and C15 fatty acid chains</w:t>
      </w:r>
    </w:p>
    <w:p w14:paraId="41BCA513" w14:textId="77777777" w:rsidR="00D77119" w:rsidRPr="00385C4E" w:rsidRDefault="00D77119" w:rsidP="00D77119">
      <w:pPr>
        <w:spacing w:line="480" w:lineRule="auto"/>
        <w:jc w:val="center"/>
        <w:rPr>
          <w:rFonts w:ascii="Times New Roman" w:eastAsia="SimSun" w:hAnsi="Times New Roman"/>
          <w:szCs w:val="24"/>
        </w:rPr>
      </w:pPr>
    </w:p>
    <w:p w14:paraId="7D159DE5" w14:textId="77777777" w:rsidR="00D77119" w:rsidRPr="00385C4E" w:rsidRDefault="00D77119" w:rsidP="0096638D">
      <w:pPr>
        <w:pStyle w:val="BBAuthorName"/>
      </w:pPr>
      <w:r w:rsidRPr="00385C4E">
        <w:t>Yumeng Su</w:t>
      </w:r>
      <w:r w:rsidRPr="00385C4E">
        <w:rPr>
          <w:vertAlign w:val="superscript"/>
        </w:rPr>
        <w:t>1,a</w:t>
      </w:r>
      <w:r w:rsidRPr="00385C4E">
        <w:t xml:space="preserve"> , Ling Gao</w:t>
      </w:r>
      <w:r w:rsidRPr="00385C4E">
        <w:rPr>
          <w:vertAlign w:val="superscript"/>
        </w:rPr>
        <w:t>1,a</w:t>
      </w:r>
      <w:r w:rsidRPr="00385C4E">
        <w:t xml:space="preserve"> , Chenyu Li, Liang Wang</w:t>
      </w:r>
      <w:r w:rsidRPr="00385C4E">
        <w:rPr>
          <w:vertAlign w:val="superscript"/>
        </w:rPr>
        <w:t>a</w:t>
      </w:r>
      <w:r w:rsidRPr="00385C4E">
        <w:t>, Huimin Zhou</w:t>
      </w:r>
      <w:r w:rsidRPr="00385C4E">
        <w:rPr>
          <w:vertAlign w:val="superscript"/>
        </w:rPr>
        <w:t>a</w:t>
      </w:r>
      <w:r w:rsidRPr="00385C4E">
        <w:t>, Chenhao Zhang</w:t>
      </w:r>
      <w:r w:rsidRPr="00385C4E">
        <w:rPr>
          <w:vertAlign w:val="superscript"/>
        </w:rPr>
        <w:t>a</w:t>
      </w:r>
      <w:r w:rsidRPr="00385C4E">
        <w:t>, Xiaole Xia*</w:t>
      </w:r>
    </w:p>
    <w:p w14:paraId="4D031F95" w14:textId="2AC73D89" w:rsidR="00D77119" w:rsidRPr="00385C4E" w:rsidRDefault="00D77119" w:rsidP="0096638D">
      <w:pPr>
        <w:pStyle w:val="BCAuthorAddress"/>
      </w:pPr>
      <w:r w:rsidRPr="00385C4E">
        <w:rPr>
          <w:vertAlign w:val="superscript"/>
        </w:rPr>
        <w:t xml:space="preserve">a </w:t>
      </w:r>
      <w:r w:rsidRPr="00385C4E">
        <w:t>Key Laboratory of Industrial Biotechnology, Ministry of Education, School of Biotechnology, Jiangnan University, Wuxi, Jiangsu214122, People’s Republic of China.</w:t>
      </w:r>
    </w:p>
    <w:p w14:paraId="0BDF6E80" w14:textId="77777777" w:rsidR="00D77119" w:rsidRPr="00385C4E" w:rsidRDefault="00D77119" w:rsidP="0096638D">
      <w:pPr>
        <w:pStyle w:val="BCAuthorAddress"/>
      </w:pPr>
      <w:r w:rsidRPr="00385C4E">
        <w:rPr>
          <w:vertAlign w:val="superscript"/>
        </w:rPr>
        <w:t>1</w:t>
      </w:r>
      <w:r w:rsidRPr="00385C4E">
        <w:t>Author Contributions: Yumeng Su and Ling Gao contributed equally to this work.</w:t>
      </w:r>
    </w:p>
    <w:p w14:paraId="159ED009" w14:textId="77777777" w:rsidR="00D77119" w:rsidRPr="00385C4E" w:rsidRDefault="00D77119" w:rsidP="0096638D">
      <w:pPr>
        <w:pStyle w:val="FACorrespondingAuthorFootnote"/>
        <w:rPr>
          <w:lang w:val="en-GB"/>
        </w:rPr>
      </w:pPr>
      <w:r w:rsidRPr="00385C4E">
        <w:rPr>
          <w:lang w:val="en-GB"/>
        </w:rPr>
        <w:t>*Correspondence</w:t>
      </w:r>
    </w:p>
    <w:p w14:paraId="089FB134" w14:textId="77777777" w:rsidR="00D77119" w:rsidRPr="00385C4E" w:rsidRDefault="00D77119" w:rsidP="0096638D">
      <w:pPr>
        <w:pStyle w:val="FACorrespondingAuthorFootnote"/>
        <w:rPr>
          <w:lang w:val="en-GB"/>
        </w:rPr>
      </w:pPr>
      <w:r w:rsidRPr="00385C4E">
        <w:rPr>
          <w:lang w:val="en-GB"/>
        </w:rPr>
        <w:t xml:space="preserve">Xiaole Xia, the Key Laboratory of Industrial Biotechnology, Ministry of Education, School of Biotechnology, Jiangnan University, </w:t>
      </w:r>
      <w:bookmarkStart w:id="1" w:name="OLE_LINK55"/>
      <w:bookmarkStart w:id="2" w:name="OLE_LINK59"/>
      <w:r w:rsidRPr="00385C4E">
        <w:rPr>
          <w:lang w:val="en-GB"/>
        </w:rPr>
        <w:t>1800 Lihu Road, WuXi 214122, PR China</w:t>
      </w:r>
      <w:bookmarkEnd w:id="1"/>
      <w:bookmarkEnd w:id="2"/>
    </w:p>
    <w:p w14:paraId="715DD9C0" w14:textId="77777777" w:rsidR="00D77119" w:rsidRPr="00385C4E" w:rsidRDefault="00D77119" w:rsidP="0096638D">
      <w:pPr>
        <w:pStyle w:val="FACorrespondingAuthorFootnote"/>
        <w:rPr>
          <w:lang w:val="en-GB"/>
        </w:rPr>
      </w:pPr>
      <w:bookmarkStart w:id="3" w:name="OLE_LINK54"/>
      <w:r w:rsidRPr="00385C4E">
        <w:rPr>
          <w:lang w:val="en-GB"/>
        </w:rPr>
        <w:t>Tel./Fax: +86-0510-85327270</w:t>
      </w:r>
    </w:p>
    <w:bookmarkEnd w:id="3"/>
    <w:p w14:paraId="38778DFE" w14:textId="77777777" w:rsidR="00D77119" w:rsidRPr="00385C4E" w:rsidRDefault="00D77119" w:rsidP="0096638D">
      <w:pPr>
        <w:pStyle w:val="FACorrespondingAuthorFootnote"/>
        <w:rPr>
          <w:u w:val="single"/>
          <w:lang w:val="en-GB"/>
        </w:rPr>
      </w:pPr>
      <w:r w:rsidRPr="00385C4E">
        <w:rPr>
          <w:lang w:val="en-GB"/>
        </w:rPr>
        <w:t xml:space="preserve">E-mail: </w:t>
      </w:r>
      <w:hyperlink r:id="rId7" w:history="1">
        <w:r w:rsidRPr="00385C4E">
          <w:rPr>
            <w:u w:val="single"/>
            <w:lang w:val="en-GB"/>
          </w:rPr>
          <w:t>xiaolexia@jiangnan.edu.cn</w:t>
        </w:r>
      </w:hyperlink>
    </w:p>
    <w:p w14:paraId="2EB49189" w14:textId="77777777" w:rsidR="00D77119" w:rsidRPr="00385C4E" w:rsidRDefault="00D77119">
      <w:pPr>
        <w:jc w:val="left"/>
        <w:rPr>
          <w:rFonts w:ascii="Times New Roman" w:eastAsia="SimSun" w:hAnsi="Times New Roman"/>
          <w:szCs w:val="24"/>
          <w:lang w:val="en-GB"/>
        </w:rPr>
      </w:pPr>
    </w:p>
    <w:p w14:paraId="1343F671" w14:textId="77777777" w:rsidR="00D77119" w:rsidRPr="00385C4E" w:rsidRDefault="00D77119">
      <w:pPr>
        <w:jc w:val="left"/>
        <w:rPr>
          <w:rFonts w:ascii="Times New Roman" w:eastAsia="SimSun" w:hAnsi="Times New Roman"/>
          <w:szCs w:val="24"/>
        </w:rPr>
      </w:pPr>
    </w:p>
    <w:p w14:paraId="79E78941" w14:textId="60400671" w:rsidR="00D77119" w:rsidRPr="00385C4E" w:rsidRDefault="00D77119">
      <w:pPr>
        <w:jc w:val="left"/>
        <w:rPr>
          <w:rFonts w:ascii="Times New Roman" w:eastAsia="SimSun" w:hAnsi="Times New Roman"/>
          <w:szCs w:val="24"/>
        </w:rPr>
      </w:pPr>
      <w:r w:rsidRPr="00385C4E">
        <w:rPr>
          <w:rFonts w:ascii="Times New Roman" w:eastAsia="SimSun" w:hAnsi="Times New Roman"/>
          <w:szCs w:val="24"/>
        </w:rPr>
        <w:br w:type="page"/>
      </w:r>
    </w:p>
    <w:p w14:paraId="2B8D66F1" w14:textId="34FF5C21" w:rsidR="002138F5" w:rsidRPr="00385C4E" w:rsidRDefault="002138F5" w:rsidP="0096638D">
      <w:pPr>
        <w:pStyle w:val="VDTableTitle"/>
        <w:rPr>
          <w:b/>
          <w:bCs/>
        </w:rPr>
      </w:pPr>
      <w:r w:rsidRPr="00385C4E">
        <w:rPr>
          <w:rFonts w:hint="eastAsia"/>
          <w:b/>
          <w:bCs/>
        </w:rPr>
        <w:t>Table</w:t>
      </w:r>
      <w:r w:rsidRPr="00385C4E">
        <w:rPr>
          <w:b/>
          <w:bCs/>
        </w:rPr>
        <w:t xml:space="preserve"> </w:t>
      </w:r>
      <w:r w:rsidRPr="00385C4E">
        <w:rPr>
          <w:rFonts w:hint="eastAsia"/>
          <w:b/>
          <w:bCs/>
        </w:rPr>
        <w:t>S1</w:t>
      </w:r>
      <w:r w:rsidR="001701BC" w:rsidRPr="00385C4E">
        <w:rPr>
          <w:b/>
          <w:bCs/>
        </w:rPr>
        <w:t xml:space="preserve">. </w:t>
      </w:r>
      <w:r w:rsidR="00206BED" w:rsidRPr="00385C4E">
        <w:rPr>
          <w:b/>
          <w:bCs/>
        </w:rPr>
        <w:t xml:space="preserve">Expression of differential transcription genes in </w:t>
      </w:r>
      <w:r w:rsidR="00206BED" w:rsidRPr="00385C4E">
        <w:rPr>
          <w:b/>
          <w:bCs/>
          <w:i/>
          <w:iCs/>
        </w:rPr>
        <w:t xml:space="preserve">B. subtilis Q1 </w:t>
      </w:r>
      <w:r w:rsidR="00206BED" w:rsidRPr="00385C4E">
        <w:rPr>
          <w:b/>
          <w:bCs/>
        </w:rPr>
        <w:t>by RT-qPCR and RNA-Seq.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51"/>
        <w:gridCol w:w="1511"/>
        <w:gridCol w:w="2393"/>
        <w:gridCol w:w="3507"/>
      </w:tblGrid>
      <w:tr w:rsidR="00385C4E" w:rsidRPr="00385C4E" w14:paraId="6EB605E1" w14:textId="77777777" w:rsidTr="000C5549">
        <w:trPr>
          <w:trHeight w:val="346"/>
          <w:jc w:val="center"/>
        </w:trPr>
        <w:tc>
          <w:tcPr>
            <w:tcW w:w="104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7C987" w14:textId="4BFFAB70" w:rsidR="00D07CCA" w:rsidRPr="00385C4E" w:rsidRDefault="00D07CCA" w:rsidP="000C5549">
            <w:pPr>
              <w:pStyle w:val="TCTableBody"/>
              <w:jc w:val="center"/>
              <w:rPr>
                <w:rFonts w:eastAsia="SimHei"/>
              </w:rPr>
            </w:pPr>
            <w:r w:rsidRPr="00385C4E">
              <w:t>Sample</w:t>
            </w:r>
          </w:p>
        </w:tc>
        <w:tc>
          <w:tcPr>
            <w:tcW w:w="80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B42CC" w14:textId="79975A8E" w:rsidR="00D07CCA" w:rsidRPr="00385C4E" w:rsidRDefault="00D07CCA" w:rsidP="000C5549">
            <w:pPr>
              <w:pStyle w:val="TCTableBody"/>
              <w:jc w:val="center"/>
            </w:pPr>
            <w:r w:rsidRPr="00385C4E">
              <w:t>Gene</w:t>
            </w:r>
            <w:r w:rsidR="00EF7AAE" w:rsidRPr="00385C4E">
              <w:t xml:space="preserve"> name</w:t>
            </w:r>
          </w:p>
        </w:tc>
        <w:tc>
          <w:tcPr>
            <w:tcW w:w="127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E3E3D" w14:textId="07F2A7E2" w:rsidR="00D07CCA" w:rsidRPr="00385C4E" w:rsidRDefault="00D07CCA" w:rsidP="000C5549">
            <w:pPr>
              <w:pStyle w:val="TCTableBody"/>
              <w:jc w:val="center"/>
            </w:pPr>
            <w:r w:rsidRPr="00385C4E">
              <w:t xml:space="preserve">2 </w:t>
            </w:r>
            <w:r w:rsidRPr="00385C4E">
              <w:rPr>
                <w:vertAlign w:val="superscript"/>
              </w:rPr>
              <w:t>-(</w:t>
            </w:r>
            <w:r w:rsidRPr="00385C4E">
              <w:rPr>
                <w:rFonts w:eastAsia="Microsoft YaHei"/>
                <w:vertAlign w:val="superscript"/>
              </w:rPr>
              <w:t>∆∆</w:t>
            </w:r>
            <w:r w:rsidRPr="00385C4E">
              <w:rPr>
                <w:vertAlign w:val="superscript"/>
              </w:rPr>
              <w:t>Ct)</w:t>
            </w:r>
            <w:r w:rsidR="00EF7AAE" w:rsidRPr="00385C4E">
              <w:rPr>
                <w:vertAlign w:val="superscript"/>
              </w:rPr>
              <w:t xml:space="preserve"> </w:t>
            </w:r>
            <w:r w:rsidR="00EF7AAE" w:rsidRPr="00385C4E">
              <w:t>(RT-qPCR)</w:t>
            </w:r>
          </w:p>
        </w:tc>
        <w:tc>
          <w:tcPr>
            <w:tcW w:w="187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CC59E" w14:textId="031F3563" w:rsidR="00D07CCA" w:rsidRPr="00385C4E" w:rsidRDefault="00D07CCA" w:rsidP="000C5549">
            <w:pPr>
              <w:pStyle w:val="TCTableBody"/>
              <w:jc w:val="center"/>
            </w:pPr>
            <w:r w:rsidRPr="00385C4E">
              <w:t>Log</w:t>
            </w:r>
            <w:r w:rsidRPr="00385C4E">
              <w:rPr>
                <w:vertAlign w:val="subscript"/>
              </w:rPr>
              <w:t>2</w:t>
            </w:r>
            <w:r w:rsidRPr="00385C4E">
              <w:t>FoldChange</w:t>
            </w:r>
            <w:r w:rsidR="00EF7AAE" w:rsidRPr="00385C4E">
              <w:t xml:space="preserve"> (RNA-Seq)</w:t>
            </w:r>
          </w:p>
        </w:tc>
      </w:tr>
      <w:tr w:rsidR="00385C4E" w:rsidRPr="00385C4E" w14:paraId="7A2C1D0D" w14:textId="77777777" w:rsidTr="000C5549">
        <w:trPr>
          <w:trHeight w:val="346"/>
          <w:jc w:val="center"/>
        </w:trPr>
        <w:tc>
          <w:tcPr>
            <w:tcW w:w="1042" w:type="pct"/>
            <w:vMerge w:val="restart"/>
            <w:shd w:val="clear" w:color="auto" w:fill="auto"/>
            <w:vAlign w:val="center"/>
          </w:tcPr>
          <w:p w14:paraId="5EC5C799" w14:textId="11ACF9DB" w:rsidR="00D07CCA" w:rsidRPr="00385C4E" w:rsidRDefault="00D07CCA" w:rsidP="000C5549">
            <w:pPr>
              <w:pStyle w:val="TCTableBody"/>
              <w:jc w:val="center"/>
            </w:pPr>
            <w:r w:rsidRPr="00385C4E">
              <w:rPr>
                <w:rFonts w:hint="eastAsia"/>
              </w:rPr>
              <w:t>C</w:t>
            </w:r>
            <w:r w:rsidRPr="00385C4E">
              <w:t>14</w:t>
            </w:r>
            <w:r w:rsidR="00FD677E" w:rsidRPr="00385C4E">
              <w:t xml:space="preserve"> vs Control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4872C0B" w14:textId="77777777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glnP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30B19EAE" w14:textId="5D1F2319" w:rsidR="00D07CCA" w:rsidRPr="00385C4E" w:rsidRDefault="00D07CCA" w:rsidP="000C5549">
            <w:pPr>
              <w:pStyle w:val="TCTableBody"/>
              <w:jc w:val="center"/>
            </w:pPr>
            <w:r w:rsidRPr="00385C4E">
              <w:t>0.70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29213647" w14:textId="77777777" w:rsidR="00D07CCA" w:rsidRPr="00385C4E" w:rsidRDefault="00D07CCA" w:rsidP="000C5549">
            <w:pPr>
              <w:pStyle w:val="TCTableBody"/>
              <w:jc w:val="center"/>
            </w:pPr>
            <w:r w:rsidRPr="00385C4E">
              <w:t>-7.76</w:t>
            </w:r>
          </w:p>
        </w:tc>
      </w:tr>
      <w:tr w:rsidR="00385C4E" w:rsidRPr="00385C4E" w14:paraId="297BC968" w14:textId="77777777" w:rsidTr="000C5549">
        <w:trPr>
          <w:trHeight w:val="346"/>
          <w:jc w:val="center"/>
        </w:trPr>
        <w:tc>
          <w:tcPr>
            <w:tcW w:w="1042" w:type="pct"/>
            <w:vMerge/>
            <w:shd w:val="clear" w:color="auto" w:fill="auto"/>
            <w:vAlign w:val="center"/>
          </w:tcPr>
          <w:p w14:paraId="09638512" w14:textId="3DFFD66A" w:rsidR="00D07CCA" w:rsidRPr="00385C4E" w:rsidRDefault="00D07CCA" w:rsidP="000C5549">
            <w:pPr>
              <w:pStyle w:val="TCTableBody"/>
              <w:jc w:val="center"/>
            </w:pPr>
          </w:p>
        </w:tc>
        <w:tc>
          <w:tcPr>
            <w:tcW w:w="807" w:type="pct"/>
            <w:shd w:val="clear" w:color="auto" w:fill="auto"/>
            <w:vAlign w:val="center"/>
          </w:tcPr>
          <w:p w14:paraId="49F4B511" w14:textId="77777777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glnQ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4BD3297D" w14:textId="0B9E8D4C" w:rsidR="00D07CCA" w:rsidRPr="00385C4E" w:rsidRDefault="00D07CCA" w:rsidP="000C5549">
            <w:pPr>
              <w:pStyle w:val="TCTableBody"/>
              <w:jc w:val="center"/>
            </w:pPr>
            <w:r w:rsidRPr="00385C4E">
              <w:t>0.36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7EEB71DB" w14:textId="77777777" w:rsidR="00D07CCA" w:rsidRPr="00385C4E" w:rsidRDefault="00D07CCA" w:rsidP="000C5549">
            <w:pPr>
              <w:pStyle w:val="TCTableBody"/>
              <w:jc w:val="center"/>
            </w:pPr>
            <w:r w:rsidRPr="00385C4E">
              <w:t>-5.78</w:t>
            </w:r>
          </w:p>
        </w:tc>
      </w:tr>
      <w:tr w:rsidR="00385C4E" w:rsidRPr="00385C4E" w14:paraId="1B9395F0" w14:textId="77777777" w:rsidTr="000C5549">
        <w:trPr>
          <w:trHeight w:val="346"/>
          <w:jc w:val="center"/>
        </w:trPr>
        <w:tc>
          <w:tcPr>
            <w:tcW w:w="1042" w:type="pct"/>
            <w:vMerge/>
            <w:shd w:val="clear" w:color="auto" w:fill="auto"/>
            <w:vAlign w:val="center"/>
          </w:tcPr>
          <w:p w14:paraId="0CEA7586" w14:textId="19588E85" w:rsidR="00D07CCA" w:rsidRPr="00385C4E" w:rsidRDefault="00D07CCA" w:rsidP="000C5549">
            <w:pPr>
              <w:pStyle w:val="TCTableBody"/>
              <w:jc w:val="center"/>
            </w:pPr>
          </w:p>
        </w:tc>
        <w:tc>
          <w:tcPr>
            <w:tcW w:w="807" w:type="pct"/>
            <w:shd w:val="clear" w:color="auto" w:fill="auto"/>
            <w:vAlign w:val="center"/>
          </w:tcPr>
          <w:p w14:paraId="19AB47E2" w14:textId="77777777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glnH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5AF17766" w14:textId="78A0073D" w:rsidR="00D07CCA" w:rsidRPr="00385C4E" w:rsidRDefault="00D07CCA" w:rsidP="000C5549">
            <w:pPr>
              <w:pStyle w:val="TCTableBody"/>
              <w:jc w:val="center"/>
            </w:pPr>
            <w:r w:rsidRPr="00385C4E">
              <w:t>0.36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7C7E7D23" w14:textId="77777777" w:rsidR="00D07CCA" w:rsidRPr="00385C4E" w:rsidRDefault="00D07CCA" w:rsidP="000C5549">
            <w:pPr>
              <w:pStyle w:val="TCTableBody"/>
              <w:jc w:val="center"/>
            </w:pPr>
            <w:r w:rsidRPr="00385C4E">
              <w:t>-5.06</w:t>
            </w:r>
          </w:p>
        </w:tc>
      </w:tr>
      <w:tr w:rsidR="00385C4E" w:rsidRPr="00385C4E" w14:paraId="47DDFB55" w14:textId="77777777" w:rsidTr="000C5549">
        <w:trPr>
          <w:trHeight w:val="346"/>
          <w:jc w:val="center"/>
        </w:trPr>
        <w:tc>
          <w:tcPr>
            <w:tcW w:w="1042" w:type="pct"/>
            <w:vMerge/>
            <w:shd w:val="clear" w:color="auto" w:fill="auto"/>
            <w:vAlign w:val="center"/>
          </w:tcPr>
          <w:p w14:paraId="07EBD329" w14:textId="0D995AEB" w:rsidR="00D07CCA" w:rsidRPr="00385C4E" w:rsidRDefault="00D07CCA" w:rsidP="000C5549">
            <w:pPr>
              <w:pStyle w:val="TCTableBody"/>
              <w:jc w:val="center"/>
            </w:pPr>
          </w:p>
        </w:tc>
        <w:tc>
          <w:tcPr>
            <w:tcW w:w="807" w:type="pct"/>
            <w:shd w:val="clear" w:color="auto" w:fill="auto"/>
            <w:vAlign w:val="center"/>
          </w:tcPr>
          <w:p w14:paraId="7D107D7E" w14:textId="77777777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gdh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7CAB546A" w14:textId="5084C690" w:rsidR="00D07CCA" w:rsidRPr="00385C4E" w:rsidRDefault="00D07CCA" w:rsidP="000C5549">
            <w:pPr>
              <w:pStyle w:val="TCTableBody"/>
              <w:jc w:val="center"/>
            </w:pPr>
            <w:r w:rsidRPr="00385C4E">
              <w:t>0.22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53D25A45" w14:textId="77777777" w:rsidR="00D07CCA" w:rsidRPr="00385C4E" w:rsidRDefault="00D07CCA" w:rsidP="000C5549">
            <w:pPr>
              <w:pStyle w:val="TCTableBody"/>
              <w:jc w:val="center"/>
            </w:pPr>
            <w:r w:rsidRPr="00385C4E">
              <w:t>-5.68</w:t>
            </w:r>
          </w:p>
        </w:tc>
      </w:tr>
      <w:tr w:rsidR="00385C4E" w:rsidRPr="00385C4E" w14:paraId="5CE9DAAE" w14:textId="77777777" w:rsidTr="000C5549">
        <w:trPr>
          <w:trHeight w:val="346"/>
          <w:jc w:val="center"/>
        </w:trPr>
        <w:tc>
          <w:tcPr>
            <w:tcW w:w="1042" w:type="pct"/>
            <w:vMerge w:val="restart"/>
            <w:shd w:val="clear" w:color="auto" w:fill="auto"/>
            <w:vAlign w:val="center"/>
          </w:tcPr>
          <w:p w14:paraId="29FEF162" w14:textId="4A7FE377" w:rsidR="00D07CCA" w:rsidRPr="00385C4E" w:rsidRDefault="00D07CCA" w:rsidP="000C5549">
            <w:pPr>
              <w:pStyle w:val="TCTableBody"/>
              <w:jc w:val="center"/>
            </w:pPr>
            <w:r w:rsidRPr="00385C4E">
              <w:t>C15</w:t>
            </w:r>
            <w:r w:rsidR="00FD677E" w:rsidRPr="00385C4E">
              <w:t xml:space="preserve"> vs Control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47F1312" w14:textId="3836F411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ybcM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0A0B648C" w14:textId="09DBAB5F" w:rsidR="00D07CCA" w:rsidRPr="00385C4E" w:rsidRDefault="00D07CCA" w:rsidP="000C5549">
            <w:pPr>
              <w:pStyle w:val="TCTableBody"/>
              <w:jc w:val="center"/>
            </w:pPr>
            <w:r w:rsidRPr="00385C4E">
              <w:t>1.81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721CFB84" w14:textId="785E20C8" w:rsidR="00D07CCA" w:rsidRPr="00385C4E" w:rsidRDefault="00D07CCA" w:rsidP="000C5549">
            <w:pPr>
              <w:pStyle w:val="TCTableBody"/>
              <w:jc w:val="center"/>
            </w:pPr>
            <w:r w:rsidRPr="00385C4E">
              <w:t>7.65</w:t>
            </w:r>
          </w:p>
        </w:tc>
      </w:tr>
      <w:tr w:rsidR="00385C4E" w:rsidRPr="00385C4E" w14:paraId="7A28669C" w14:textId="77777777" w:rsidTr="000C5549">
        <w:trPr>
          <w:trHeight w:val="346"/>
          <w:jc w:val="center"/>
        </w:trPr>
        <w:tc>
          <w:tcPr>
            <w:tcW w:w="1042" w:type="pct"/>
            <w:vMerge/>
            <w:shd w:val="clear" w:color="auto" w:fill="auto"/>
            <w:vAlign w:val="center"/>
          </w:tcPr>
          <w:p w14:paraId="04137B5E" w14:textId="6E629D81" w:rsidR="00D07CCA" w:rsidRPr="00385C4E" w:rsidRDefault="00D07CCA" w:rsidP="000C5549">
            <w:pPr>
              <w:pStyle w:val="TCTableBody"/>
              <w:jc w:val="center"/>
            </w:pPr>
          </w:p>
        </w:tc>
        <w:tc>
          <w:tcPr>
            <w:tcW w:w="807" w:type="pct"/>
            <w:shd w:val="clear" w:color="auto" w:fill="auto"/>
            <w:vAlign w:val="center"/>
          </w:tcPr>
          <w:p w14:paraId="7A7066F0" w14:textId="3529D36F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pstS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452A0251" w14:textId="4B4A0BEA" w:rsidR="00D07CCA" w:rsidRPr="00385C4E" w:rsidRDefault="00D07CCA" w:rsidP="000C5549">
            <w:pPr>
              <w:pStyle w:val="TCTableBody"/>
              <w:jc w:val="center"/>
            </w:pPr>
            <w:r w:rsidRPr="00385C4E">
              <w:t>1.25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77A7C473" w14:textId="5D9E78A8" w:rsidR="00D07CCA" w:rsidRPr="00385C4E" w:rsidRDefault="00D07CCA" w:rsidP="000C5549">
            <w:pPr>
              <w:pStyle w:val="TCTableBody"/>
              <w:jc w:val="center"/>
            </w:pPr>
            <w:r w:rsidRPr="00385C4E">
              <w:t>5.46</w:t>
            </w:r>
          </w:p>
        </w:tc>
      </w:tr>
      <w:tr w:rsidR="00385C4E" w:rsidRPr="00385C4E" w14:paraId="1D14D752" w14:textId="77777777" w:rsidTr="000C5549">
        <w:trPr>
          <w:trHeight w:val="346"/>
          <w:jc w:val="center"/>
        </w:trPr>
        <w:tc>
          <w:tcPr>
            <w:tcW w:w="1042" w:type="pct"/>
            <w:vMerge/>
            <w:shd w:val="clear" w:color="auto" w:fill="auto"/>
            <w:vAlign w:val="center"/>
          </w:tcPr>
          <w:p w14:paraId="79EE6B7A" w14:textId="26B56207" w:rsidR="00D07CCA" w:rsidRPr="00385C4E" w:rsidRDefault="00D07CCA" w:rsidP="000C5549">
            <w:pPr>
              <w:pStyle w:val="TCTableBody"/>
              <w:jc w:val="center"/>
            </w:pPr>
          </w:p>
        </w:tc>
        <w:tc>
          <w:tcPr>
            <w:tcW w:w="807" w:type="pct"/>
            <w:shd w:val="clear" w:color="auto" w:fill="auto"/>
            <w:vAlign w:val="center"/>
          </w:tcPr>
          <w:p w14:paraId="4A9E2FB1" w14:textId="4D6B70DC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spmH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31986342" w14:textId="16872501" w:rsidR="00D07CCA" w:rsidRPr="00385C4E" w:rsidRDefault="00D07CCA" w:rsidP="000C5549">
            <w:pPr>
              <w:pStyle w:val="TCTableBody"/>
              <w:jc w:val="center"/>
            </w:pPr>
            <w:r w:rsidRPr="00385C4E">
              <w:t>1.59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3E24992B" w14:textId="75C86603" w:rsidR="00D07CCA" w:rsidRPr="00385C4E" w:rsidRDefault="00D07CCA" w:rsidP="000C5549">
            <w:pPr>
              <w:pStyle w:val="TCTableBody"/>
              <w:jc w:val="center"/>
            </w:pPr>
            <w:r w:rsidRPr="00385C4E">
              <w:t>4.41</w:t>
            </w:r>
          </w:p>
        </w:tc>
      </w:tr>
      <w:tr w:rsidR="00385C4E" w:rsidRPr="00385C4E" w14:paraId="6C2F991C" w14:textId="77777777" w:rsidTr="000C5549">
        <w:trPr>
          <w:trHeight w:val="346"/>
          <w:jc w:val="center"/>
        </w:trPr>
        <w:tc>
          <w:tcPr>
            <w:tcW w:w="1042" w:type="pct"/>
            <w:vMerge/>
            <w:shd w:val="clear" w:color="auto" w:fill="auto"/>
            <w:vAlign w:val="center"/>
          </w:tcPr>
          <w:p w14:paraId="736E4C08" w14:textId="264C7715" w:rsidR="00D07CCA" w:rsidRPr="00385C4E" w:rsidRDefault="00D07CCA" w:rsidP="000C5549">
            <w:pPr>
              <w:pStyle w:val="TCTableBody"/>
              <w:jc w:val="center"/>
            </w:pPr>
          </w:p>
        </w:tc>
        <w:tc>
          <w:tcPr>
            <w:tcW w:w="807" w:type="pct"/>
            <w:shd w:val="clear" w:color="auto" w:fill="auto"/>
            <w:vAlign w:val="center"/>
          </w:tcPr>
          <w:p w14:paraId="6967C644" w14:textId="37182248" w:rsidR="00D07CCA" w:rsidRPr="00385C4E" w:rsidRDefault="00D07CCA" w:rsidP="000C5549">
            <w:pPr>
              <w:pStyle w:val="TCTableBody"/>
              <w:jc w:val="center"/>
              <w:rPr>
                <w:i/>
                <w:iCs/>
              </w:rPr>
            </w:pPr>
            <w:r w:rsidRPr="00385C4E">
              <w:rPr>
                <w:i/>
                <w:iCs/>
              </w:rPr>
              <w:t>lctE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4D2E062E" w14:textId="4882EA10" w:rsidR="00D07CCA" w:rsidRPr="00385C4E" w:rsidRDefault="00D07CCA" w:rsidP="000C5549">
            <w:pPr>
              <w:pStyle w:val="TCTableBody"/>
              <w:jc w:val="center"/>
            </w:pPr>
            <w:r w:rsidRPr="00385C4E">
              <w:t>2.70</w:t>
            </w:r>
          </w:p>
        </w:tc>
        <w:tc>
          <w:tcPr>
            <w:tcW w:w="1873" w:type="pct"/>
            <w:shd w:val="clear" w:color="auto" w:fill="auto"/>
            <w:vAlign w:val="center"/>
          </w:tcPr>
          <w:p w14:paraId="79AFE6A1" w14:textId="65CE73E5" w:rsidR="00D07CCA" w:rsidRPr="00385C4E" w:rsidRDefault="00D07CCA" w:rsidP="000C5549">
            <w:pPr>
              <w:pStyle w:val="TCTableBody"/>
              <w:jc w:val="center"/>
            </w:pPr>
            <w:r w:rsidRPr="00385C4E">
              <w:t>5.09</w:t>
            </w:r>
          </w:p>
        </w:tc>
      </w:tr>
    </w:tbl>
    <w:p w14:paraId="08A3A197" w14:textId="6CBCF5F9" w:rsidR="00A21D2D" w:rsidRPr="00385C4E" w:rsidRDefault="00A21D2D" w:rsidP="00A21D2D">
      <w:pPr>
        <w:pStyle w:val="StyleFACorrespondingAuthorFootnote7pt"/>
        <w:rPr>
          <w:lang w:eastAsia="zh-CN"/>
        </w:rPr>
      </w:pPr>
      <w:r w:rsidRPr="00385C4E">
        <w:rPr>
          <w:rFonts w:hint="eastAsia"/>
          <w:lang w:eastAsia="zh-CN"/>
        </w:rPr>
        <w:t>N</w:t>
      </w:r>
      <w:r w:rsidRPr="00385C4E">
        <w:rPr>
          <w:lang w:eastAsia="zh-CN"/>
        </w:rPr>
        <w:t xml:space="preserve">ote: In the control group, </w:t>
      </w:r>
      <w:r w:rsidRPr="00385C4E">
        <w:t xml:space="preserve">2 </w:t>
      </w:r>
      <w:r w:rsidRPr="00385C4E">
        <w:rPr>
          <w:vertAlign w:val="superscript"/>
        </w:rPr>
        <w:t>-(</w:t>
      </w:r>
      <w:r w:rsidRPr="00385C4E">
        <w:rPr>
          <w:rFonts w:eastAsia="Microsoft YaHei"/>
          <w:vertAlign w:val="superscript"/>
        </w:rPr>
        <w:t>∆∆</w:t>
      </w:r>
      <w:r w:rsidRPr="00385C4E">
        <w:rPr>
          <w:vertAlign w:val="superscript"/>
        </w:rPr>
        <w:t>Ct)</w:t>
      </w:r>
      <w:r w:rsidRPr="00385C4E">
        <w:rPr>
          <w:lang w:eastAsia="zh-CN"/>
        </w:rPr>
        <w:t xml:space="preserve"> equals 1, and Log</w:t>
      </w:r>
      <w:r w:rsidRPr="00385C4E">
        <w:rPr>
          <w:vertAlign w:val="subscript"/>
          <w:lang w:eastAsia="zh-CN"/>
        </w:rPr>
        <w:t>2</w:t>
      </w:r>
      <w:r w:rsidRPr="00385C4E">
        <w:rPr>
          <w:lang w:eastAsia="zh-CN"/>
        </w:rPr>
        <w:t>FoldChange equals 0.</w:t>
      </w:r>
    </w:p>
    <w:p w14:paraId="79199617" w14:textId="293C4805" w:rsidR="002138F5" w:rsidRPr="00385C4E" w:rsidRDefault="002138F5" w:rsidP="00A21D2D">
      <w:pPr>
        <w:pStyle w:val="StyleFACorrespondingAuthorFootnote7pt"/>
      </w:pPr>
      <w:r w:rsidRPr="00385C4E">
        <w:rPr>
          <w:rFonts w:ascii="Times New Roman" w:eastAsia="SimSun" w:hAnsi="Times New Roman"/>
          <w:szCs w:val="24"/>
        </w:rPr>
        <w:br w:type="page"/>
      </w:r>
    </w:p>
    <w:p w14:paraId="053ED675" w14:textId="64CE0BCC" w:rsidR="00CB2020" w:rsidRPr="00385C4E" w:rsidRDefault="002138F5" w:rsidP="0096638D">
      <w:pPr>
        <w:pStyle w:val="VAFigureCaption"/>
      </w:pPr>
      <w:r w:rsidRPr="00385C4E">
        <w:rPr>
          <w:b/>
          <w:bCs/>
        </w:rPr>
        <w:t>Fig</w:t>
      </w:r>
      <w:r w:rsidR="0096638D" w:rsidRPr="00385C4E">
        <w:rPr>
          <w:b/>
          <w:bCs/>
        </w:rPr>
        <w:t>ure</w:t>
      </w:r>
      <w:r w:rsidRPr="00385C4E">
        <w:rPr>
          <w:b/>
          <w:bCs/>
        </w:rPr>
        <w:t xml:space="preserve"> S1</w:t>
      </w:r>
      <w:r w:rsidR="0096638D" w:rsidRPr="00385C4E">
        <w:rPr>
          <w:b/>
          <w:bCs/>
        </w:rPr>
        <w:t>.</w:t>
      </w:r>
      <w:r w:rsidRPr="00385C4E">
        <w:rPr>
          <w:b/>
          <w:bCs/>
        </w:rPr>
        <w:t xml:space="preserve"> </w:t>
      </w:r>
      <w:r w:rsidR="00D7239B" w:rsidRPr="00385C4E">
        <w:rPr>
          <w:b/>
          <w:bCs/>
        </w:rPr>
        <w:t>Effects of carbon source</w:t>
      </w:r>
      <w:r w:rsidR="00FF3B4E" w:rsidRPr="00385C4E">
        <w:rPr>
          <w:b/>
          <w:bCs/>
        </w:rPr>
        <w:t xml:space="preserve"> and</w:t>
      </w:r>
      <w:r w:rsidR="00D7239B" w:rsidRPr="00385C4E">
        <w:rPr>
          <w:b/>
          <w:bCs/>
        </w:rPr>
        <w:t xml:space="preserve"> inorganic nitrogen source on surfactin production.</w:t>
      </w:r>
      <w:r w:rsidR="00E43E6C" w:rsidRPr="00385C4E">
        <w:rPr>
          <w:b/>
          <w:bCs/>
        </w:rPr>
        <w:t xml:space="preserve"> </w:t>
      </w:r>
      <w:r w:rsidR="00E43E6C" w:rsidRPr="00385C4E">
        <w:t>A: Surfactin titer and OD</w:t>
      </w:r>
      <w:r w:rsidR="00E43E6C" w:rsidRPr="00385C4E">
        <w:rPr>
          <w:vertAlign w:val="subscript"/>
        </w:rPr>
        <w:t>600</w:t>
      </w:r>
      <w:r w:rsidR="00E43E6C" w:rsidRPr="00385C4E">
        <w:t xml:space="preserve"> of </w:t>
      </w:r>
      <w:r w:rsidR="00E43E6C" w:rsidRPr="00385C4E">
        <w:rPr>
          <w:i/>
          <w:iCs/>
        </w:rPr>
        <w:t>B. subtilis Q1</w:t>
      </w:r>
      <w:r w:rsidR="00E43E6C" w:rsidRPr="00385C4E">
        <w:t xml:space="preserve"> at different carbon sources; B: Surfactin homologues proportion of </w:t>
      </w:r>
      <w:r w:rsidR="00E43E6C" w:rsidRPr="00385C4E">
        <w:rPr>
          <w:i/>
          <w:iCs/>
        </w:rPr>
        <w:t>B. subtilis Q1</w:t>
      </w:r>
      <w:r w:rsidR="00E43E6C" w:rsidRPr="00385C4E">
        <w:t xml:space="preserve"> at different carbon sources; C: Surfactin titer and OD</w:t>
      </w:r>
      <w:r w:rsidR="00E43E6C" w:rsidRPr="00385C4E">
        <w:rPr>
          <w:vertAlign w:val="subscript"/>
        </w:rPr>
        <w:t>600</w:t>
      </w:r>
      <w:r w:rsidR="00E43E6C" w:rsidRPr="00385C4E">
        <w:t xml:space="preserve"> of </w:t>
      </w:r>
      <w:r w:rsidR="00E43E6C" w:rsidRPr="00385C4E">
        <w:rPr>
          <w:i/>
          <w:iCs/>
        </w:rPr>
        <w:t>B. subtilis Q1</w:t>
      </w:r>
      <w:r w:rsidR="00E43E6C" w:rsidRPr="00385C4E">
        <w:t xml:space="preserve"> at different inorganic nitrogen sources; D: Surfactin homologues proportion of </w:t>
      </w:r>
      <w:r w:rsidR="00E43E6C" w:rsidRPr="00385C4E">
        <w:rPr>
          <w:i/>
          <w:iCs/>
        </w:rPr>
        <w:t>B. subtilis Q1</w:t>
      </w:r>
      <w:r w:rsidR="00E43E6C" w:rsidRPr="00385C4E">
        <w:t xml:space="preserve"> at different inorganic nitrogen sources. </w:t>
      </w:r>
    </w:p>
    <w:p w14:paraId="1CA37BD9" w14:textId="5317651C" w:rsidR="00AC3633" w:rsidRPr="00385C4E" w:rsidRDefault="009A61CC" w:rsidP="00E7418D">
      <w:pPr>
        <w:spacing w:line="300" w:lineRule="auto"/>
        <w:jc w:val="center"/>
        <w:rPr>
          <w:rFonts w:ascii="Times New Roman" w:eastAsia="SimSun" w:hAnsi="Times New Roman"/>
          <w:szCs w:val="24"/>
        </w:rPr>
      </w:pPr>
      <w:r w:rsidRPr="00385C4E">
        <w:rPr>
          <w:rFonts w:ascii="Times New Roman" w:eastAsia="SimSun" w:hAnsi="Times New Roman"/>
          <w:noProof/>
          <w:szCs w:val="24"/>
          <w:lang w:val="en-IN" w:eastAsia="en-IN"/>
        </w:rPr>
        <w:drawing>
          <wp:inline distT="0" distB="0" distL="0" distR="0" wp14:anchorId="438EC1E2" wp14:editId="037B4114">
            <wp:extent cx="5274310" cy="4220845"/>
            <wp:effectExtent l="0" t="0" r="2540" b="8255"/>
            <wp:docPr id="8376318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31866" name="图片 8376318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24A1E" w14:textId="585021B3" w:rsidR="009A61CC" w:rsidRPr="00385C4E" w:rsidRDefault="009A61CC">
      <w:pPr>
        <w:jc w:val="left"/>
        <w:rPr>
          <w:rFonts w:ascii="Times New Roman" w:eastAsia="SimSun" w:hAnsi="Times New Roman"/>
          <w:szCs w:val="24"/>
        </w:rPr>
      </w:pPr>
      <w:r w:rsidRPr="00385C4E">
        <w:rPr>
          <w:rFonts w:ascii="Times New Roman" w:eastAsia="SimSun" w:hAnsi="Times New Roman"/>
          <w:szCs w:val="24"/>
        </w:rPr>
        <w:br w:type="page"/>
      </w:r>
    </w:p>
    <w:p w14:paraId="15085499" w14:textId="39439DF7" w:rsidR="00FF3B4E" w:rsidRPr="00385C4E" w:rsidRDefault="00FF3B4E" w:rsidP="0096638D">
      <w:pPr>
        <w:pStyle w:val="VAFigureCaption"/>
        <w:rPr>
          <w:b/>
          <w:bCs/>
        </w:rPr>
      </w:pPr>
      <w:r w:rsidRPr="00385C4E">
        <w:rPr>
          <w:rFonts w:hint="eastAsia"/>
          <w:b/>
          <w:bCs/>
        </w:rPr>
        <w:t>F</w:t>
      </w:r>
      <w:r w:rsidRPr="00385C4E">
        <w:rPr>
          <w:b/>
          <w:bCs/>
        </w:rPr>
        <w:t>ig</w:t>
      </w:r>
      <w:r w:rsidR="0096638D" w:rsidRPr="00385C4E">
        <w:rPr>
          <w:b/>
          <w:bCs/>
        </w:rPr>
        <w:t>ure</w:t>
      </w:r>
      <w:r w:rsidRPr="00385C4E">
        <w:rPr>
          <w:b/>
          <w:bCs/>
        </w:rPr>
        <w:t xml:space="preserve"> S2</w:t>
      </w:r>
      <w:r w:rsidR="0096638D" w:rsidRPr="00385C4E">
        <w:rPr>
          <w:b/>
          <w:bCs/>
        </w:rPr>
        <w:t>.</w:t>
      </w:r>
      <w:r w:rsidRPr="00385C4E">
        <w:rPr>
          <w:b/>
          <w:bCs/>
        </w:rPr>
        <w:t xml:space="preserve"> Effects of buffer system on surfactin production.</w:t>
      </w:r>
    </w:p>
    <w:p w14:paraId="49063F76" w14:textId="6ED467B4" w:rsidR="00DE1EA2" w:rsidRPr="00385C4E" w:rsidRDefault="00DE1EA2" w:rsidP="00DE1EA2">
      <w:pPr>
        <w:jc w:val="center"/>
        <w:rPr>
          <w:rFonts w:ascii="Times New Roman" w:eastAsia="SimSun" w:hAnsi="Times New Roman"/>
          <w:b/>
          <w:bCs/>
          <w:szCs w:val="24"/>
        </w:rPr>
      </w:pPr>
      <w:r w:rsidRPr="00385C4E">
        <w:rPr>
          <w:rFonts w:ascii="Times New Roman" w:eastAsia="SimSun" w:hAnsi="Times New Roman"/>
          <w:b/>
          <w:bCs/>
          <w:noProof/>
          <w:szCs w:val="24"/>
          <w:lang w:val="en-IN" w:eastAsia="en-IN"/>
        </w:rPr>
        <w:drawing>
          <wp:inline distT="0" distB="0" distL="0" distR="0" wp14:anchorId="659B4AAA" wp14:editId="4693D152">
            <wp:extent cx="3599688" cy="2880360"/>
            <wp:effectExtent l="0" t="0" r="1270" b="0"/>
            <wp:docPr id="6742644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264469" name="图片 6742644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3105" w14:textId="6FFB4163" w:rsidR="00FF3B4E" w:rsidRPr="00385C4E" w:rsidRDefault="00FF3B4E">
      <w:pPr>
        <w:jc w:val="left"/>
        <w:rPr>
          <w:rFonts w:ascii="Times New Roman" w:eastAsia="SimSun" w:hAnsi="Times New Roman"/>
          <w:b/>
          <w:bCs/>
          <w:szCs w:val="24"/>
        </w:rPr>
      </w:pPr>
      <w:r w:rsidRPr="00385C4E">
        <w:rPr>
          <w:rFonts w:ascii="Times New Roman" w:eastAsia="SimSun" w:hAnsi="Times New Roman"/>
          <w:b/>
          <w:bCs/>
          <w:szCs w:val="24"/>
        </w:rPr>
        <w:br w:type="page"/>
      </w:r>
    </w:p>
    <w:p w14:paraId="01D67CB3" w14:textId="2BA686EA" w:rsidR="00FF3B4E" w:rsidRPr="00385C4E" w:rsidRDefault="00FF3B4E" w:rsidP="0096638D">
      <w:pPr>
        <w:pStyle w:val="VAFigureCaption"/>
        <w:rPr>
          <w:b/>
          <w:bCs/>
        </w:rPr>
      </w:pPr>
      <w:r w:rsidRPr="00385C4E">
        <w:rPr>
          <w:rFonts w:hint="eastAsia"/>
          <w:b/>
          <w:bCs/>
        </w:rPr>
        <w:t>F</w:t>
      </w:r>
      <w:r w:rsidRPr="00385C4E">
        <w:rPr>
          <w:b/>
          <w:bCs/>
        </w:rPr>
        <w:t>ig</w:t>
      </w:r>
      <w:r w:rsidR="0096638D" w:rsidRPr="00385C4E">
        <w:rPr>
          <w:b/>
          <w:bCs/>
        </w:rPr>
        <w:t>ure</w:t>
      </w:r>
      <w:r w:rsidRPr="00385C4E">
        <w:rPr>
          <w:b/>
          <w:bCs/>
        </w:rPr>
        <w:t xml:space="preserve"> S3</w:t>
      </w:r>
      <w:r w:rsidR="0096638D" w:rsidRPr="00385C4E">
        <w:rPr>
          <w:b/>
          <w:bCs/>
        </w:rPr>
        <w:t>.</w:t>
      </w:r>
      <w:r w:rsidRPr="00385C4E">
        <w:rPr>
          <w:b/>
          <w:bCs/>
        </w:rPr>
        <w:t xml:space="preserve"> Surfactin homologues proportion of </w:t>
      </w:r>
      <w:r w:rsidRPr="00385C4E">
        <w:rPr>
          <w:b/>
          <w:bCs/>
          <w:i/>
          <w:iCs/>
        </w:rPr>
        <w:t xml:space="preserve">B. subtilis Q1 </w:t>
      </w:r>
      <w:r w:rsidRPr="00385C4E">
        <w:rPr>
          <w:b/>
          <w:bCs/>
        </w:rPr>
        <w:t>and</w:t>
      </w:r>
      <w:r w:rsidRPr="00385C4E">
        <w:rPr>
          <w:b/>
          <w:bCs/>
          <w:i/>
          <w:iCs/>
        </w:rPr>
        <w:t xml:space="preserve"> B. subtilis Q1-2.</w:t>
      </w:r>
    </w:p>
    <w:p w14:paraId="1C7A961A" w14:textId="77777777" w:rsidR="00FF3B4E" w:rsidRPr="00385C4E" w:rsidRDefault="00FF3B4E" w:rsidP="00FF3B4E">
      <w:pPr>
        <w:jc w:val="center"/>
      </w:pPr>
      <w:r w:rsidRPr="00385C4E">
        <w:rPr>
          <w:noProof/>
          <w:lang w:val="en-IN" w:eastAsia="en-IN"/>
        </w:rPr>
        <w:drawing>
          <wp:inline distT="0" distB="0" distL="0" distR="0" wp14:anchorId="25DD2A55" wp14:editId="30ADC2EA">
            <wp:extent cx="3599688" cy="2880360"/>
            <wp:effectExtent l="0" t="0" r="1270" b="0"/>
            <wp:docPr id="9484217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21756" name="图片 9484217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59CA1" w14:textId="77777777" w:rsidR="00FF3B4E" w:rsidRPr="00385C4E" w:rsidRDefault="00FF3B4E">
      <w:pPr>
        <w:jc w:val="left"/>
        <w:rPr>
          <w:rFonts w:ascii="Times New Roman" w:eastAsia="SimSun" w:hAnsi="Times New Roman"/>
          <w:b/>
          <w:bCs/>
          <w:szCs w:val="24"/>
        </w:rPr>
      </w:pPr>
      <w:r w:rsidRPr="00385C4E">
        <w:rPr>
          <w:rFonts w:ascii="Times New Roman" w:eastAsia="SimSun" w:hAnsi="Times New Roman"/>
          <w:b/>
          <w:bCs/>
          <w:szCs w:val="24"/>
        </w:rPr>
        <w:br w:type="page"/>
      </w:r>
    </w:p>
    <w:p w14:paraId="0C139560" w14:textId="40734D11" w:rsidR="00BF56D2" w:rsidRPr="00385C4E" w:rsidRDefault="00BF56D2" w:rsidP="00F465D8">
      <w:pPr>
        <w:spacing w:after="0" w:line="480" w:lineRule="auto"/>
        <w:rPr>
          <w:b/>
          <w:bCs/>
        </w:rPr>
      </w:pPr>
      <w:bookmarkStart w:id="4" w:name="_Hlk160093427"/>
      <w:r w:rsidRPr="00385C4E">
        <w:rPr>
          <w:rFonts w:hint="eastAsia"/>
          <w:b/>
          <w:bCs/>
        </w:rPr>
        <w:t>Fig</w:t>
      </w:r>
      <w:r w:rsidRPr="00385C4E">
        <w:rPr>
          <w:b/>
          <w:bCs/>
        </w:rPr>
        <w:t>ure S4. HPLC analysis of the fermentation products with the exogenous supplementation of nutrient precursor factors.</w:t>
      </w:r>
      <w:r w:rsidRPr="00385C4E">
        <w:t xml:space="preserve"> </w:t>
      </w:r>
      <w:r w:rsidRPr="00385C4E">
        <w:rPr>
          <w:lang w:eastAsia="zh-CN"/>
        </w:rPr>
        <w:t>A: HPLC analysis of surfactin products with the exogenous supplementation of amino acids. B. HPLC analysis of surfactin products with the exogenous supplementation of branched-chain fatty acids.</w:t>
      </w:r>
    </w:p>
    <w:bookmarkEnd w:id="4"/>
    <w:p w14:paraId="7B586D53" w14:textId="7BD1F859" w:rsidR="00BF56D2" w:rsidRPr="00385C4E" w:rsidRDefault="00BF56D2">
      <w:pPr>
        <w:spacing w:after="0"/>
        <w:jc w:val="left"/>
        <w:rPr>
          <w:b/>
          <w:bCs/>
        </w:rPr>
      </w:pPr>
      <w:r w:rsidRPr="00385C4E">
        <w:rPr>
          <w:rFonts w:ascii="Times New Roman" w:eastAsia="SimSun" w:hAnsi="Times New Roman"/>
          <w:noProof/>
          <w:szCs w:val="24"/>
          <w:lang w:val="en-IN" w:eastAsia="en-IN"/>
        </w:rPr>
        <w:drawing>
          <wp:inline distT="0" distB="0" distL="0" distR="0" wp14:anchorId="41316BD6" wp14:editId="2002D42D">
            <wp:extent cx="5400000" cy="2059375"/>
            <wp:effectExtent l="0" t="0" r="0" b="0"/>
            <wp:docPr id="1523567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67253" name="图片 15235672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5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D4F8" w14:textId="6A063B08" w:rsidR="00BF56D2" w:rsidRPr="00385C4E" w:rsidRDefault="00BF56D2">
      <w:pPr>
        <w:spacing w:after="0"/>
        <w:jc w:val="left"/>
        <w:rPr>
          <w:b/>
          <w:bCs/>
        </w:rPr>
      </w:pPr>
      <w:r w:rsidRPr="00385C4E">
        <w:rPr>
          <w:b/>
          <w:bCs/>
        </w:rPr>
        <w:br w:type="page"/>
      </w:r>
    </w:p>
    <w:p w14:paraId="1529B795" w14:textId="71E85891" w:rsidR="00AC3633" w:rsidRPr="00385C4E" w:rsidRDefault="009A61CC" w:rsidP="0096638D">
      <w:pPr>
        <w:pStyle w:val="VAFigureCaption"/>
      </w:pPr>
      <w:r w:rsidRPr="00385C4E">
        <w:rPr>
          <w:rFonts w:hint="eastAsia"/>
          <w:b/>
          <w:bCs/>
        </w:rPr>
        <w:t>Fig</w:t>
      </w:r>
      <w:r w:rsidR="0096638D" w:rsidRPr="00385C4E">
        <w:rPr>
          <w:b/>
          <w:bCs/>
        </w:rPr>
        <w:t>ure</w:t>
      </w:r>
      <w:r w:rsidRPr="00385C4E">
        <w:rPr>
          <w:b/>
          <w:bCs/>
        </w:rPr>
        <w:t xml:space="preserve"> S</w:t>
      </w:r>
      <w:r w:rsidR="00BF56D2" w:rsidRPr="00385C4E">
        <w:rPr>
          <w:b/>
          <w:bCs/>
        </w:rPr>
        <w:t>5</w:t>
      </w:r>
      <w:r w:rsidR="0096638D" w:rsidRPr="00385C4E">
        <w:rPr>
          <w:b/>
          <w:bCs/>
        </w:rPr>
        <w:t>.</w:t>
      </w:r>
      <w:r w:rsidR="00E7418D" w:rsidRPr="00385C4E">
        <w:rPr>
          <w:b/>
          <w:bCs/>
        </w:rPr>
        <w:t xml:space="preserve"> The ESI–MS spectrum of C13, C14, and C15 surfactin homologue produced by </w:t>
      </w:r>
      <w:r w:rsidR="00E7418D" w:rsidRPr="00385C4E">
        <w:rPr>
          <w:b/>
          <w:bCs/>
          <w:i/>
          <w:iCs/>
        </w:rPr>
        <w:t>B. subtilis Q1</w:t>
      </w:r>
      <w:r w:rsidR="00E7418D" w:rsidRPr="00385C4E">
        <w:rPr>
          <w:b/>
          <w:bCs/>
        </w:rPr>
        <w:t>.</w:t>
      </w:r>
      <w:r w:rsidR="00E43E6C" w:rsidRPr="00385C4E">
        <w:rPr>
          <w:b/>
          <w:bCs/>
        </w:rPr>
        <w:t xml:space="preserve"> </w:t>
      </w:r>
      <w:r w:rsidR="00E43E6C" w:rsidRPr="00385C4E">
        <w:t xml:space="preserve">A: </w:t>
      </w:r>
      <w:r w:rsidR="009718C3" w:rsidRPr="00385C4E">
        <w:t xml:space="preserve">The ESI–MS spectrum of </w:t>
      </w:r>
      <w:r w:rsidR="00E43E6C" w:rsidRPr="00385C4E">
        <w:t xml:space="preserve">C13 surfactin; B: </w:t>
      </w:r>
      <w:r w:rsidR="009718C3" w:rsidRPr="00385C4E">
        <w:t xml:space="preserve">The ESI–MS spectrum of </w:t>
      </w:r>
      <w:r w:rsidR="00E43E6C" w:rsidRPr="00385C4E">
        <w:t xml:space="preserve">C14 surfactin; C: </w:t>
      </w:r>
      <w:r w:rsidR="009718C3" w:rsidRPr="00385C4E">
        <w:t xml:space="preserve">The ESI–MS spectrum of </w:t>
      </w:r>
      <w:r w:rsidR="00E43E6C" w:rsidRPr="00385C4E">
        <w:t>C15 surfactin.</w:t>
      </w:r>
    </w:p>
    <w:p w14:paraId="15EAA9F6" w14:textId="08A4C2ED" w:rsidR="00AC3633" w:rsidRPr="00385C4E" w:rsidRDefault="007267A6" w:rsidP="00E7418D">
      <w:pPr>
        <w:jc w:val="center"/>
      </w:pPr>
      <w:r w:rsidRPr="00385C4E">
        <w:rPr>
          <w:noProof/>
          <w:lang w:val="en-IN" w:eastAsia="en-IN"/>
        </w:rPr>
        <w:drawing>
          <wp:inline distT="0" distB="0" distL="0" distR="0" wp14:anchorId="33D6BCE3" wp14:editId="11CF665F">
            <wp:extent cx="5274310" cy="1433195"/>
            <wp:effectExtent l="0" t="0" r="2540" b="0"/>
            <wp:docPr id="16097622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762271" name="图片 16097622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CD40" w14:textId="79647684" w:rsidR="007267A6" w:rsidRPr="00385C4E" w:rsidRDefault="007267A6"/>
    <w:p w14:paraId="1E23A8EE" w14:textId="3A3B480C" w:rsidR="007267A6" w:rsidRPr="00385C4E" w:rsidRDefault="007267A6" w:rsidP="004419B2">
      <w:pPr>
        <w:pStyle w:val="VAFigureCaption"/>
        <w:rPr>
          <w:b/>
          <w:bCs/>
        </w:rPr>
      </w:pPr>
      <w:r w:rsidRPr="00385C4E">
        <w:br w:type="page"/>
      </w:r>
      <w:r w:rsidR="00AE6084" w:rsidRPr="00385C4E">
        <w:rPr>
          <w:b/>
          <w:bCs/>
        </w:rPr>
        <w:t>Fig</w:t>
      </w:r>
      <w:r w:rsidR="004419B2" w:rsidRPr="00385C4E">
        <w:rPr>
          <w:b/>
          <w:bCs/>
        </w:rPr>
        <w:t>ure</w:t>
      </w:r>
      <w:r w:rsidR="00AE6084" w:rsidRPr="00385C4E">
        <w:rPr>
          <w:b/>
          <w:bCs/>
        </w:rPr>
        <w:t xml:space="preserve"> S</w:t>
      </w:r>
      <w:r w:rsidR="00BF56D2" w:rsidRPr="00385C4E">
        <w:rPr>
          <w:b/>
          <w:bCs/>
        </w:rPr>
        <w:t>6</w:t>
      </w:r>
      <w:r w:rsidR="004419B2" w:rsidRPr="00385C4E">
        <w:rPr>
          <w:b/>
          <w:bCs/>
        </w:rPr>
        <w:t>.</w:t>
      </w:r>
      <w:r w:rsidR="00AE6084" w:rsidRPr="00385C4E">
        <w:rPr>
          <w:b/>
          <w:bCs/>
        </w:rPr>
        <w:t xml:space="preserve"> Effects of exogenous addition of glutamate and glutamine on surfactin </w:t>
      </w:r>
      <w:r w:rsidR="00B404C2" w:rsidRPr="00385C4E">
        <w:rPr>
          <w:b/>
          <w:bCs/>
        </w:rPr>
        <w:t>homologue proportion</w:t>
      </w:r>
      <w:r w:rsidR="00AE6084" w:rsidRPr="00385C4E">
        <w:rPr>
          <w:b/>
          <w:bCs/>
        </w:rPr>
        <w:t>.</w:t>
      </w:r>
    </w:p>
    <w:p w14:paraId="37145248" w14:textId="7785CFC5" w:rsidR="00AE6084" w:rsidRPr="00385C4E" w:rsidRDefault="00AE6084" w:rsidP="00AE6084">
      <w:pPr>
        <w:jc w:val="center"/>
      </w:pPr>
      <w:r w:rsidRPr="00385C4E">
        <w:rPr>
          <w:noProof/>
          <w:lang w:val="en-IN" w:eastAsia="en-IN"/>
        </w:rPr>
        <w:drawing>
          <wp:inline distT="0" distB="0" distL="0" distR="0" wp14:anchorId="6380BDC9" wp14:editId="593B71AE">
            <wp:extent cx="3599688" cy="2880360"/>
            <wp:effectExtent l="0" t="0" r="1270" b="0"/>
            <wp:docPr id="39855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566" name="图片 398556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6084" w:rsidRPr="00385C4E" w:rsidSect="00385C4E">
      <w:pgSz w:w="12242" w:h="15842" w:code="1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F3962" w14:textId="77777777" w:rsidR="00225407" w:rsidRDefault="00225407" w:rsidP="00EE3B45">
      <w:r>
        <w:separator/>
      </w:r>
    </w:p>
  </w:endnote>
  <w:endnote w:type="continuationSeparator" w:id="0">
    <w:p w14:paraId="661E545C" w14:textId="77777777" w:rsidR="00225407" w:rsidRDefault="00225407" w:rsidP="00EE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80284" w14:textId="77777777" w:rsidR="00225407" w:rsidRDefault="00225407" w:rsidP="00EE3B45">
      <w:r>
        <w:separator/>
      </w:r>
    </w:p>
  </w:footnote>
  <w:footnote w:type="continuationSeparator" w:id="0">
    <w:p w14:paraId="16C3FCB3" w14:textId="77777777" w:rsidR="00225407" w:rsidRDefault="00225407" w:rsidP="00EE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8"/>
  <w:bordersDoNotSurroundHeader/>
  <w:bordersDoNotSurroundFooter/>
  <w:attachedTemplate r:id="rId1"/>
  <w:linkStyles/>
  <w:revisionView w:markup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A3"/>
    <w:rsid w:val="000B49BC"/>
    <w:rsid w:val="000C5549"/>
    <w:rsid w:val="00111703"/>
    <w:rsid w:val="001701BC"/>
    <w:rsid w:val="00206BED"/>
    <w:rsid w:val="002138F5"/>
    <w:rsid w:val="00225407"/>
    <w:rsid w:val="0026155B"/>
    <w:rsid w:val="00374BAD"/>
    <w:rsid w:val="00385C4E"/>
    <w:rsid w:val="0043331D"/>
    <w:rsid w:val="004419B2"/>
    <w:rsid w:val="004811F7"/>
    <w:rsid w:val="005D3475"/>
    <w:rsid w:val="006266D0"/>
    <w:rsid w:val="00632FC3"/>
    <w:rsid w:val="007267A6"/>
    <w:rsid w:val="00944392"/>
    <w:rsid w:val="0096638D"/>
    <w:rsid w:val="009718C3"/>
    <w:rsid w:val="009A61CC"/>
    <w:rsid w:val="009E591F"/>
    <w:rsid w:val="00A21D2D"/>
    <w:rsid w:val="00A54B29"/>
    <w:rsid w:val="00AC3633"/>
    <w:rsid w:val="00AE6084"/>
    <w:rsid w:val="00B31118"/>
    <w:rsid w:val="00B404C2"/>
    <w:rsid w:val="00B473A3"/>
    <w:rsid w:val="00BF56D2"/>
    <w:rsid w:val="00CA021C"/>
    <w:rsid w:val="00CB2020"/>
    <w:rsid w:val="00D07CCA"/>
    <w:rsid w:val="00D476DA"/>
    <w:rsid w:val="00D7239B"/>
    <w:rsid w:val="00D77119"/>
    <w:rsid w:val="00D859DA"/>
    <w:rsid w:val="00DE1EA2"/>
    <w:rsid w:val="00E43E6C"/>
    <w:rsid w:val="00E7418D"/>
    <w:rsid w:val="00EE3B45"/>
    <w:rsid w:val="00EF7AAE"/>
    <w:rsid w:val="00F465D8"/>
    <w:rsid w:val="00FD677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25E2B"/>
  <w15:chartTrackingRefBased/>
  <w15:docId w15:val="{9A842637-C0D7-40FA-B086-53BD568A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118"/>
    <w:pPr>
      <w:spacing w:after="200"/>
      <w:jc w:val="both"/>
    </w:pPr>
    <w:rPr>
      <w:rFonts w:ascii="Times" w:hAnsi="Times" w:cs="Times New Roman"/>
      <w:kern w:val="0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B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E3B45"/>
    <w:rPr>
      <w:sz w:val="18"/>
      <w:szCs w:val="18"/>
    </w:rPr>
  </w:style>
  <w:style w:type="paragraph" w:styleId="Footer">
    <w:name w:val="footer"/>
    <w:basedOn w:val="Normal"/>
    <w:link w:val="FooterChar"/>
    <w:rsid w:val="00B311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E3B45"/>
    <w:rPr>
      <w:rFonts w:ascii="Times" w:hAnsi="Times" w:cs="Times New Roman"/>
      <w:kern w:val="0"/>
      <w:sz w:val="24"/>
      <w:szCs w:val="20"/>
      <w:lang w:eastAsia="en-US"/>
    </w:rPr>
  </w:style>
  <w:style w:type="table" w:styleId="TableGrid">
    <w:name w:val="Table Grid"/>
    <w:basedOn w:val="TableNormal"/>
    <w:uiPriority w:val="39"/>
    <w:rsid w:val="0026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B31118"/>
    <w:rPr>
      <w:color w:val="800080"/>
      <w:u w:val="single"/>
    </w:rPr>
  </w:style>
  <w:style w:type="paragraph" w:styleId="BodyText">
    <w:name w:val="Body Text"/>
    <w:basedOn w:val="Normal"/>
    <w:link w:val="BodyTextChar"/>
    <w:rsid w:val="00B31118"/>
    <w:pPr>
      <w:jc w:val="center"/>
    </w:pPr>
    <w:rPr>
      <w:b/>
      <w:sz w:val="40"/>
    </w:rPr>
  </w:style>
  <w:style w:type="character" w:customStyle="1" w:styleId="BodyTextChar">
    <w:name w:val="Body Text Char"/>
    <w:basedOn w:val="DefaultParagraphFont"/>
    <w:link w:val="BodyText"/>
    <w:rsid w:val="009E591F"/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FootnoteText">
    <w:name w:val="footnote text"/>
    <w:basedOn w:val="Normal"/>
    <w:next w:val="TFReferencesSection"/>
    <w:link w:val="FootnoteTextChar"/>
    <w:semiHidden/>
    <w:rsid w:val="00B31118"/>
  </w:style>
  <w:style w:type="character" w:customStyle="1" w:styleId="FootnoteTextChar">
    <w:name w:val="Footnote Text Char"/>
    <w:basedOn w:val="DefaultParagraphFont"/>
    <w:link w:val="FootnoteText"/>
    <w:semiHidden/>
    <w:rsid w:val="009E591F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Normal"/>
    <w:rsid w:val="00B31118"/>
    <w:pPr>
      <w:spacing w:line="480" w:lineRule="auto"/>
      <w:ind w:firstLine="187"/>
    </w:pPr>
  </w:style>
  <w:style w:type="paragraph" w:customStyle="1" w:styleId="TAMainText">
    <w:name w:val="TA_Main_Text"/>
    <w:basedOn w:val="Normal"/>
    <w:rsid w:val="00B31118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rsid w:val="00B31118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B31118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B31118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rsid w:val="00B31118"/>
    <w:pPr>
      <w:spacing w:line="480" w:lineRule="auto"/>
    </w:pPr>
  </w:style>
  <w:style w:type="paragraph" w:customStyle="1" w:styleId="AIReceivedDate">
    <w:name w:val="AI_Received_Date"/>
    <w:basedOn w:val="Normal"/>
    <w:next w:val="BDAbstract"/>
    <w:rsid w:val="00B31118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rsid w:val="00B31118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rsid w:val="00B31118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rsid w:val="00B31118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rsid w:val="00B31118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B31118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B31118"/>
    <w:pPr>
      <w:spacing w:line="480" w:lineRule="auto"/>
    </w:pPr>
  </w:style>
  <w:style w:type="paragraph" w:customStyle="1" w:styleId="VBChartTitle">
    <w:name w:val="VB_Chart_Title"/>
    <w:basedOn w:val="Normal"/>
    <w:next w:val="Normal"/>
    <w:rsid w:val="00B31118"/>
    <w:pPr>
      <w:spacing w:line="480" w:lineRule="auto"/>
    </w:pPr>
  </w:style>
  <w:style w:type="paragraph" w:customStyle="1" w:styleId="FETableFootnote">
    <w:name w:val="FE_Table_Footnote"/>
    <w:basedOn w:val="Normal"/>
    <w:next w:val="Normal"/>
    <w:rsid w:val="00B31118"/>
    <w:pPr>
      <w:ind w:firstLine="187"/>
    </w:pPr>
  </w:style>
  <w:style w:type="paragraph" w:customStyle="1" w:styleId="FCChartFootnote">
    <w:name w:val="FC_Chart_Footnote"/>
    <w:basedOn w:val="Normal"/>
    <w:next w:val="Normal"/>
    <w:rsid w:val="00B31118"/>
    <w:pPr>
      <w:ind w:firstLine="187"/>
    </w:pPr>
  </w:style>
  <w:style w:type="paragraph" w:customStyle="1" w:styleId="FDSchemeFootnote">
    <w:name w:val="FD_Scheme_Footnote"/>
    <w:basedOn w:val="Normal"/>
    <w:next w:val="Normal"/>
    <w:rsid w:val="00B31118"/>
    <w:pPr>
      <w:ind w:firstLine="187"/>
    </w:pPr>
  </w:style>
  <w:style w:type="paragraph" w:customStyle="1" w:styleId="TCTableBody">
    <w:name w:val="TC_Table_Body"/>
    <w:basedOn w:val="Normal"/>
    <w:rsid w:val="00B31118"/>
  </w:style>
  <w:style w:type="paragraph" w:customStyle="1" w:styleId="AFTitleRunningHead">
    <w:name w:val="AF_Title_Running_Head"/>
    <w:basedOn w:val="Normal"/>
    <w:next w:val="TAMainText"/>
    <w:rsid w:val="00B31118"/>
    <w:pPr>
      <w:spacing w:line="480" w:lineRule="auto"/>
    </w:pPr>
  </w:style>
  <w:style w:type="paragraph" w:customStyle="1" w:styleId="BEAuthorBiography">
    <w:name w:val="BE_Author_Biography"/>
    <w:basedOn w:val="Normal"/>
    <w:rsid w:val="00B31118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rsid w:val="00B31118"/>
    <w:pPr>
      <w:spacing w:line="480" w:lineRule="auto"/>
    </w:pPr>
  </w:style>
  <w:style w:type="paragraph" w:customStyle="1" w:styleId="SNSynopsisTOC">
    <w:name w:val="SN_Synopsis_TOC"/>
    <w:basedOn w:val="Normal"/>
    <w:rsid w:val="00B31118"/>
    <w:pPr>
      <w:spacing w:line="480" w:lineRule="auto"/>
    </w:pPr>
  </w:style>
  <w:style w:type="character" w:styleId="Hyperlink">
    <w:name w:val="Hyperlink"/>
    <w:rsid w:val="00B31118"/>
    <w:rPr>
      <w:color w:val="0000FF"/>
      <w:u w:val="single"/>
    </w:rPr>
  </w:style>
  <w:style w:type="paragraph" w:customStyle="1" w:styleId="BGKeywords">
    <w:name w:val="BG_Keywords"/>
    <w:basedOn w:val="Normal"/>
    <w:rsid w:val="00B31118"/>
    <w:pPr>
      <w:spacing w:line="480" w:lineRule="auto"/>
    </w:pPr>
  </w:style>
  <w:style w:type="paragraph" w:customStyle="1" w:styleId="BHBriefs">
    <w:name w:val="BH_Briefs"/>
    <w:basedOn w:val="Normal"/>
    <w:rsid w:val="00B31118"/>
    <w:pPr>
      <w:spacing w:line="480" w:lineRule="auto"/>
    </w:pPr>
  </w:style>
  <w:style w:type="character" w:styleId="PageNumber">
    <w:name w:val="page number"/>
    <w:basedOn w:val="DefaultParagraphFont"/>
    <w:rsid w:val="00B31118"/>
  </w:style>
  <w:style w:type="paragraph" w:styleId="BalloonText">
    <w:name w:val="Balloon Text"/>
    <w:basedOn w:val="Normal"/>
    <w:link w:val="BalloonTextChar"/>
    <w:semiHidden/>
    <w:rsid w:val="00B311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E591F"/>
    <w:rPr>
      <w:rFonts w:ascii="Tahoma" w:hAnsi="Tahoma" w:cs="Tahoma"/>
      <w:kern w:val="0"/>
      <w:sz w:val="16"/>
      <w:szCs w:val="16"/>
      <w:lang w:eastAsia="en-U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B31118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B31118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B31118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B31118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Default">
    <w:name w:val="Default"/>
    <w:rsid w:val="00B31118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xiaolexia@jiangnan.edu.cn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181\Desktop\ACS&#20316;&#32773;&#39035;&#30693;\acstemplate_msw201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998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雨萌 苏</dc:creator>
  <cp:keywords/>
  <dc:description/>
  <cp:lastModifiedBy>Manju  Pichandi</cp:lastModifiedBy>
  <cp:revision>30</cp:revision>
  <dcterms:created xsi:type="dcterms:W3CDTF">2023-10-09T01:59:00Z</dcterms:created>
  <dcterms:modified xsi:type="dcterms:W3CDTF">2024-03-21T15:07:00Z</dcterms:modified>
</cp:coreProperties>
</file>