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838FF" w14:textId="36C46E76" w:rsidR="00B5692D" w:rsidRPr="007424D5" w:rsidRDefault="00591A8D" w:rsidP="00591A8D">
      <w:pPr>
        <w:keepNext/>
        <w:rPr>
          <w:color w:val="000000" w:themeColor="text1"/>
        </w:rPr>
      </w:pPr>
      <w:r>
        <w:rPr>
          <w:noProof/>
          <w:color w:val="000000" w:themeColor="text1"/>
        </w:rPr>
        <w:drawing>
          <wp:inline distT="0" distB="0" distL="0" distR="0" wp14:anchorId="28CE7F75" wp14:editId="015D3F2B">
            <wp:extent cx="5943600" cy="1999615"/>
            <wp:effectExtent l="0" t="0" r="0" b="0"/>
            <wp:docPr id="19023881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2388162" name="Picture 190238816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9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D1DA92" w14:textId="77777777" w:rsidR="00591A8D" w:rsidRDefault="00591A8D" w:rsidP="00101B04">
      <w:pPr>
        <w:pStyle w:val="Caption"/>
        <w:jc w:val="both"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</w:pPr>
    </w:p>
    <w:p w14:paraId="481B6166" w14:textId="1CDE48F7" w:rsidR="0044290A" w:rsidRDefault="00B5692D" w:rsidP="00101B04">
      <w:pPr>
        <w:pStyle w:val="Caption"/>
        <w:jc w:val="both"/>
      </w:pPr>
      <w:r w:rsidRPr="007424D5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Figure S</w:t>
      </w:r>
      <w:r w:rsidR="007F5413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2</w:t>
      </w:r>
      <w:r w:rsidRPr="007424D5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. </w:t>
      </w:r>
      <w:r w:rsidR="00591A8D" w:rsidRPr="00591A8D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Gene set analysis of nitrogen limitation in </w:t>
      </w:r>
      <w:r w:rsidR="00591A8D" w:rsidRPr="00591A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R. </w:t>
      </w:r>
      <w:proofErr w:type="spellStart"/>
      <w:r w:rsidR="00591A8D" w:rsidRPr="00591A8D">
        <w:rPr>
          <w:rFonts w:ascii="Times New Roman" w:hAnsi="Times New Roman" w:cs="Times New Roman"/>
          <w:color w:val="000000" w:themeColor="text1"/>
          <w:sz w:val="24"/>
          <w:szCs w:val="24"/>
        </w:rPr>
        <w:t>toruloides</w:t>
      </w:r>
      <w:proofErr w:type="spellEnd"/>
      <w:r w:rsidR="00591A8D" w:rsidRPr="00591A8D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IFO0880. The differentially expressed genes were sampled at a timepoint of </w:t>
      </w:r>
      <w:r w:rsidR="00591A8D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A). 8 hours, and B). 12</w:t>
      </w:r>
      <w:r w:rsidR="00591A8D" w:rsidRPr="00591A8D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hours</w:t>
      </w:r>
      <w:r w:rsidR="00591A8D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,</w:t>
      </w:r>
      <w:r w:rsidR="00591A8D" w:rsidRPr="00591A8D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and contrasted between nutrient limited conditions of C/N 100 and 150 versus C/N 5 (which served as a baseline). Since the same set of genes were differentially expressed in both C/N 100 and 150 in comparison with C/N 5, the conditions could be plotted interchangeably</w:t>
      </w:r>
      <w:r w:rsidR="00591A8D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.</w:t>
      </w:r>
    </w:p>
    <w:sectPr w:rsidR="004429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92D"/>
    <w:rsid w:val="00101B04"/>
    <w:rsid w:val="0044290A"/>
    <w:rsid w:val="00591A8D"/>
    <w:rsid w:val="007F5413"/>
    <w:rsid w:val="00902CEF"/>
    <w:rsid w:val="00B5692D"/>
    <w:rsid w:val="00E80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6DA0B7B"/>
  <w15:chartTrackingRefBased/>
  <w15:docId w15:val="{82559401-F004-1848-B6AC-1B37BC2C0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69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B5692D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382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Mishra, Shekhar</dc:creator>
  <cp:keywords/>
  <dc:description/>
  <cp:lastModifiedBy>Shekhar Mishra</cp:lastModifiedBy>
  <cp:revision>4</cp:revision>
  <dcterms:created xsi:type="dcterms:W3CDTF">2023-07-31T21:55:00Z</dcterms:created>
  <dcterms:modified xsi:type="dcterms:W3CDTF">2024-04-05T05:46:00Z</dcterms:modified>
</cp:coreProperties>
</file>