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9EAE0" w14:textId="641240E0" w:rsidR="009164FE" w:rsidRDefault="000C51A5" w:rsidP="009164FE">
      <w:pPr>
        <w:pStyle w:val="Heading1"/>
        <w:keepNext w:val="0"/>
        <w:keepLines w:val="0"/>
        <w:spacing w:before="0" w:after="0" w:line="480" w:lineRule="auto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Additional file 2</w:t>
      </w:r>
    </w:p>
    <w:p w14:paraId="2B4FAF1D" w14:textId="77777777" w:rsidR="00D514E7" w:rsidRPr="00D514E7" w:rsidRDefault="00D514E7" w:rsidP="00D514E7">
      <w:pPr>
        <w:rPr>
          <w:lang w:val="en-US"/>
        </w:rPr>
      </w:pPr>
    </w:p>
    <w:p w14:paraId="0F67E70C" w14:textId="77777777" w:rsidR="00D514E7" w:rsidRPr="00F846D3" w:rsidRDefault="00D514E7" w:rsidP="00D514E7">
      <w:pPr>
        <w:spacing w:line="480" w:lineRule="auto"/>
        <w:jc w:val="center"/>
        <w:rPr>
          <w:b/>
          <w:color w:val="000000"/>
          <w:sz w:val="28"/>
          <w:szCs w:val="28"/>
          <w:lang w:val="en-US"/>
        </w:rPr>
      </w:pPr>
      <w:r w:rsidRPr="002B45DF">
        <w:rPr>
          <w:b/>
          <w:color w:val="000000"/>
          <w:sz w:val="28"/>
          <w:szCs w:val="28"/>
          <w:lang w:val="en-US"/>
        </w:rPr>
        <w:t>Biosynthesis of a clickable pyoverdine via in vivo enzyme engineering of an adenylation domain</w:t>
      </w:r>
    </w:p>
    <w:p w14:paraId="0B114987" w14:textId="77777777" w:rsidR="009164FE" w:rsidRDefault="009164FE" w:rsidP="006278C1">
      <w:pPr>
        <w:spacing w:line="480" w:lineRule="auto"/>
        <w:jc w:val="center"/>
        <w:rPr>
          <w:rFonts w:asciiTheme="majorHAnsi" w:hAnsiTheme="majorHAnsi" w:cstheme="majorHAnsi"/>
          <w:b/>
          <w:iCs/>
          <w:color w:val="000000"/>
          <w:sz w:val="28"/>
          <w:szCs w:val="28"/>
          <w:lang w:val="en-US"/>
        </w:rPr>
      </w:pPr>
    </w:p>
    <w:p w14:paraId="4693C69F" w14:textId="144EE7FF" w:rsidR="00FC113B" w:rsidRPr="00EF6F96" w:rsidRDefault="00FD2E70" w:rsidP="00FC113B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EF6F96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FC113B" w:rsidRPr="00EF6F96">
        <w:rPr>
          <w:rFonts w:asciiTheme="minorHAnsi" w:hAnsiTheme="minorHAnsi" w:cstheme="minorHAnsi"/>
          <w:sz w:val="24"/>
          <w:szCs w:val="24"/>
          <w:lang w:val="en-US"/>
        </w:rPr>
        <w:t xml:space="preserve">élène PUJA, Laurent BIANCHETTI, Johan REVOL-TISSOT, Nicolas SIMON, Anastasiia SHATALOVA, Julian NOMME, Sarah FRITSCH, Roland H. STOTE, Gaëtan </w:t>
      </w:r>
      <w:r w:rsidR="00472341" w:rsidRPr="00EF6F96">
        <w:rPr>
          <w:rFonts w:asciiTheme="minorHAnsi" w:hAnsiTheme="minorHAnsi" w:cstheme="minorHAnsi"/>
          <w:sz w:val="24"/>
          <w:szCs w:val="24"/>
          <w:lang w:val="en-US"/>
        </w:rPr>
        <w:t xml:space="preserve">L.A. </w:t>
      </w:r>
      <w:r w:rsidR="00FC113B" w:rsidRPr="00EF6F96">
        <w:rPr>
          <w:rFonts w:asciiTheme="minorHAnsi" w:hAnsiTheme="minorHAnsi" w:cstheme="minorHAnsi"/>
          <w:sz w:val="24"/>
          <w:szCs w:val="24"/>
          <w:lang w:val="en-US"/>
        </w:rPr>
        <w:t>MISLIN, Noëlle POTIER, Annick DEJAEGERE, Coraline RIGOUIN.</w:t>
      </w:r>
    </w:p>
    <w:p w14:paraId="1DC95341" w14:textId="77777777" w:rsidR="000C51A5" w:rsidRDefault="000C51A5" w:rsidP="000C51A5">
      <w:pPr>
        <w:pStyle w:val="Heading1"/>
        <w:keepNext w:val="0"/>
        <w:keepLines w:val="0"/>
        <w:spacing w:before="0" w:after="0" w:line="480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  <w:bookmarkStart w:id="0" w:name="_GoBack"/>
      <w:bookmarkEnd w:id="0"/>
    </w:p>
    <w:p w14:paraId="1438D337" w14:textId="73AEB022" w:rsidR="009164FE" w:rsidRDefault="000C51A5" w:rsidP="000C51A5">
      <w:pPr>
        <w:pStyle w:val="Heading1"/>
        <w:keepNext w:val="0"/>
        <w:keepLines w:val="0"/>
        <w:spacing w:before="0" w:after="0" w:line="480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sz w:val="28"/>
          <w:szCs w:val="28"/>
          <w:lang w:val="en-US"/>
        </w:rPr>
        <w:t>Supplementary methods</w:t>
      </w:r>
    </w:p>
    <w:p w14:paraId="29843510" w14:textId="36952F00" w:rsidR="00EF6F96" w:rsidRPr="003F2C8A" w:rsidRDefault="00EF6F96" w:rsidP="00EF6F96">
      <w:pPr>
        <w:spacing w:line="480" w:lineRule="auto"/>
        <w:jc w:val="both"/>
        <w:rPr>
          <w:rFonts w:asciiTheme="minorHAnsi" w:hAnsiTheme="minorHAnsi" w:cstheme="minorHAnsi"/>
          <w:b/>
          <w:lang w:val="en-US"/>
        </w:rPr>
      </w:pPr>
      <w:r w:rsidRPr="003F2C8A">
        <w:rPr>
          <w:rFonts w:asciiTheme="minorHAnsi" w:hAnsiTheme="minorHAnsi" w:cstheme="minorHAnsi"/>
          <w:b/>
          <w:lang w:val="en-US"/>
        </w:rPr>
        <w:t>Synthesis of DBCO-oxazolidinone.</w:t>
      </w:r>
    </w:p>
    <w:p w14:paraId="4FF467DA" w14:textId="59FB59A5" w:rsidR="00EF6F96" w:rsidRPr="003F2C8A" w:rsidRDefault="00EF6F96" w:rsidP="00EF6F96">
      <w:pPr>
        <w:shd w:val="clear" w:color="auto" w:fill="FFFFFF" w:themeFill="background1"/>
        <w:spacing w:line="480" w:lineRule="auto"/>
        <w:jc w:val="both"/>
        <w:rPr>
          <w:rFonts w:asciiTheme="minorHAnsi" w:hAnsiTheme="minorHAnsi" w:cstheme="minorHAnsi"/>
          <w:lang w:val="en-US"/>
        </w:rPr>
      </w:pPr>
      <w:r w:rsidRPr="003F2C8A">
        <w:rPr>
          <w:rFonts w:asciiTheme="minorHAnsi" w:hAnsiTheme="minorHAnsi" w:cstheme="minorHAnsi"/>
          <w:lang w:val="en-US"/>
        </w:rPr>
        <w:t>Synthesis of DBCO-ox was synthesized a</w:t>
      </w:r>
      <w:r w:rsidR="008C5FF6">
        <w:rPr>
          <w:rFonts w:asciiTheme="minorHAnsi" w:hAnsiTheme="minorHAnsi" w:cstheme="minorHAnsi"/>
          <w:lang w:val="en-US"/>
        </w:rPr>
        <w:t>ccording to Supplementary Fig. S15</w:t>
      </w:r>
      <w:r w:rsidRPr="003F2C8A">
        <w:rPr>
          <w:rFonts w:asciiTheme="minorHAnsi" w:hAnsiTheme="minorHAnsi" w:cstheme="minorHAnsi"/>
          <w:lang w:val="en-US"/>
        </w:rPr>
        <w:t xml:space="preserve"> using oxazolidinone </w:t>
      </w:r>
      <w:r w:rsidRPr="003F2C8A">
        <w:rPr>
          <w:rFonts w:asciiTheme="minorHAnsi" w:hAnsiTheme="minorHAnsi" w:cstheme="minorHAnsi"/>
          <w:b/>
          <w:lang w:val="en-US"/>
        </w:rPr>
        <w:t>1</w:t>
      </w:r>
      <w:r w:rsidRPr="003F2C8A">
        <w:rPr>
          <w:rFonts w:asciiTheme="minorHAnsi" w:hAnsiTheme="minorHAnsi" w:cstheme="minorHAnsi"/>
          <w:lang w:val="en-US"/>
        </w:rPr>
        <w:t xml:space="preserve"> and DBCO derivative </w:t>
      </w:r>
      <w:r w:rsidRPr="003F2C8A">
        <w:rPr>
          <w:rFonts w:asciiTheme="minorHAnsi" w:hAnsiTheme="minorHAnsi" w:cstheme="minorHAnsi"/>
          <w:b/>
          <w:lang w:val="en-US"/>
        </w:rPr>
        <w:t xml:space="preserve">2. </w:t>
      </w:r>
      <w:r w:rsidRPr="003F2C8A">
        <w:rPr>
          <w:rFonts w:asciiTheme="minorHAnsi" w:hAnsiTheme="minorHAnsi" w:cstheme="minorHAnsi"/>
          <w:lang w:val="en-US"/>
        </w:rPr>
        <w:t xml:space="preserve">Compound </w:t>
      </w:r>
      <w:r w:rsidRPr="003F2C8A">
        <w:rPr>
          <w:rFonts w:asciiTheme="minorHAnsi" w:hAnsiTheme="minorHAnsi" w:cstheme="minorHAnsi"/>
          <w:b/>
          <w:lang w:val="en-US"/>
        </w:rPr>
        <w:t>1</w:t>
      </w:r>
      <w:r w:rsidRPr="003F2C8A">
        <w:rPr>
          <w:rFonts w:asciiTheme="minorHAnsi" w:hAnsiTheme="minorHAnsi" w:cstheme="minorHAnsi"/>
          <w:lang w:val="en-US"/>
        </w:rPr>
        <w:t xml:space="preserve"> was synthesized according a previously described protocol</w:t>
      </w:r>
      <w:r w:rsidR="009A29B2">
        <w:rPr>
          <w:rFonts w:asciiTheme="minorHAnsi" w:hAnsiTheme="minorHAnsi" w:cstheme="minorHAnsi"/>
          <w:lang w:val="en-US"/>
        </w:rPr>
        <w:t xml:space="preserve"> [46,47]</w:t>
      </w:r>
      <w:r w:rsidRPr="003F2C8A">
        <w:rPr>
          <w:rFonts w:asciiTheme="minorHAnsi" w:hAnsiTheme="minorHAnsi" w:cstheme="minorHAnsi"/>
          <w:lang w:val="en-US"/>
        </w:rPr>
        <w:t xml:space="preserve">. DBCO derivative </w:t>
      </w:r>
      <w:r w:rsidRPr="003F2C8A">
        <w:rPr>
          <w:rFonts w:asciiTheme="minorHAnsi" w:hAnsiTheme="minorHAnsi" w:cstheme="minorHAnsi"/>
          <w:b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 xml:space="preserve"> was purchased to </w:t>
      </w:r>
      <w:r w:rsidRPr="003F2C8A">
        <w:rPr>
          <w:rFonts w:asciiTheme="minorHAnsi" w:hAnsiTheme="minorHAnsi" w:cstheme="minorHAnsi"/>
          <w:i/>
          <w:lang w:val="en-US"/>
        </w:rPr>
        <w:t>tebubio Fance</w:t>
      </w:r>
      <w:r w:rsidRPr="003F2C8A">
        <w:rPr>
          <w:rFonts w:asciiTheme="minorHAnsi" w:hAnsiTheme="minorHAnsi" w:cstheme="minorHAnsi"/>
          <w:lang w:val="en-US"/>
        </w:rPr>
        <w:t xml:space="preserve"> (Le Perray en Yvelines, France). Other more common chemicals were purchased from </w:t>
      </w:r>
      <w:r w:rsidRPr="003F2C8A">
        <w:rPr>
          <w:rFonts w:asciiTheme="minorHAnsi" w:hAnsiTheme="minorHAnsi" w:cstheme="minorHAnsi"/>
          <w:i/>
          <w:lang w:val="en-US"/>
        </w:rPr>
        <w:t>TCI Chemicals</w:t>
      </w:r>
      <w:r w:rsidRPr="003F2C8A">
        <w:rPr>
          <w:rFonts w:asciiTheme="minorHAnsi" w:hAnsiTheme="minorHAnsi" w:cstheme="minorHAnsi"/>
          <w:lang w:val="en-US"/>
        </w:rPr>
        <w:t xml:space="preserve">, </w:t>
      </w:r>
      <w:r w:rsidRPr="003F2C8A">
        <w:rPr>
          <w:rFonts w:asciiTheme="minorHAnsi" w:hAnsiTheme="minorHAnsi" w:cstheme="minorHAnsi"/>
          <w:i/>
          <w:lang w:val="en-US"/>
        </w:rPr>
        <w:t>Merck-Sigma-Aldrich</w:t>
      </w:r>
      <w:r w:rsidRPr="003F2C8A">
        <w:rPr>
          <w:rFonts w:asciiTheme="minorHAnsi" w:hAnsiTheme="minorHAnsi" w:cstheme="minorHAnsi"/>
          <w:lang w:val="en-US"/>
        </w:rPr>
        <w:t xml:space="preserve"> or </w:t>
      </w:r>
      <w:r w:rsidRPr="003F2C8A">
        <w:rPr>
          <w:rFonts w:asciiTheme="minorHAnsi" w:hAnsiTheme="minorHAnsi" w:cstheme="minorHAnsi"/>
          <w:i/>
          <w:lang w:val="en-US"/>
        </w:rPr>
        <w:t>Acros-Thermo Fischer</w:t>
      </w:r>
      <w:r w:rsidRPr="003F2C8A">
        <w:rPr>
          <w:rFonts w:asciiTheme="minorHAnsi" w:hAnsiTheme="minorHAnsi" w:cstheme="minorHAnsi"/>
          <w:lang w:val="en-US"/>
        </w:rPr>
        <w:t xml:space="preserve">. Solvents were purchased from </w:t>
      </w:r>
      <w:r w:rsidRPr="003F2C8A">
        <w:rPr>
          <w:rFonts w:asciiTheme="minorHAnsi" w:hAnsiTheme="minorHAnsi" w:cstheme="minorHAnsi"/>
          <w:i/>
          <w:lang w:val="en-US"/>
        </w:rPr>
        <w:t>Carlo Erba</w:t>
      </w:r>
      <w:r w:rsidRPr="003F2C8A">
        <w:rPr>
          <w:rFonts w:asciiTheme="minorHAnsi" w:hAnsiTheme="minorHAnsi" w:cstheme="minorHAnsi"/>
          <w:lang w:val="en-US"/>
        </w:rPr>
        <w:t>. All reactions were carried out under argon (technical quality, Air products). Solvents used were of analytical grade purity (&gt;99.9%). When necessary, solvents and bases were purchased extra-dry. All other chemicals were used as received, unless otherwise stated.</w:t>
      </w:r>
    </w:p>
    <w:p w14:paraId="6E40E325" w14:textId="77777777" w:rsidR="00EF6F96" w:rsidRPr="003F2C8A" w:rsidRDefault="00EF6F96" w:rsidP="00EF6F96">
      <w:pPr>
        <w:spacing w:line="480" w:lineRule="auto"/>
        <w:jc w:val="both"/>
        <w:rPr>
          <w:rFonts w:asciiTheme="minorHAnsi" w:hAnsiTheme="minorHAnsi" w:cstheme="minorHAnsi"/>
          <w:lang w:val="en-US"/>
        </w:rPr>
      </w:pPr>
      <w:r w:rsidRPr="003F2C8A">
        <w:rPr>
          <w:rFonts w:asciiTheme="minorHAnsi" w:hAnsiTheme="minorHAnsi" w:cstheme="minorHAnsi"/>
          <w:lang w:val="en-US"/>
        </w:rPr>
        <w:t xml:space="preserve">All reactions were monitored by thin-layer chromatography (TLC) using </w:t>
      </w:r>
      <w:r w:rsidRPr="003F2C8A">
        <w:rPr>
          <w:rFonts w:asciiTheme="minorHAnsi" w:hAnsiTheme="minorHAnsi" w:cstheme="minorHAnsi"/>
          <w:i/>
          <w:lang w:val="en-US"/>
        </w:rPr>
        <w:t>Merck</w:t>
      </w:r>
      <w:r w:rsidRPr="003F2C8A">
        <w:rPr>
          <w:rFonts w:asciiTheme="minorHAnsi" w:hAnsiTheme="minorHAnsi" w:cstheme="minorHAnsi"/>
          <w:lang w:val="en-US"/>
        </w:rPr>
        <w:t xml:space="preserve"> precoated silica gel 60F</w:t>
      </w:r>
      <w:r w:rsidRPr="003F2C8A">
        <w:rPr>
          <w:rFonts w:asciiTheme="minorHAnsi" w:hAnsiTheme="minorHAnsi" w:cstheme="minorHAnsi"/>
          <w:vertAlign w:val="superscript"/>
          <w:lang w:val="en-US"/>
        </w:rPr>
        <w:t>254</w:t>
      </w:r>
      <w:r w:rsidRPr="003F2C8A">
        <w:rPr>
          <w:rFonts w:asciiTheme="minorHAnsi" w:hAnsiTheme="minorHAnsi" w:cstheme="minorHAnsi"/>
          <w:lang w:val="en-US"/>
        </w:rPr>
        <w:t xml:space="preserve"> (0.25 mm). TLC are visualized using UV (254 nm/365 nm, </w:t>
      </w:r>
      <w:r w:rsidRPr="003F2C8A">
        <w:rPr>
          <w:rFonts w:asciiTheme="minorHAnsi" w:hAnsiTheme="minorHAnsi" w:cstheme="minorHAnsi"/>
          <w:i/>
          <w:lang w:val="en-US"/>
        </w:rPr>
        <w:t>Vilber Lourmat</w:t>
      </w:r>
      <w:r w:rsidRPr="003F2C8A">
        <w:rPr>
          <w:rFonts w:asciiTheme="minorHAnsi" w:hAnsiTheme="minorHAnsi" w:cstheme="minorHAnsi"/>
          <w:lang w:val="en-US"/>
        </w:rPr>
        <w:t>, VL-4LC, Eberhardzell, Germany) and/or using classical revelation mixtures (sulfuric vaniline, potassium permanganate, ninhydrin reagent). Before chromatographic purification reaction mixtures were adsorbed on silica gel (60-200 µm, VWR Chemicals). Chromatographic purifications were performed on a Selekt Enkel (</w:t>
      </w:r>
      <w:r w:rsidRPr="003F2C8A">
        <w:rPr>
          <w:rFonts w:asciiTheme="minorHAnsi" w:hAnsiTheme="minorHAnsi" w:cstheme="minorHAnsi"/>
          <w:i/>
          <w:lang w:val="en-US"/>
        </w:rPr>
        <w:t>Biotage</w:t>
      </w:r>
      <w:r w:rsidRPr="003F2C8A">
        <w:rPr>
          <w:rFonts w:asciiTheme="minorHAnsi" w:hAnsiTheme="minorHAnsi" w:cstheme="minorHAnsi"/>
          <w:lang w:val="en-US"/>
        </w:rPr>
        <w:t xml:space="preserve"> Uppsala, Sweden) purification device using PuriFlash® pre-packed silica gel columns (</w:t>
      </w:r>
      <w:r w:rsidRPr="003F2C8A">
        <w:rPr>
          <w:rFonts w:asciiTheme="minorHAnsi" w:hAnsiTheme="minorHAnsi" w:cstheme="minorHAnsi"/>
          <w:i/>
          <w:lang w:val="en-US"/>
        </w:rPr>
        <w:t>Interchim</w:t>
      </w:r>
      <w:r w:rsidRPr="003F2C8A">
        <w:rPr>
          <w:rFonts w:asciiTheme="minorHAnsi" w:hAnsiTheme="minorHAnsi" w:cstheme="minorHAnsi"/>
          <w:lang w:val="en-US"/>
        </w:rPr>
        <w:t>, Montluçon, France).</w:t>
      </w:r>
    </w:p>
    <w:p w14:paraId="4A56F12F" w14:textId="1BA23508" w:rsidR="00EF6F96" w:rsidRPr="003F2C8A" w:rsidRDefault="00EF6F96" w:rsidP="00EF6F96">
      <w:pPr>
        <w:spacing w:line="480" w:lineRule="auto"/>
        <w:jc w:val="both"/>
        <w:rPr>
          <w:rFonts w:asciiTheme="minorHAnsi" w:hAnsiTheme="minorHAnsi" w:cstheme="minorHAnsi"/>
          <w:lang w:val="en-US"/>
        </w:rPr>
      </w:pPr>
      <w:r w:rsidRPr="003F2C8A">
        <w:rPr>
          <w:rFonts w:asciiTheme="minorHAnsi" w:hAnsiTheme="minorHAnsi" w:cstheme="minorHAnsi"/>
          <w:lang w:val="en-US"/>
        </w:rPr>
        <w:t>Nuclear Magnetic Resonance analysis of DBCO-ox and spectroscopic analysis: NMR spectra were recorded on Bruker Avance 400 (1H: 400 MHz, 13C: 100 MHz, 19F: 376 MHz) or Avance 500 (1H: 500 MHz, 13C: 125 MHz, 19F: 470 MHz), using the residual non-deuterated solvent as reference. The chemical shifts (</w:t>
      </w:r>
      <w:r w:rsidRPr="003F2C8A">
        <w:rPr>
          <w:rFonts w:asciiTheme="minorHAnsi" w:hAnsiTheme="minorHAnsi" w:cstheme="minorHAnsi"/>
        </w:rPr>
        <w:t>δ</w:t>
      </w:r>
      <w:r w:rsidRPr="003F2C8A">
        <w:rPr>
          <w:rFonts w:asciiTheme="minorHAnsi" w:hAnsiTheme="minorHAnsi" w:cstheme="minorHAnsi"/>
          <w:lang w:val="en-US"/>
        </w:rPr>
        <w:t xml:space="preserve">) and coupling constants (J) are expressed in ppm and hertz respectively. Multiplicity is indicated as follow:  s for singlet, d for doublet, t for triplet, q for quadruplet, quint for quintuplet and m for a multiplet. Mass spectra were recorded in the Service Commun d’Analyses (SCA) de la Faculté de Pharmacie de l’Université de Strasbourg LC/BRMS conditions : Analytical RP-HPLC-MS was performed using a LC 1200 Agilent with quadrupole-time-of-flight (QTOF) (Agilent Accurate Mass QToF 6520) with a Zorbax Agilent C18-column (C18, 50 mm x 2.1 mm; 1.8 µm) using the following parameters: The solvent system: A (acetonitrile + 0.05% formic acid) and B (H2O + 0.05% formic acid); Gradient (Tmin,(%B)): T0 (98%), T4(0%), T8(0%), T8.1(98%). Flow rate of 0.5 mL/min; Column temperature: 40°C; DAD scan from 190 nm to 700 nm. Ionization mode: ESI+. LC/HRMS conditions: Analytical RP-HPLC-HRMS was performed using a LC 1200 Agilent with quadrupole-time-of-flight (QToF) (Agilent Accurate Mass QToF 6520) with a Zorbax Agilent C18-column (C18, 50 mm x 2.1 mm; 1.8 µm) using the following parameters: The solvent system: A (acetonitrile + 0.05% formic acid) and B (H2O + 0.05% formic acid); Gradient: (Tmin, (%B)): T0 (98%), T8(0%), T12.5(98%), T12.6(98%), T13(98%). Flow rate of 0.5 mL/min; Column temperature: 40°C; DAD scan from 190 nm to 700 nm. Ionization mode: ESI+. For HRMS, the calculated and the found mass correspond to M. Original ions repartition could be found in ions table and simulation given </w:t>
      </w:r>
      <w:r w:rsidR="008C5FF6">
        <w:rPr>
          <w:rFonts w:asciiTheme="minorHAnsi" w:hAnsiTheme="minorHAnsi" w:cstheme="minorHAnsi"/>
          <w:lang w:val="en-US"/>
        </w:rPr>
        <w:t>Additional file 1, Fig.</w:t>
      </w:r>
      <w:r w:rsidRPr="003F2C8A">
        <w:rPr>
          <w:rFonts w:asciiTheme="minorHAnsi" w:hAnsiTheme="minorHAnsi" w:cstheme="minorHAnsi"/>
          <w:lang w:val="en-US"/>
        </w:rPr>
        <w:t xml:space="preserve"> S10, S11, S12, S13 and S14. </w:t>
      </w:r>
    </w:p>
    <w:p w14:paraId="046F83E6" w14:textId="77777777" w:rsidR="00EF6F96" w:rsidRPr="003F2C8A" w:rsidRDefault="00EF6F96" w:rsidP="00EF6F96">
      <w:pPr>
        <w:spacing w:line="480" w:lineRule="auto"/>
        <w:jc w:val="both"/>
        <w:rPr>
          <w:rFonts w:asciiTheme="minorHAnsi" w:hAnsiTheme="minorHAnsi" w:cstheme="minorHAnsi"/>
          <w:b/>
          <w:lang w:val="en-US"/>
        </w:rPr>
      </w:pPr>
      <w:r w:rsidRPr="003F2C8A">
        <w:rPr>
          <w:rFonts w:asciiTheme="minorHAnsi" w:hAnsiTheme="minorHAnsi" w:cstheme="minorHAnsi"/>
          <w:b/>
          <w:u w:val="single"/>
          <w:lang w:val="en-US"/>
        </w:rPr>
        <w:t>4-{2-azatricyclo[10.4.0.0</w:t>
      </w:r>
      <w:r w:rsidRPr="003F2C8A">
        <w:rPr>
          <w:rFonts w:asciiTheme="minorHAnsi" w:hAnsiTheme="minorHAnsi" w:cstheme="minorHAnsi"/>
          <w:b/>
          <w:u w:val="single"/>
          <w:vertAlign w:val="superscript"/>
          <w:lang w:val="en-US"/>
        </w:rPr>
        <w:t>4,9</w:t>
      </w:r>
      <w:r w:rsidRPr="003F2C8A">
        <w:rPr>
          <w:rFonts w:asciiTheme="minorHAnsi" w:hAnsiTheme="minorHAnsi" w:cstheme="minorHAnsi"/>
          <w:b/>
          <w:u w:val="single"/>
          <w:lang w:val="en-US"/>
        </w:rPr>
        <w:t>]hexadeca-1(12),4(9),5,7,13,15-hexaen-10-yn-2-yl}-N-(2-{[3-(4-{4-[5-(acetamidomethyl)-2-oxo-1,3-oxazolidin-3-yl]-2-fluorophenyl}piperazin-1-yl)_3-oxopropyl]disulfanyl}ethyl)-4-oxobutanamide (DBCO-ox)</w:t>
      </w:r>
      <w:r w:rsidRPr="003F2C8A">
        <w:rPr>
          <w:rFonts w:asciiTheme="minorHAnsi" w:hAnsiTheme="minorHAnsi" w:cstheme="minorHAnsi"/>
          <w:lang w:val="en-US"/>
        </w:rPr>
        <w:t>: In a first step,</w:t>
      </w:r>
      <w:r w:rsidRPr="003F2C8A">
        <w:rPr>
          <w:rFonts w:asciiTheme="minorHAnsi" w:hAnsiTheme="minorHAnsi" w:cstheme="minorHAnsi"/>
          <w:b/>
          <w:lang w:val="en-US"/>
        </w:rPr>
        <w:t xml:space="preserve"> </w:t>
      </w:r>
      <w:r w:rsidRPr="003F2C8A">
        <w:rPr>
          <w:rFonts w:asciiTheme="minorHAnsi" w:hAnsiTheme="minorHAnsi" w:cstheme="minorHAnsi"/>
          <w:lang w:val="en-US"/>
        </w:rPr>
        <w:t>the Boc-oxazolidinone</w:t>
      </w:r>
      <w:r w:rsidRPr="003F2C8A">
        <w:rPr>
          <w:rFonts w:asciiTheme="minorHAnsi" w:hAnsiTheme="minorHAnsi" w:cstheme="minorHAnsi"/>
          <w:b/>
          <w:lang w:val="en-US"/>
        </w:rPr>
        <w:t xml:space="preserve"> </w:t>
      </w:r>
      <w:r w:rsidRPr="003F2C8A">
        <w:rPr>
          <w:rFonts w:asciiTheme="minorHAnsi" w:hAnsiTheme="minorHAnsi" w:cstheme="minorHAnsi"/>
          <w:lang w:val="en-US"/>
        </w:rPr>
        <w:t>derivative</w:t>
      </w:r>
      <w:r w:rsidRPr="003F2C8A">
        <w:rPr>
          <w:rFonts w:asciiTheme="minorHAnsi" w:hAnsiTheme="minorHAnsi" w:cstheme="minorHAnsi"/>
          <w:b/>
          <w:lang w:val="en-US"/>
        </w:rPr>
        <w:t xml:space="preserve"> 1</w:t>
      </w:r>
      <w:r w:rsidRPr="003F2C8A">
        <w:rPr>
          <w:rFonts w:asciiTheme="minorHAnsi" w:hAnsiTheme="minorHAnsi" w:cstheme="minorHAnsi"/>
          <w:lang w:val="en-US"/>
        </w:rPr>
        <w:t xml:space="preserve"> (82 mg, 0.19 mmol) was deprotected using a mixture 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 xml:space="preserve">/TFA 80/20 (3.5 mL). The solution was stirred at 27°C till the total consumption of the starting material (about 5h), checked with TLC. Solvent and TFA were then evaporated under reduced pressure. The resulting oxazolidinone compound </w:t>
      </w:r>
      <w:r w:rsidRPr="003F2C8A">
        <w:rPr>
          <w:rFonts w:asciiTheme="minorHAnsi" w:hAnsiTheme="minorHAnsi" w:cstheme="minorHAnsi"/>
          <w:b/>
          <w:lang w:val="en-US"/>
        </w:rPr>
        <w:t>3</w:t>
      </w:r>
      <w:r w:rsidRPr="003F2C8A">
        <w:rPr>
          <w:rFonts w:asciiTheme="minorHAnsi" w:hAnsiTheme="minorHAnsi" w:cstheme="minorHAnsi"/>
          <w:lang w:val="en-US"/>
        </w:rPr>
        <w:t xml:space="preserve"> was not purified and used as it is for the next step. In parallel, DBCO derivative </w:t>
      </w:r>
      <w:r w:rsidRPr="003F2C8A">
        <w:rPr>
          <w:rFonts w:asciiTheme="minorHAnsi" w:hAnsiTheme="minorHAnsi" w:cstheme="minorHAnsi"/>
          <w:b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 xml:space="preserve"> (90 mg, 0.19 mmol) and pentafluorophenol (71 mg, 0.38 mmol) were solubilized in 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 xml:space="preserve">2 </w:t>
      </w:r>
      <w:r w:rsidRPr="003F2C8A">
        <w:rPr>
          <w:rFonts w:asciiTheme="minorHAnsi" w:hAnsiTheme="minorHAnsi" w:cstheme="minorHAnsi"/>
          <w:lang w:val="en-US"/>
        </w:rPr>
        <w:t xml:space="preserve">(14 mL). EDCI hydrochloride (74 mg, 0.38 mmol) was added and the mixture was stirred at 27°C till the total consumption of the starting material (about 14h, overnight), checked by TLC. Volatile compounds were then removed from the mixture under reduced pressure to obtain DBCO-ester derivative </w:t>
      </w:r>
      <w:r w:rsidRPr="003F2C8A">
        <w:rPr>
          <w:rFonts w:asciiTheme="minorHAnsi" w:hAnsiTheme="minorHAnsi" w:cstheme="minorHAnsi"/>
          <w:b/>
          <w:lang w:val="en-US"/>
        </w:rPr>
        <w:t xml:space="preserve">4 </w:t>
      </w:r>
      <w:r w:rsidRPr="003F2C8A">
        <w:rPr>
          <w:rFonts w:asciiTheme="minorHAnsi" w:hAnsiTheme="minorHAnsi" w:cstheme="minorHAnsi"/>
          <w:lang w:val="en-US"/>
        </w:rPr>
        <w:t xml:space="preserve">used as it is for the next step. In the last step, crude deprotected oxazolidinone compound </w:t>
      </w:r>
      <w:r w:rsidRPr="003F2C8A">
        <w:rPr>
          <w:rFonts w:asciiTheme="minorHAnsi" w:hAnsiTheme="minorHAnsi" w:cstheme="minorHAnsi"/>
          <w:b/>
          <w:lang w:val="en-US"/>
        </w:rPr>
        <w:t xml:space="preserve">3 </w:t>
      </w:r>
      <w:r w:rsidRPr="003F2C8A">
        <w:rPr>
          <w:rFonts w:asciiTheme="minorHAnsi" w:hAnsiTheme="minorHAnsi" w:cstheme="minorHAnsi"/>
          <w:lang w:val="en-US"/>
        </w:rPr>
        <w:t xml:space="preserve">and crude DBCO-activated ester </w:t>
      </w:r>
      <w:r w:rsidRPr="003F2C8A">
        <w:rPr>
          <w:rFonts w:asciiTheme="minorHAnsi" w:hAnsiTheme="minorHAnsi" w:cstheme="minorHAnsi"/>
          <w:b/>
          <w:lang w:val="en-US"/>
        </w:rPr>
        <w:t xml:space="preserve">l </w:t>
      </w:r>
      <w:r w:rsidRPr="003F2C8A">
        <w:rPr>
          <w:rFonts w:asciiTheme="minorHAnsi" w:hAnsiTheme="minorHAnsi" w:cstheme="minorHAnsi"/>
          <w:lang w:val="en-US"/>
        </w:rPr>
        <w:t>were solubilized in 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 xml:space="preserve">2 </w:t>
      </w:r>
      <w:r w:rsidRPr="003F2C8A">
        <w:rPr>
          <w:rFonts w:asciiTheme="minorHAnsi" w:hAnsiTheme="minorHAnsi" w:cstheme="minorHAnsi"/>
          <w:lang w:val="en-US"/>
        </w:rPr>
        <w:t>(20 mL). DIPEA (393 µL, 0.29 mg, 2.27 mmol) and DMAP (5.1 mg, 0.042 mmol) were then successively added to the solution. Reaction mixture was stirred to reflux (38°C), till the total consumption of the starting material (about 24h), checked by TLC. Solvents were then removed from the mixture under reduced pressure. The crude was diluted in 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 xml:space="preserve"> (100 mL) and successively washed with a 10% aqueous solution of citric acid (100 mL) and brine (100 mL). The organic layer was dried over Na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SO</w:t>
      </w:r>
      <w:r w:rsidRPr="003F2C8A">
        <w:rPr>
          <w:rFonts w:asciiTheme="minorHAnsi" w:hAnsiTheme="minorHAnsi" w:cstheme="minorHAnsi"/>
          <w:vertAlign w:val="subscript"/>
          <w:lang w:val="en-US"/>
        </w:rPr>
        <w:t>4</w:t>
      </w:r>
      <w:r w:rsidRPr="003F2C8A">
        <w:rPr>
          <w:rFonts w:asciiTheme="minorHAnsi" w:hAnsiTheme="minorHAnsi" w:cstheme="minorHAnsi"/>
          <w:lang w:val="en-US"/>
        </w:rPr>
        <w:t>, filtered, and solvent was evaporated under reduced pressure. The resulting yellow oil was then adsorbed on silica gel and purified by flash chromatography (12 g pre-packed silica gel column. Elution: gradient of A/B: 100/0 -&gt; 0/100, using 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 xml:space="preserve">2 </w:t>
      </w:r>
      <w:r w:rsidRPr="003F2C8A">
        <w:rPr>
          <w:rFonts w:asciiTheme="minorHAnsi" w:hAnsiTheme="minorHAnsi" w:cstheme="minorHAnsi"/>
          <w:lang w:val="en-US"/>
        </w:rPr>
        <w:t>(A) and EtOH/CH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Cl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 xml:space="preserve"> 20% (B)). The expected DBCO-ox building block (130 mg, 0.17 mmol, yield: 87% over three combined synthetic steps) was isolated as a slightly-beige powder.</w:t>
      </w:r>
    </w:p>
    <w:p w14:paraId="4523D0A4" w14:textId="31F58DB4" w:rsidR="00EF6F96" w:rsidRPr="003F2C8A" w:rsidRDefault="00EF6F96" w:rsidP="00EF6F96">
      <w:pPr>
        <w:spacing w:line="480" w:lineRule="auto"/>
        <w:jc w:val="both"/>
        <w:rPr>
          <w:rFonts w:asciiTheme="minorHAnsi" w:hAnsiTheme="minorHAnsi" w:cstheme="minorHAnsi"/>
          <w:lang w:val="en-US"/>
        </w:rPr>
      </w:pPr>
      <w:r w:rsidRPr="003F2C8A">
        <w:rPr>
          <w:rFonts w:asciiTheme="minorHAnsi" w:hAnsiTheme="minorHAnsi" w:cstheme="minorHAnsi"/>
          <w:b/>
          <w:vertAlign w:val="superscript"/>
          <w:lang w:val="en-US"/>
        </w:rPr>
        <w:t>1</w:t>
      </w:r>
      <w:r w:rsidRPr="003F2C8A">
        <w:rPr>
          <w:rFonts w:asciiTheme="minorHAnsi" w:hAnsiTheme="minorHAnsi" w:cstheme="minorHAnsi"/>
          <w:b/>
          <w:lang w:val="en-US"/>
        </w:rPr>
        <w:t xml:space="preserve">H NMR </w:t>
      </w:r>
      <w:r w:rsidRPr="003F2C8A">
        <w:rPr>
          <w:rFonts w:asciiTheme="minorHAnsi" w:hAnsiTheme="minorHAnsi" w:cstheme="minorHAnsi"/>
          <w:lang w:val="en-US"/>
        </w:rPr>
        <w:t>(500 MHz, CDCl</w:t>
      </w:r>
      <w:r w:rsidRPr="003F2C8A">
        <w:rPr>
          <w:rFonts w:asciiTheme="minorHAnsi" w:hAnsiTheme="minorHAnsi" w:cstheme="minorHAnsi"/>
          <w:vertAlign w:val="subscript"/>
          <w:lang w:val="en-US"/>
        </w:rPr>
        <w:t>3</w:t>
      </w:r>
      <w:r w:rsidRPr="003F2C8A">
        <w:rPr>
          <w:rFonts w:asciiTheme="minorHAnsi" w:hAnsiTheme="minorHAnsi" w:cstheme="minorHAnsi"/>
          <w:lang w:val="en-US"/>
        </w:rPr>
        <w:t xml:space="preserve">) </w:t>
      </w:r>
      <w:r w:rsidRPr="003F2C8A">
        <w:rPr>
          <w:rFonts w:asciiTheme="minorHAnsi" w:hAnsiTheme="minorHAnsi" w:cstheme="minorHAnsi"/>
        </w:rPr>
        <w:t>δ</w:t>
      </w:r>
      <w:r w:rsidRPr="003F2C8A">
        <w:rPr>
          <w:rFonts w:asciiTheme="minorHAnsi" w:hAnsiTheme="minorHAnsi" w:cstheme="minorHAnsi"/>
          <w:lang w:val="en-US"/>
        </w:rPr>
        <w:t xml:space="preserve">  7.66 (d,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7.5 Hz, 1H), 7.49 – 7.42 (m, 2H), 7.41 – 7.32 (m, 4H), 7.29 (td,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7.0, 1.1 Hz, 1H), 7.24 (dt,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7.3, 1.4 Hz, 1H), 7.06 (dd,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7.4, 1.4 Hz, 1H), 6.90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9.1 Hz, 1H), 6.36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6.2 Hz, 1H), 6.32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5.8 Hz, 1H), 5.29 (s, 2H), 4.75 (tdd,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8.8, 6.0, 3.2 Hz, 1H), 4.00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8.9 Hz, 1H), 3.79 – 3.74 (m, 2H), 3.70 – 3.63 (m, 4H), 3.61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6.0 Hz, 1H), 3.40 (q,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6.3 Hz, 2H), 3.04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5.0 Hz, 2H), 2.98 (dt,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14.2, 5.9 Hz, 4H), 2.76 (t, </w:t>
      </w:r>
      <w:r w:rsidRPr="003F2C8A">
        <w:rPr>
          <w:rFonts w:asciiTheme="minorHAnsi" w:hAnsiTheme="minorHAnsi" w:cstheme="minorHAnsi"/>
          <w:i/>
          <w:lang w:val="en-US"/>
        </w:rPr>
        <w:t>J</w:t>
      </w:r>
      <w:r w:rsidRPr="003F2C8A">
        <w:rPr>
          <w:rFonts w:asciiTheme="minorHAnsi" w:hAnsiTheme="minorHAnsi" w:cstheme="minorHAnsi"/>
          <w:lang w:val="en-US"/>
        </w:rPr>
        <w:t xml:space="preserve"> = 6.9 Hz, 2H), 2.75 – 2.54 (m, 4H), 2.45 – 2.36 (m, 1H), 2.27 – 2.18 (m, 1H), 2.00 (s, 3H).</w:t>
      </w:r>
      <w:r w:rsidRPr="003F2C8A">
        <w:rPr>
          <w:rFonts w:asciiTheme="minorHAnsi" w:hAnsiTheme="minorHAnsi" w:cstheme="minorHAnsi"/>
          <w:b/>
          <w:lang w:val="en-US"/>
        </w:rPr>
        <w:t xml:space="preserve"> </w:t>
      </w:r>
      <w:r w:rsidRPr="003F2C8A">
        <w:rPr>
          <w:rFonts w:asciiTheme="minorHAnsi" w:hAnsiTheme="minorHAnsi" w:cstheme="minorHAnsi"/>
          <w:b/>
          <w:vertAlign w:val="superscript"/>
          <w:lang w:val="en-US"/>
        </w:rPr>
        <w:t>13</w:t>
      </w:r>
      <w:r w:rsidRPr="003F2C8A">
        <w:rPr>
          <w:rFonts w:asciiTheme="minorHAnsi" w:hAnsiTheme="minorHAnsi" w:cstheme="minorHAnsi"/>
          <w:b/>
          <w:lang w:val="en-US"/>
        </w:rPr>
        <w:t xml:space="preserve">C NMR </w:t>
      </w:r>
      <w:r w:rsidRPr="003F2C8A">
        <w:rPr>
          <w:rFonts w:asciiTheme="minorHAnsi" w:hAnsiTheme="minorHAnsi" w:cstheme="minorHAnsi"/>
          <w:lang w:val="en-US"/>
        </w:rPr>
        <w:t>(126 MHz, CDCl</w:t>
      </w:r>
      <w:r w:rsidRPr="003F2C8A">
        <w:rPr>
          <w:rFonts w:asciiTheme="minorHAnsi" w:hAnsiTheme="minorHAnsi" w:cstheme="minorHAnsi"/>
          <w:vertAlign w:val="subscript"/>
          <w:lang w:val="en-US"/>
        </w:rPr>
        <w:t>3</w:t>
      </w:r>
      <w:r w:rsidRPr="003F2C8A">
        <w:rPr>
          <w:rFonts w:asciiTheme="minorHAnsi" w:hAnsiTheme="minorHAnsi" w:cstheme="minorHAnsi"/>
          <w:lang w:val="en-US"/>
        </w:rPr>
        <w:t xml:space="preserve">) </w:t>
      </w:r>
      <w:r w:rsidRPr="003F2C8A">
        <w:rPr>
          <w:rFonts w:asciiTheme="minorHAnsi" w:hAnsiTheme="minorHAnsi" w:cstheme="minorHAnsi"/>
        </w:rPr>
        <w:t>δ</w:t>
      </w:r>
      <w:r w:rsidRPr="003F2C8A">
        <w:rPr>
          <w:rFonts w:asciiTheme="minorHAnsi" w:hAnsiTheme="minorHAnsi" w:cstheme="minorHAnsi"/>
          <w:lang w:val="en-US"/>
        </w:rPr>
        <w:t xml:space="preserve"> 172.45, 172.43, 171.28, 169.62, 156.67, 154.71, 154.44, 151.36, 148.13, 136.02, 133.64, 133.56, 132.35, 129.39, 128.77, 128.36, 128.30, 127.91, 127.24, 125.65, 123.26, 122.60, 119.66, 114.82, 114.02, 107.98, 107.72, 107.51, 72.04, 55.70, 51.14, 50.54, 47.76, 45.71, 42.09, 41.92, 38.35, 37.60, 33.74, 32.97, 31.46, 30.63, 23.20.</w:t>
      </w:r>
      <w:r w:rsidRPr="003F2C8A">
        <w:rPr>
          <w:rFonts w:asciiTheme="minorHAnsi" w:hAnsiTheme="minorHAnsi" w:cstheme="minorHAnsi"/>
          <w:b/>
          <w:vertAlign w:val="superscript"/>
          <w:lang w:val="en-US"/>
        </w:rPr>
        <w:t xml:space="preserve"> 19</w:t>
      </w:r>
      <w:r w:rsidRPr="003F2C8A">
        <w:rPr>
          <w:rFonts w:asciiTheme="minorHAnsi" w:hAnsiTheme="minorHAnsi" w:cstheme="minorHAnsi"/>
          <w:b/>
          <w:lang w:val="en-US"/>
        </w:rPr>
        <w:t xml:space="preserve">F NMR </w:t>
      </w:r>
      <w:r w:rsidRPr="003F2C8A">
        <w:rPr>
          <w:rFonts w:asciiTheme="minorHAnsi" w:hAnsiTheme="minorHAnsi" w:cstheme="minorHAnsi"/>
          <w:lang w:val="en-US"/>
        </w:rPr>
        <w:t>(471 MHz, CDCl</w:t>
      </w:r>
      <w:r w:rsidRPr="003F2C8A">
        <w:rPr>
          <w:rFonts w:asciiTheme="minorHAnsi" w:hAnsiTheme="minorHAnsi" w:cstheme="minorHAnsi"/>
          <w:vertAlign w:val="subscript"/>
          <w:lang w:val="en-US"/>
        </w:rPr>
        <w:t>3</w:t>
      </w:r>
      <w:r w:rsidRPr="003F2C8A">
        <w:rPr>
          <w:rFonts w:asciiTheme="minorHAnsi" w:hAnsiTheme="minorHAnsi" w:cstheme="minorHAnsi"/>
          <w:lang w:val="en-US"/>
        </w:rPr>
        <w:t xml:space="preserve">) </w:t>
      </w:r>
      <w:r w:rsidRPr="003F2C8A">
        <w:rPr>
          <w:rFonts w:asciiTheme="minorHAnsi" w:hAnsiTheme="minorHAnsi" w:cstheme="minorHAnsi"/>
        </w:rPr>
        <w:t>δ</w:t>
      </w:r>
      <w:r w:rsidRPr="003F2C8A">
        <w:rPr>
          <w:rFonts w:asciiTheme="minorHAnsi" w:hAnsiTheme="minorHAnsi" w:cstheme="minorHAnsi"/>
          <w:lang w:val="en-US"/>
        </w:rPr>
        <w:t xml:space="preserve"> -119.98.</w:t>
      </w:r>
      <w:r w:rsidRPr="003F2C8A">
        <w:rPr>
          <w:rFonts w:asciiTheme="minorHAnsi" w:hAnsiTheme="minorHAnsi" w:cstheme="minorHAnsi"/>
          <w:b/>
          <w:lang w:val="en-US"/>
        </w:rPr>
        <w:t xml:space="preserve"> HRMS</w:t>
      </w:r>
      <w:r w:rsidRPr="003F2C8A">
        <w:rPr>
          <w:rFonts w:asciiTheme="minorHAnsi" w:hAnsiTheme="minorHAnsi" w:cstheme="minorHAnsi"/>
          <w:lang w:val="en-US"/>
        </w:rPr>
        <w:t>: calculated for C</w:t>
      </w:r>
      <w:r w:rsidRPr="003F2C8A">
        <w:rPr>
          <w:rFonts w:asciiTheme="minorHAnsi" w:hAnsiTheme="minorHAnsi" w:cstheme="minorHAnsi"/>
          <w:vertAlign w:val="subscript"/>
          <w:lang w:val="en-US"/>
        </w:rPr>
        <w:t>40</w:t>
      </w:r>
      <w:r w:rsidRPr="003F2C8A">
        <w:rPr>
          <w:rFonts w:asciiTheme="minorHAnsi" w:hAnsiTheme="minorHAnsi" w:cstheme="minorHAnsi"/>
          <w:lang w:val="en-US"/>
        </w:rPr>
        <w:t>H</w:t>
      </w:r>
      <w:r w:rsidRPr="003F2C8A">
        <w:rPr>
          <w:rFonts w:asciiTheme="minorHAnsi" w:hAnsiTheme="minorHAnsi" w:cstheme="minorHAnsi"/>
          <w:vertAlign w:val="subscript"/>
          <w:lang w:val="en-US"/>
        </w:rPr>
        <w:t>43</w:t>
      </w:r>
      <w:r w:rsidRPr="003F2C8A">
        <w:rPr>
          <w:rFonts w:asciiTheme="minorHAnsi" w:hAnsiTheme="minorHAnsi" w:cstheme="minorHAnsi"/>
          <w:lang w:val="en-US"/>
        </w:rPr>
        <w:t>FN</w:t>
      </w:r>
      <w:r w:rsidRPr="003F2C8A">
        <w:rPr>
          <w:rFonts w:asciiTheme="minorHAnsi" w:hAnsiTheme="minorHAnsi" w:cstheme="minorHAnsi"/>
          <w:vertAlign w:val="subscript"/>
          <w:lang w:val="en-US"/>
        </w:rPr>
        <w:t>6</w:t>
      </w:r>
      <w:r w:rsidRPr="003F2C8A">
        <w:rPr>
          <w:rFonts w:asciiTheme="minorHAnsi" w:hAnsiTheme="minorHAnsi" w:cstheme="minorHAnsi"/>
          <w:lang w:val="en-US"/>
        </w:rPr>
        <w:t>O</w:t>
      </w:r>
      <w:r w:rsidRPr="003F2C8A">
        <w:rPr>
          <w:rFonts w:asciiTheme="minorHAnsi" w:hAnsiTheme="minorHAnsi" w:cstheme="minorHAnsi"/>
          <w:vertAlign w:val="subscript"/>
          <w:lang w:val="en-US"/>
        </w:rPr>
        <w:t>6</w:t>
      </w:r>
      <w:r w:rsidRPr="003F2C8A">
        <w:rPr>
          <w:rFonts w:asciiTheme="minorHAnsi" w:hAnsiTheme="minorHAnsi" w:cstheme="minorHAnsi"/>
          <w:lang w:val="en-US"/>
        </w:rPr>
        <w:t>S</w:t>
      </w:r>
      <w:r w:rsidRPr="003F2C8A">
        <w:rPr>
          <w:rFonts w:asciiTheme="minorHAnsi" w:hAnsiTheme="minorHAnsi" w:cstheme="minorHAnsi"/>
          <w:vertAlign w:val="subscript"/>
          <w:lang w:val="en-US"/>
        </w:rPr>
        <w:t>2</w:t>
      </w:r>
      <w:r w:rsidRPr="003F2C8A">
        <w:rPr>
          <w:rFonts w:asciiTheme="minorHAnsi" w:hAnsiTheme="minorHAnsi" w:cstheme="minorHAnsi"/>
          <w:lang w:val="en-US"/>
        </w:rPr>
        <w:t>: 786.2670; found: 786.2656.</w:t>
      </w:r>
    </w:p>
    <w:p w14:paraId="344A0FD4" w14:textId="77777777" w:rsidR="00433043" w:rsidRPr="00433043" w:rsidRDefault="00433043" w:rsidP="00EF6F96">
      <w:pPr>
        <w:spacing w:line="480" w:lineRule="auto"/>
        <w:jc w:val="both"/>
        <w:rPr>
          <w:rFonts w:asciiTheme="minorHAnsi" w:hAnsiTheme="minorHAnsi" w:cstheme="minorHAnsi"/>
          <w:sz w:val="18"/>
          <w:szCs w:val="18"/>
          <w:lang w:val="en-US"/>
        </w:rPr>
      </w:pPr>
    </w:p>
    <w:sectPr w:rsidR="00433043" w:rsidRPr="00433043" w:rsidSect="004675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53856" w14:textId="77777777" w:rsidR="00EA13E5" w:rsidRDefault="00EA13E5" w:rsidP="008B2415">
      <w:pPr>
        <w:spacing w:line="240" w:lineRule="auto"/>
      </w:pPr>
      <w:r>
        <w:separator/>
      </w:r>
    </w:p>
  </w:endnote>
  <w:endnote w:type="continuationSeparator" w:id="0">
    <w:p w14:paraId="4C366678" w14:textId="77777777" w:rsidR="00EA13E5" w:rsidRDefault="00EA13E5" w:rsidP="008B2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8111534"/>
      <w:docPartObj>
        <w:docPartGallery w:val="Page Numbers (Bottom of Page)"/>
        <w:docPartUnique/>
      </w:docPartObj>
    </w:sdtPr>
    <w:sdtEndPr/>
    <w:sdtContent>
      <w:p w14:paraId="774E3320" w14:textId="7E6555D5" w:rsidR="008B2415" w:rsidRDefault="008B241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4E7" w:rsidRPr="00D514E7">
          <w:rPr>
            <w:noProof/>
            <w:lang w:val="fr-FR"/>
          </w:rPr>
          <w:t>4</w:t>
        </w:r>
        <w:r>
          <w:fldChar w:fldCharType="end"/>
        </w:r>
      </w:p>
    </w:sdtContent>
  </w:sdt>
  <w:p w14:paraId="21B76350" w14:textId="77777777" w:rsidR="008B2415" w:rsidRDefault="008B2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13CFD" w14:textId="77777777" w:rsidR="00EA13E5" w:rsidRDefault="00EA13E5" w:rsidP="008B2415">
      <w:pPr>
        <w:spacing w:line="240" w:lineRule="auto"/>
      </w:pPr>
      <w:r>
        <w:separator/>
      </w:r>
    </w:p>
  </w:footnote>
  <w:footnote w:type="continuationSeparator" w:id="0">
    <w:p w14:paraId="37D0337A" w14:textId="77777777" w:rsidR="00EA13E5" w:rsidRDefault="00EA13E5" w:rsidP="008B24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FB"/>
    <w:rsid w:val="00000CD3"/>
    <w:rsid w:val="00016BA7"/>
    <w:rsid w:val="00020436"/>
    <w:rsid w:val="00093FEB"/>
    <w:rsid w:val="000B12EA"/>
    <w:rsid w:val="000C51A5"/>
    <w:rsid w:val="001247C3"/>
    <w:rsid w:val="00235FAB"/>
    <w:rsid w:val="00244EEC"/>
    <w:rsid w:val="00282D29"/>
    <w:rsid w:val="002A3600"/>
    <w:rsid w:val="002A73B4"/>
    <w:rsid w:val="002B21A2"/>
    <w:rsid w:val="002F233D"/>
    <w:rsid w:val="003314E4"/>
    <w:rsid w:val="00376A02"/>
    <w:rsid w:val="00387701"/>
    <w:rsid w:val="003F2C8A"/>
    <w:rsid w:val="00433043"/>
    <w:rsid w:val="004601F3"/>
    <w:rsid w:val="004675D5"/>
    <w:rsid w:val="00472341"/>
    <w:rsid w:val="00487D4D"/>
    <w:rsid w:val="004A0C63"/>
    <w:rsid w:val="005E4036"/>
    <w:rsid w:val="006278C1"/>
    <w:rsid w:val="00666208"/>
    <w:rsid w:val="00672FFB"/>
    <w:rsid w:val="006E7D05"/>
    <w:rsid w:val="00710326"/>
    <w:rsid w:val="00773E9A"/>
    <w:rsid w:val="007B3178"/>
    <w:rsid w:val="007E5286"/>
    <w:rsid w:val="00896853"/>
    <w:rsid w:val="008A2600"/>
    <w:rsid w:val="008A4A91"/>
    <w:rsid w:val="008B2415"/>
    <w:rsid w:val="008C5FF6"/>
    <w:rsid w:val="008F406C"/>
    <w:rsid w:val="009164FE"/>
    <w:rsid w:val="00960248"/>
    <w:rsid w:val="009A29B2"/>
    <w:rsid w:val="009C4C6E"/>
    <w:rsid w:val="009C753E"/>
    <w:rsid w:val="00A16036"/>
    <w:rsid w:val="00A5150A"/>
    <w:rsid w:val="00AE475E"/>
    <w:rsid w:val="00AE5EBC"/>
    <w:rsid w:val="00B02AF4"/>
    <w:rsid w:val="00B051EB"/>
    <w:rsid w:val="00B73F06"/>
    <w:rsid w:val="00BA28F8"/>
    <w:rsid w:val="00BB0FA6"/>
    <w:rsid w:val="00BC1874"/>
    <w:rsid w:val="00BE3144"/>
    <w:rsid w:val="00C22559"/>
    <w:rsid w:val="00C57D3F"/>
    <w:rsid w:val="00C83CDE"/>
    <w:rsid w:val="00D21C4A"/>
    <w:rsid w:val="00D24F06"/>
    <w:rsid w:val="00D3641B"/>
    <w:rsid w:val="00D514E7"/>
    <w:rsid w:val="00D86597"/>
    <w:rsid w:val="00D950BB"/>
    <w:rsid w:val="00DB4E47"/>
    <w:rsid w:val="00E22E78"/>
    <w:rsid w:val="00EA13E5"/>
    <w:rsid w:val="00ED3A90"/>
    <w:rsid w:val="00EF6F96"/>
    <w:rsid w:val="00F534EF"/>
    <w:rsid w:val="00F55308"/>
    <w:rsid w:val="00F846D3"/>
    <w:rsid w:val="00F91386"/>
    <w:rsid w:val="00FA6DA5"/>
    <w:rsid w:val="00FC113B"/>
    <w:rsid w:val="00FD2525"/>
    <w:rsid w:val="00F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4834"/>
  <w15:chartTrackingRefBased/>
  <w15:docId w15:val="{13A9D83B-BA5D-443C-A36C-BABB3373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2FFB"/>
    <w:pPr>
      <w:spacing w:after="0" w:line="276" w:lineRule="auto"/>
    </w:pPr>
    <w:rPr>
      <w:rFonts w:ascii="Arial" w:eastAsia="Arial" w:hAnsi="Arial" w:cs="Arial"/>
      <w:lang w:val="fr" w:eastAsia="fr-FR"/>
    </w:rPr>
  </w:style>
  <w:style w:type="paragraph" w:styleId="Heading1">
    <w:name w:val="heading 1"/>
    <w:basedOn w:val="Normal"/>
    <w:next w:val="Normal"/>
    <w:link w:val="Heading1Char"/>
    <w:rsid w:val="00672FFB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2FFB"/>
    <w:rPr>
      <w:rFonts w:ascii="Arial" w:eastAsia="Arial" w:hAnsi="Arial" w:cs="Arial"/>
      <w:sz w:val="40"/>
      <w:szCs w:val="40"/>
      <w:lang w:val="fr" w:eastAsia="fr-FR"/>
    </w:rPr>
  </w:style>
  <w:style w:type="paragraph" w:styleId="CommentText">
    <w:name w:val="annotation text"/>
    <w:basedOn w:val="Normal"/>
    <w:link w:val="CommentTextChar"/>
    <w:uiPriority w:val="99"/>
    <w:unhideWhenUsed/>
    <w:rsid w:val="00672F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FFB"/>
    <w:rPr>
      <w:rFonts w:ascii="Arial" w:eastAsia="Arial" w:hAnsi="Arial" w:cs="Arial"/>
      <w:sz w:val="20"/>
      <w:szCs w:val="20"/>
      <w:lang w:val="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672FFB"/>
    <w:rPr>
      <w:sz w:val="16"/>
      <w:szCs w:val="16"/>
    </w:rPr>
  </w:style>
  <w:style w:type="paragraph" w:customStyle="1" w:styleId="Normal1">
    <w:name w:val="Normal1"/>
    <w:rsid w:val="00672FFB"/>
    <w:pPr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F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FFB"/>
    <w:rPr>
      <w:rFonts w:ascii="Segoe UI" w:eastAsia="Arial" w:hAnsi="Segoe UI" w:cs="Segoe UI"/>
      <w:sz w:val="18"/>
      <w:szCs w:val="18"/>
      <w:lang w:val="fr" w:eastAsia="fr-FR"/>
    </w:rPr>
  </w:style>
  <w:style w:type="paragraph" w:styleId="Header">
    <w:name w:val="header"/>
    <w:basedOn w:val="Normal"/>
    <w:link w:val="HeaderChar"/>
    <w:uiPriority w:val="99"/>
    <w:unhideWhenUsed/>
    <w:rsid w:val="008B241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415"/>
    <w:rPr>
      <w:rFonts w:ascii="Arial" w:eastAsia="Arial" w:hAnsi="Arial" w:cs="Arial"/>
      <w:lang w:val="fr" w:eastAsia="fr-FR"/>
    </w:rPr>
  </w:style>
  <w:style w:type="paragraph" w:styleId="Footer">
    <w:name w:val="footer"/>
    <w:basedOn w:val="Normal"/>
    <w:link w:val="FooterChar"/>
    <w:uiPriority w:val="99"/>
    <w:unhideWhenUsed/>
    <w:rsid w:val="008B241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15"/>
    <w:rPr>
      <w:rFonts w:ascii="Arial" w:eastAsia="Arial" w:hAnsi="Arial" w:cs="Arial"/>
      <w:lang w:val="fr" w:eastAsia="fr-FR"/>
    </w:rPr>
  </w:style>
  <w:style w:type="paragraph" w:styleId="NormalWeb">
    <w:name w:val="Normal (Web)"/>
    <w:basedOn w:val="Normal"/>
    <w:uiPriority w:val="99"/>
    <w:unhideWhenUsed/>
    <w:rsid w:val="00F8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F846D3"/>
    <w:rPr>
      <w:color w:val="0000FF"/>
      <w:u w:val="single"/>
    </w:rPr>
  </w:style>
  <w:style w:type="paragraph" w:customStyle="1" w:styleId="P1">
    <w:name w:val="P1"/>
    <w:basedOn w:val="Normal"/>
    <w:qFormat/>
    <w:rsid w:val="00BA28F8"/>
    <w:pPr>
      <w:spacing w:line="225" w:lineRule="exact"/>
      <w:jc w:val="both"/>
    </w:pPr>
    <w:rPr>
      <w:rFonts w:eastAsia="MS Mincho" w:cs="Times New Roman"/>
      <w:sz w:val="17"/>
      <w:szCs w:val="24"/>
      <w:lang w:val="en-US" w:eastAsia="ja-JP"/>
    </w:rPr>
  </w:style>
  <w:style w:type="paragraph" w:styleId="Bibliography">
    <w:name w:val="Bibliography"/>
    <w:basedOn w:val="Normal"/>
    <w:next w:val="Normal"/>
    <w:uiPriority w:val="37"/>
    <w:unhideWhenUsed/>
    <w:rsid w:val="003F2C8A"/>
    <w:pPr>
      <w:tabs>
        <w:tab w:val="left" w:pos="264"/>
      </w:tabs>
      <w:spacing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9C9D-465A-4255-A8A6-2306A652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rigouin</dc:creator>
  <cp:keywords/>
  <dc:description/>
  <cp:lastModifiedBy>Rajalakshmi Thangaraj</cp:lastModifiedBy>
  <cp:revision>9</cp:revision>
  <dcterms:created xsi:type="dcterms:W3CDTF">2024-05-15T11:08:00Z</dcterms:created>
  <dcterms:modified xsi:type="dcterms:W3CDTF">2024-07-15T02:20:00Z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id="246lYC2U"/&gt;&lt;style id="http://www.zotero.org/styles/chemical-science" hasBibliography="1" bibliographyStyleHasBeenSet="1"/&gt;&lt;prefs&gt;&lt;pref name="fieldType" value="Field"/&gt;&lt;/prefs&gt;&lt;/data&gt;</vt:lpwstr>
  </property>
</Properties>
</file>