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widowControl w:val="0"/>
        <w:spacing w:before="340" w:after="330" w:line="480" w:lineRule="auto"/>
        <w:jc w:val="center"/>
        <w:outlineLvl w:val="0"/>
        <w:rPr>
          <w:rFonts w:ascii="Times New Roman" w:hAnsi="Times New Roman" w:eastAsia="等线" w:cs="Times New Roman"/>
          <w:b/>
          <w:bCs/>
          <w:kern w:val="44"/>
          <w:sz w:val="21"/>
          <w:szCs w:val="21"/>
          <w:lang w:val="en-US" w:eastAsia="zh-CN" w:bidi="ar-SA"/>
        </w:rPr>
      </w:pPr>
      <w:bookmarkStart w:id="0" w:name="_Hlk138186857"/>
      <w:r>
        <w:rPr>
          <w:rFonts w:ascii="Times New Roman" w:hAnsi="Times New Roman" w:eastAsia="等线" w:cs="Times New Roman"/>
          <w:b/>
          <w:bCs/>
          <w:kern w:val="44"/>
          <w:sz w:val="21"/>
          <w:szCs w:val="21"/>
          <w:lang w:val="en-US" w:eastAsia="zh-CN" w:bidi="ar-SA"/>
        </w:rPr>
        <w:t>Supplementary Material</w:t>
      </w:r>
    </w:p>
    <w:bookmarkEnd w:id="0"/>
    <w:p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Cs w:val="21"/>
        </w:rPr>
      </w:pPr>
    </w:p>
    <w:p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i/>
          <w:iCs/>
          <w:color w:val="C00000"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 xml:space="preserve">Systems metabolic engineering of </w:t>
      </w:r>
      <w:bookmarkStart w:id="1" w:name="OLE_LINK29"/>
      <w:r>
        <w:rPr>
          <w:rFonts w:hint="eastAsia" w:ascii="Times New Roman" w:hAnsi="Times New Roman" w:eastAsia="宋体" w:cs="Times New Roman"/>
          <w:b/>
          <w:bCs/>
          <w:i/>
          <w:iCs/>
          <w:color w:val="C00000"/>
          <w:szCs w:val="21"/>
        </w:rPr>
        <w:t>Komagataella phaffii</w:t>
      </w:r>
    </w:p>
    <w:bookmarkEnd w:id="1"/>
    <w:p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hint="eastAsia" w:ascii="Times New Roman" w:hAnsi="Times New Roman" w:eastAsia="宋体" w:cs="Times New Roman"/>
          <w:b/>
          <w:bCs/>
          <w:i/>
          <w:iCs/>
          <w:szCs w:val="21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b/>
          <w:bCs/>
          <w:szCs w:val="21"/>
        </w:rPr>
        <w:t>for the efficient utilization of methanol</w:t>
      </w:r>
    </w:p>
    <w:p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i/>
          <w:iCs/>
          <w:szCs w:val="21"/>
        </w:rPr>
      </w:pPr>
    </w:p>
    <w:p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  <w:lang w:bidi="ar"/>
        </w:rPr>
        <w:t>Yuanyuan Wang</w:t>
      </w:r>
      <w:r>
        <w:rPr>
          <w:rFonts w:hint="eastAsia" w:ascii="Times New Roman" w:hAnsi="Times New Roman" w:eastAsia="宋体" w:cs="Times New Roman"/>
          <w:b/>
          <w:bCs/>
          <w:color w:val="C00000"/>
          <w:szCs w:val="21"/>
          <w:vertAlign w:val="superscript"/>
          <w:lang w:val="en-US" w:eastAsia="zh-CN"/>
        </w:rPr>
        <w:t>1†</w:t>
      </w:r>
      <w:r>
        <w:rPr>
          <w:rFonts w:ascii="Times New Roman" w:hAnsi="Times New Roman" w:eastAsia="宋体" w:cs="Times New Roman"/>
          <w:b/>
          <w:bCs/>
          <w:szCs w:val="21"/>
        </w:rPr>
        <w:t>,</w:t>
      </w: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Cs w:val="21"/>
        </w:rPr>
        <w:t>Ruisi</w:t>
      </w:r>
      <w:r>
        <w:rPr>
          <w:rFonts w:ascii="Times New Roman" w:hAnsi="Times New Roman" w:eastAsia="宋体" w:cs="Times New Roman"/>
          <w:b/>
          <w:bCs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Cs w:val="21"/>
        </w:rPr>
        <w:t>Li</w:t>
      </w:r>
      <w:r>
        <w:rPr>
          <w:rFonts w:hint="eastAsia" w:ascii="Times New Roman" w:hAnsi="Times New Roman" w:eastAsia="宋体" w:cs="Times New Roman"/>
          <w:b/>
          <w:bCs/>
          <w:color w:val="C00000"/>
          <w:szCs w:val="21"/>
          <w:vertAlign w:val="superscript"/>
          <w:lang w:val="en-US" w:eastAsia="zh-CN"/>
        </w:rPr>
        <w:t>1†</w:t>
      </w:r>
      <w:r>
        <w:rPr>
          <w:rFonts w:ascii="Times New Roman" w:hAnsi="Times New Roman" w:eastAsia="宋体" w:cs="Times New Roman"/>
          <w:b/>
          <w:bCs/>
          <w:szCs w:val="21"/>
          <w:lang w:bidi="ar"/>
        </w:rPr>
        <w:t xml:space="preserve">, </w:t>
      </w:r>
      <w:bookmarkStart w:id="2" w:name="_Hlk81409332"/>
      <w:r>
        <w:rPr>
          <w:rFonts w:ascii="Times New Roman" w:hAnsi="Times New Roman" w:eastAsia="宋体" w:cs="Times New Roman"/>
          <w:b/>
          <w:bCs/>
          <w:szCs w:val="21"/>
        </w:rPr>
        <w:t>Fengguang Zhao</w:t>
      </w:r>
      <w:r>
        <w:rPr>
          <w:rFonts w:hint="eastAsia" w:ascii="Times New Roman" w:hAnsi="Times New Roman" w:eastAsia="宋体" w:cs="Times New Roman"/>
          <w:b/>
          <w:bCs/>
          <w:szCs w:val="21"/>
          <w:vertAlign w:val="superscript"/>
          <w:lang w:val="en-US" w:eastAsia="zh-CN"/>
        </w:rPr>
        <w:t>2</w:t>
      </w:r>
      <w:r>
        <w:rPr>
          <w:rFonts w:ascii="Times New Roman" w:hAnsi="Times New Roman" w:eastAsia="宋体" w:cs="Times New Roman"/>
          <w:b/>
          <w:bCs/>
          <w:szCs w:val="21"/>
        </w:rPr>
        <w:t>, Shuai Wang</w:t>
      </w:r>
      <w:r>
        <w:rPr>
          <w:rFonts w:hint="eastAsia" w:ascii="Times New Roman" w:hAnsi="Times New Roman" w:eastAsia="宋体" w:cs="Times New Roman"/>
          <w:b/>
          <w:bCs/>
          <w:szCs w:val="21"/>
          <w:vertAlign w:val="superscript"/>
          <w:lang w:val="en-US" w:eastAsia="zh-CN"/>
        </w:rPr>
        <w:t>1</w:t>
      </w:r>
      <w:r>
        <w:rPr>
          <w:rFonts w:ascii="Times New Roman" w:hAnsi="Times New Roman" w:eastAsia="宋体" w:cs="Times New Roman"/>
          <w:b/>
          <w:bCs/>
          <w:szCs w:val="21"/>
        </w:rPr>
        <w:t>, Yaping Zhang</w:t>
      </w:r>
      <w:r>
        <w:rPr>
          <w:rFonts w:hint="eastAsia" w:ascii="Times New Roman" w:hAnsi="Times New Roman" w:eastAsia="宋体" w:cs="Times New Roman"/>
          <w:b/>
          <w:bCs/>
          <w:szCs w:val="21"/>
          <w:vertAlign w:val="superscript"/>
          <w:lang w:val="en-US" w:eastAsia="zh-CN"/>
        </w:rPr>
        <w:t>1</w:t>
      </w:r>
      <w:r>
        <w:rPr>
          <w:rFonts w:ascii="Times New Roman" w:hAnsi="Times New Roman" w:eastAsia="宋体" w:cs="Times New Roman"/>
          <w:b/>
          <w:bCs/>
          <w:szCs w:val="21"/>
        </w:rPr>
        <w:t xml:space="preserve">, </w:t>
      </w:r>
      <w:r>
        <w:rPr>
          <w:rFonts w:hint="eastAsia" w:ascii="Times New Roman" w:hAnsi="Times New Roman" w:eastAsia="宋体" w:cs="Times New Roman"/>
          <w:b/>
          <w:bCs/>
          <w:color w:val="C00000"/>
          <w:szCs w:val="21"/>
          <w:lang w:val="en-US" w:eastAsia="zh-CN"/>
        </w:rPr>
        <w:t>Dexun Fan</w:t>
      </w:r>
      <w:r>
        <w:rPr>
          <w:rFonts w:hint="eastAsia" w:ascii="Times New Roman" w:hAnsi="Times New Roman" w:eastAsia="宋体" w:cs="Times New Roman"/>
          <w:b/>
          <w:bCs/>
          <w:color w:val="C00000"/>
          <w:szCs w:val="21"/>
          <w:vertAlign w:val="superscript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b/>
          <w:bCs/>
          <w:color w:val="C00000"/>
          <w:szCs w:val="21"/>
          <w:lang w:val="en-US" w:eastAsia="zh-CN"/>
        </w:rPr>
        <w:t xml:space="preserve">, </w:t>
      </w:r>
    </w:p>
    <w:p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Shuangyan Han</w:t>
      </w:r>
      <w:r>
        <w:rPr>
          <w:rFonts w:hint="eastAsia" w:ascii="Times New Roman" w:hAnsi="Times New Roman" w:eastAsia="宋体" w:cs="Times New Roman"/>
          <w:b/>
          <w:bCs/>
          <w:szCs w:val="21"/>
          <w:vertAlign w:val="superscript"/>
          <w:lang w:val="en-US" w:eastAsia="zh-CN"/>
        </w:rPr>
        <w:t>1</w:t>
      </w:r>
      <w:r>
        <w:rPr>
          <w:rFonts w:ascii="Times New Roman" w:hAnsi="Times New Roman" w:eastAsia="宋体" w:cs="Times New Roman"/>
          <w:b/>
          <w:bCs/>
          <w:szCs w:val="21"/>
        </w:rPr>
        <w:t>*</w:t>
      </w:r>
    </w:p>
    <w:bookmarkEnd w:id="2"/>
    <w:p>
      <w:pPr>
        <w:spacing w:line="480" w:lineRule="auto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  <w:lang w:bidi="ar"/>
        </w:rPr>
        <w:t>a Guangdong Key Laboratory of Fermentation and Enzyme Engineering, School of Biology and Biological Engineering, South China University of Technology, Guangzhou, China</w:t>
      </w:r>
    </w:p>
    <w:p>
      <w:pPr>
        <w:spacing w:line="480" w:lineRule="auto"/>
        <w:jc w:val="left"/>
        <w:rPr>
          <w:rFonts w:ascii="Times New Roman" w:hAnsi="Times New Roman" w:eastAsia="宋体" w:cs="Times New Roman"/>
          <w:szCs w:val="21"/>
          <w:lang w:bidi="ar"/>
        </w:rPr>
      </w:pPr>
      <w:r>
        <w:rPr>
          <w:rFonts w:ascii="Times New Roman" w:hAnsi="Times New Roman" w:eastAsia="宋体" w:cs="Times New Roman"/>
          <w:szCs w:val="21"/>
          <w:lang w:bidi="ar"/>
        </w:rPr>
        <w:t>b School of Light Industry and Engineering, South China University of Technology, Guangzhou, China</w:t>
      </w:r>
    </w:p>
    <w:p>
      <w:pPr>
        <w:spacing w:line="480" w:lineRule="auto"/>
        <w:rPr>
          <w:rFonts w:ascii="Times New Roman" w:hAnsi="Times New Roman" w:eastAsia="宋体" w:cs="Times New Roman"/>
          <w:color w:val="C00000"/>
          <w:szCs w:val="21"/>
        </w:rPr>
      </w:pPr>
      <w:r>
        <w:rPr>
          <w:rFonts w:hint="eastAsia" w:ascii="Times New Roman" w:hAnsi="Times New Roman" w:eastAsia="宋体" w:cs="Times New Roman"/>
          <w:color w:val="C00000"/>
          <w:szCs w:val="21"/>
        </w:rPr>
        <w:t>†Yuanyuan Wang and</w:t>
      </w:r>
      <w:r>
        <w:rPr>
          <w:rFonts w:hint="eastAsia" w:ascii="Times New Roman" w:hAnsi="Times New Roman" w:eastAsia="宋体" w:cs="Times New Roman"/>
          <w:color w:val="C00000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C00000"/>
          <w:szCs w:val="21"/>
        </w:rPr>
        <w:t>Ruisi Li have contributed equally to this work.</w:t>
      </w:r>
    </w:p>
    <w:p>
      <w:pPr>
        <w:spacing w:line="480" w:lineRule="auto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*Corresponding author: syhan@scut.edu.cn (Shuangyan Han)</w:t>
      </w:r>
    </w:p>
    <w:p>
      <w:pPr>
        <w:spacing w:line="480" w:lineRule="auto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Tel: +86-020-39380618</w:t>
      </w:r>
    </w:p>
    <w:p>
      <w:pPr>
        <w:spacing w:line="480" w:lineRule="auto"/>
        <w:rPr>
          <w:rFonts w:ascii="Times New Roman" w:hAnsi="Times New Roman" w:eastAsia="宋体" w:cs="Times New Roman"/>
          <w:szCs w:val="21"/>
        </w:rPr>
      </w:pPr>
    </w:p>
    <w:p>
      <w:pPr>
        <w:spacing w:line="480" w:lineRule="auto"/>
        <w:rPr>
          <w:rFonts w:ascii="Times New Roman" w:hAnsi="Times New Roman" w:eastAsia="宋体" w:cs="Times New Roman"/>
          <w:szCs w:val="21"/>
        </w:rPr>
      </w:pPr>
    </w:p>
    <w:p>
      <w:pPr>
        <w:spacing w:line="480" w:lineRule="auto"/>
        <w:rPr>
          <w:rFonts w:ascii="Times New Roman" w:hAnsi="Times New Roman" w:eastAsia="宋体" w:cs="Times New Roman"/>
          <w:szCs w:val="21"/>
        </w:rPr>
      </w:pPr>
    </w:p>
    <w:p>
      <w:pPr>
        <w:spacing w:line="480" w:lineRule="auto"/>
        <w:rPr>
          <w:rFonts w:ascii="Times New Roman" w:hAnsi="Times New Roman" w:eastAsia="宋体" w:cs="Times New Roman"/>
          <w:szCs w:val="21"/>
        </w:rPr>
      </w:pPr>
    </w:p>
    <w:p>
      <w:pPr>
        <w:spacing w:line="480" w:lineRule="auto"/>
        <w:rPr>
          <w:rFonts w:ascii="Times New Roman" w:hAnsi="Times New Roman" w:eastAsia="宋体" w:cs="Times New Roman"/>
          <w:szCs w:val="21"/>
        </w:rPr>
      </w:pPr>
    </w:p>
    <w:p>
      <w:pPr>
        <w:spacing w:line="480" w:lineRule="auto"/>
        <w:rPr>
          <w:rFonts w:ascii="Times New Roman" w:hAnsi="Times New Roman" w:eastAsia="宋体" w:cs="Times New Roman"/>
          <w:szCs w:val="21"/>
        </w:rPr>
      </w:pPr>
    </w:p>
    <w:p>
      <w:pPr>
        <w:spacing w:line="480" w:lineRule="auto"/>
        <w:rPr>
          <w:rFonts w:ascii="Times New Roman" w:hAnsi="Times New Roman" w:eastAsia="宋体" w:cs="Times New Roman"/>
          <w:szCs w:val="21"/>
        </w:rPr>
      </w:pPr>
    </w:p>
    <w:p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Table S1 Transcript levels of the samples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049"/>
        <w:gridCol w:w="1351"/>
        <w:gridCol w:w="1351"/>
        <w:gridCol w:w="1352"/>
        <w:gridCol w:w="1352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tcBorders>
              <w:top w:val="single" w:color="auto" w:sz="12" w:space="0"/>
              <w:bottom w:val="single" w:color="auto" w:sz="6" w:space="0"/>
            </w:tcBorders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bookmarkStart w:id="3" w:name="_Hlk129792153"/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 xml:space="preserve">Name </w:t>
            </w:r>
          </w:p>
        </w:tc>
        <w:tc>
          <w:tcPr>
            <w:tcW w:w="2049" w:type="dxa"/>
            <w:tcBorders>
              <w:top w:val="single" w:color="auto" w:sz="12" w:space="0"/>
              <w:bottom w:val="single" w:color="auto" w:sz="6" w:space="0"/>
            </w:tcBorders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Symbol</w:t>
            </w:r>
          </w:p>
        </w:tc>
        <w:tc>
          <w:tcPr>
            <w:tcW w:w="1351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微软雅黑" w:cs="Times New Roman"/>
                <w:kern w:val="2"/>
                <w:sz w:val="21"/>
                <w:szCs w:val="21"/>
                <w:lang w:val="en-US" w:eastAsia="zh-CN" w:bidi="ar-SA"/>
              </w:rPr>
            </w:pPr>
            <w:bookmarkStart w:id="4" w:name="OLE_LINK39"/>
            <w:r>
              <w:rPr>
                <w:rFonts w:hint="eastAsia"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Δ</w:t>
            </w:r>
            <w:bookmarkEnd w:id="4"/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FLD_D</w:t>
            </w:r>
            <w:r>
              <w:rPr>
                <w:rFonts w:hint="eastAsia"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*</w:t>
            </w:r>
          </w:p>
        </w:tc>
        <w:tc>
          <w:tcPr>
            <w:tcW w:w="1351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微软雅黑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Δ</w:t>
            </w: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FLD_M</w:t>
            </w:r>
            <w:r>
              <w:rPr>
                <w:rFonts w:hint="eastAsia"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**</w:t>
            </w:r>
          </w:p>
        </w:tc>
        <w:tc>
          <w:tcPr>
            <w:tcW w:w="135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微软雅黑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GS115_D</w:t>
            </w:r>
            <w:r>
              <w:rPr>
                <w:rFonts w:hint="eastAsia"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*</w:t>
            </w:r>
          </w:p>
        </w:tc>
        <w:tc>
          <w:tcPr>
            <w:tcW w:w="135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微软雅黑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GS115_M</w:t>
            </w:r>
            <w:r>
              <w:rPr>
                <w:rFonts w:hint="eastAsia"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**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tcBorders>
              <w:top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Fba2</w:t>
            </w:r>
          </w:p>
        </w:tc>
        <w:tc>
          <w:tcPr>
            <w:tcW w:w="2049" w:type="dxa"/>
            <w:tcBorders>
              <w:top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PAS_chr1-1_0319</w:t>
            </w:r>
          </w:p>
        </w:tc>
        <w:tc>
          <w:tcPr>
            <w:tcW w:w="1351" w:type="dxa"/>
            <w:tcBorders>
              <w:top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36.44</w:t>
            </w:r>
          </w:p>
        </w:tc>
        <w:tc>
          <w:tcPr>
            <w:tcW w:w="1351" w:type="dxa"/>
            <w:tcBorders>
              <w:top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2411.77</w:t>
            </w:r>
          </w:p>
        </w:tc>
        <w:tc>
          <w:tcPr>
            <w:tcW w:w="1352" w:type="dxa"/>
            <w:tcBorders>
              <w:top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32.08</w:t>
            </w:r>
          </w:p>
        </w:tc>
        <w:tc>
          <w:tcPr>
            <w:tcW w:w="1352" w:type="dxa"/>
            <w:tcBorders>
              <w:top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2664.45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RpiA</w:t>
            </w:r>
          </w:p>
        </w:tc>
        <w:tc>
          <w:tcPr>
            <w:tcW w:w="2049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PAS_chr4_0212</w:t>
            </w:r>
          </w:p>
        </w:tc>
        <w:tc>
          <w:tcPr>
            <w:tcW w:w="1351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22.04</w:t>
            </w:r>
          </w:p>
        </w:tc>
        <w:tc>
          <w:tcPr>
            <w:tcW w:w="1351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302.16</w:t>
            </w:r>
          </w:p>
        </w:tc>
        <w:tc>
          <w:tcPr>
            <w:tcW w:w="1352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24.85</w:t>
            </w:r>
          </w:p>
        </w:tc>
        <w:tc>
          <w:tcPr>
            <w:tcW w:w="1352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387.97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Tal2</w:t>
            </w:r>
          </w:p>
        </w:tc>
        <w:tc>
          <w:tcPr>
            <w:tcW w:w="2049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PAS_chr2-2_0338</w:t>
            </w:r>
          </w:p>
        </w:tc>
        <w:tc>
          <w:tcPr>
            <w:tcW w:w="1351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57.8</w:t>
            </w:r>
          </w:p>
        </w:tc>
        <w:tc>
          <w:tcPr>
            <w:tcW w:w="1351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514.5</w:t>
            </w:r>
          </w:p>
        </w:tc>
        <w:tc>
          <w:tcPr>
            <w:tcW w:w="1352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58</w:t>
            </w:r>
          </w:p>
        </w:tc>
        <w:tc>
          <w:tcPr>
            <w:tcW w:w="1352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531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Dak</w:t>
            </w:r>
          </w:p>
        </w:tc>
        <w:tc>
          <w:tcPr>
            <w:tcW w:w="2049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PAS_chr3_0841</w:t>
            </w:r>
          </w:p>
        </w:tc>
        <w:tc>
          <w:tcPr>
            <w:tcW w:w="1351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913.96</w:t>
            </w:r>
          </w:p>
        </w:tc>
        <w:tc>
          <w:tcPr>
            <w:tcW w:w="1351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2216.62</w:t>
            </w:r>
          </w:p>
        </w:tc>
        <w:tc>
          <w:tcPr>
            <w:tcW w:w="1352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816.5</w:t>
            </w:r>
          </w:p>
        </w:tc>
        <w:tc>
          <w:tcPr>
            <w:tcW w:w="1352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2537.27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Fbp1</w:t>
            </w:r>
          </w:p>
        </w:tc>
        <w:tc>
          <w:tcPr>
            <w:tcW w:w="2049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PAS_chr3_0868</w:t>
            </w:r>
          </w:p>
        </w:tc>
        <w:tc>
          <w:tcPr>
            <w:tcW w:w="1351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426.31</w:t>
            </w:r>
          </w:p>
        </w:tc>
        <w:tc>
          <w:tcPr>
            <w:tcW w:w="1351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2407.09</w:t>
            </w:r>
          </w:p>
        </w:tc>
        <w:tc>
          <w:tcPr>
            <w:tcW w:w="1352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670.72</w:t>
            </w:r>
          </w:p>
        </w:tc>
        <w:tc>
          <w:tcPr>
            <w:tcW w:w="1352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both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2518.21</w:t>
            </w:r>
          </w:p>
        </w:tc>
      </w:tr>
      <w:bookmarkEnd w:id="3"/>
    </w:tbl>
    <w:p>
      <w:pPr>
        <w:widowControl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  <w:lang w:bidi="ar"/>
        </w:rPr>
        <w:t>*</w:t>
      </w:r>
      <w:r>
        <w:rPr>
          <w:rFonts w:ascii="Times New Roman" w:hAnsi="Times New Roman" w:eastAsia="宋体" w:cs="Times New Roman"/>
          <w:szCs w:val="21"/>
        </w:rPr>
        <w:t>in glucose</w: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 xml:space="preserve">media  </w:t>
      </w:r>
    </w:p>
    <w:p>
      <w:pPr>
        <w:spacing w:line="480" w:lineRule="auto"/>
        <w:rPr>
          <w:rFonts w:ascii="Times New Roman" w:hAnsi="Times New Roman" w:eastAsia="等线" w:cs="Times New Roman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zCs w:val="21"/>
        </w:rPr>
        <w:t>**in</w:t>
      </w:r>
      <w:r>
        <w:rPr>
          <w:rFonts w:ascii="Times New Roman" w:hAnsi="Times New Roman" w:eastAsia="宋体" w:cs="Times New Roman"/>
          <w:szCs w:val="21"/>
        </w:rPr>
        <w:t xml:space="preserve"> methanol </w:t>
      </w:r>
      <w:bookmarkStart w:id="5" w:name="OLE_LINK52"/>
      <w:r>
        <w:rPr>
          <w:rFonts w:ascii="Times New Roman" w:hAnsi="Times New Roman" w:eastAsia="宋体" w:cs="Times New Roman"/>
          <w:szCs w:val="21"/>
        </w:rPr>
        <w:t>media</w:t>
      </w:r>
      <w:bookmarkEnd w:id="5"/>
      <w:bookmarkStart w:id="6" w:name="_Hlk129790188"/>
      <w:r>
        <w:rPr>
          <w:rFonts w:ascii="Times New Roman" w:hAnsi="Times New Roman" w:eastAsia="等线" w:cs="Times New Roman"/>
          <w:b/>
          <w:bCs/>
          <w:kern w:val="2"/>
          <w:sz w:val="21"/>
          <w:szCs w:val="21"/>
          <w:lang w:val="en-US" w:eastAsia="zh-CN" w:bidi="ar-SA"/>
        </w:rPr>
        <w:br w:type="page"/>
      </w:r>
    </w:p>
    <w:p>
      <w:pPr>
        <w:widowControl w:val="0"/>
        <w:spacing w:line="480" w:lineRule="auto"/>
        <w:ind w:firstLine="0" w:firstLineChars="0"/>
        <w:jc w:val="center"/>
        <w:rPr>
          <w:rFonts w:ascii="Times New Roman" w:hAnsi="Times New Roman" w:eastAsia="等线" w:cs="Times New Roman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ascii="Times New Roman" w:hAnsi="Times New Roman" w:eastAsia="等线" w:cs="Times New Roman"/>
          <w:b/>
          <w:bCs/>
          <w:kern w:val="2"/>
          <w:sz w:val="21"/>
          <w:szCs w:val="21"/>
          <w:lang w:val="en-US" w:eastAsia="zh-CN" w:bidi="ar-SA"/>
        </w:rPr>
        <w:t>Table S2 Prediction of protein localization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989"/>
        <w:gridCol w:w="1134"/>
        <w:gridCol w:w="2694"/>
        <w:gridCol w:w="161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bookmarkStart w:id="7" w:name="_Hlk129790117"/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Protein</w:t>
            </w:r>
          </w:p>
        </w:tc>
        <w:tc>
          <w:tcPr>
            <w:tcW w:w="198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C-terminal</w:t>
            </w:r>
          </w:p>
        </w:tc>
        <w:tc>
          <w:tcPr>
            <w:tcW w:w="1134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PTS1 Score</w:t>
            </w:r>
          </w:p>
        </w:tc>
        <w:tc>
          <w:tcPr>
            <w:tcW w:w="2694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N-terminal</w:t>
            </w:r>
          </w:p>
        </w:tc>
        <w:tc>
          <w:tcPr>
            <w:tcW w:w="161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MitoProt Score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tcBorders>
              <w:top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Idh</w:t>
            </w:r>
          </w:p>
        </w:tc>
        <w:tc>
          <w:tcPr>
            <w:tcW w:w="1989" w:type="dxa"/>
            <w:tcBorders>
              <w:top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TSNFTEQVIKNL</w:t>
            </w:r>
          </w:p>
        </w:tc>
        <w:tc>
          <w:tcPr>
            <w:tcW w:w="1134" w:type="dxa"/>
            <w:tcBorders>
              <w:top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-3.212</w:t>
            </w:r>
          </w:p>
        </w:tc>
        <w:tc>
          <w:tcPr>
            <w:tcW w:w="2694" w:type="dxa"/>
            <w:tcBorders>
              <w:top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MFRQYSRAIRSTPFTRSY</w:t>
            </w:r>
          </w:p>
        </w:tc>
        <w:tc>
          <w:tcPr>
            <w:tcW w:w="1613" w:type="dxa"/>
            <w:tcBorders>
              <w:top w:val="single" w:color="auto" w:sz="6" w:space="0"/>
            </w:tcBorders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0.9953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Mdh</w:t>
            </w:r>
          </w:p>
        </w:tc>
        <w:tc>
          <w:tcPr>
            <w:tcW w:w="1989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NIAKGTAFIAGN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-55.775</w:t>
            </w:r>
          </w:p>
        </w:tc>
        <w:tc>
          <w:tcPr>
            <w:tcW w:w="2694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Not predictable</w:t>
            </w:r>
          </w:p>
        </w:tc>
        <w:tc>
          <w:tcPr>
            <w:tcW w:w="1613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0.2786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Fba2</w:t>
            </w:r>
          </w:p>
        </w:tc>
        <w:tc>
          <w:tcPr>
            <w:tcW w:w="1989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HAAGTFKSESKL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3.095</w:t>
            </w:r>
          </w:p>
        </w:tc>
        <w:tc>
          <w:tcPr>
            <w:tcW w:w="2694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Not predictable</w:t>
            </w:r>
          </w:p>
        </w:tc>
        <w:tc>
          <w:tcPr>
            <w:tcW w:w="1613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0.0622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Tal2</w:t>
            </w:r>
          </w:p>
        </w:tc>
        <w:tc>
          <w:tcPr>
            <w:tcW w:w="1989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VPSLFRRVLSKL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7.583</w:t>
            </w:r>
          </w:p>
        </w:tc>
        <w:tc>
          <w:tcPr>
            <w:tcW w:w="2694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Not predictable</w:t>
            </w:r>
          </w:p>
        </w:tc>
        <w:tc>
          <w:tcPr>
            <w:tcW w:w="1613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0.0074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RpiA</w:t>
            </w:r>
          </w:p>
        </w:tc>
        <w:tc>
          <w:tcPr>
            <w:tcW w:w="1989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ITSLSVSVPARL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8.435</w:t>
            </w:r>
          </w:p>
        </w:tc>
        <w:tc>
          <w:tcPr>
            <w:tcW w:w="2694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Not predictable</w:t>
            </w:r>
          </w:p>
        </w:tc>
        <w:tc>
          <w:tcPr>
            <w:tcW w:w="1613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0.1287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Fbp1</w:t>
            </w:r>
          </w:p>
        </w:tc>
        <w:tc>
          <w:tcPr>
            <w:tcW w:w="1989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LTKKIKIQSVNL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-26.614</w:t>
            </w:r>
          </w:p>
        </w:tc>
        <w:tc>
          <w:tcPr>
            <w:tcW w:w="2694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not predictable</w:t>
            </w:r>
          </w:p>
        </w:tc>
        <w:tc>
          <w:tcPr>
            <w:tcW w:w="1613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0.0841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  <w:t>Dak</w:t>
            </w:r>
          </w:p>
        </w:tc>
        <w:tc>
          <w:tcPr>
            <w:tcW w:w="1989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ITDAYFKSETKL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-20.743</w:t>
            </w:r>
          </w:p>
        </w:tc>
        <w:tc>
          <w:tcPr>
            <w:tcW w:w="2694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Not predictable</w:t>
            </w:r>
          </w:p>
        </w:tc>
        <w:tc>
          <w:tcPr>
            <w:tcW w:w="1613" w:type="dxa"/>
            <w:vAlign w:val="center"/>
          </w:tcPr>
          <w:p>
            <w:pPr>
              <w:widowControl w:val="0"/>
              <w:spacing w:line="480" w:lineRule="auto"/>
              <w:ind w:firstLine="0" w:firstLineChars="0"/>
              <w:jc w:val="center"/>
              <w:rPr>
                <w:rFonts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1"/>
                <w:szCs w:val="21"/>
                <w:lang w:val="en-US" w:eastAsia="zh-CN" w:bidi="ar-SA"/>
              </w:rPr>
              <w:t>0.072</w:t>
            </w:r>
          </w:p>
        </w:tc>
      </w:tr>
      <w:bookmarkEnd w:id="6"/>
      <w:bookmarkEnd w:id="7"/>
    </w:tbl>
    <w:p>
      <w:pPr>
        <w:spacing w:line="480" w:lineRule="auto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PTS1 predictor version 1: (http://mendel.imp.ac.at/pts1/); MitoProtII program: (https://bio.tools/MITOPROT_II). Scores greater than 0 typically have a predictable PTS1; MitoProtII scores with a probability greater than 0.5 are more likely to be mitochondrial proteins.</w:t>
      </w:r>
    </w:p>
    <w:p>
      <w:pPr>
        <w:spacing w:line="480" w:lineRule="auto"/>
        <w:jc w:val="center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Cs w:val="21"/>
          <w:lang w:eastAsia="zh-CN"/>
        </w:rPr>
        <w:drawing>
          <wp:inline distT="0" distB="0" distL="114300" distR="114300">
            <wp:extent cx="2532380" cy="2552065"/>
            <wp:effectExtent l="0" t="0" r="12700" b="8255"/>
            <wp:docPr id="2" name="图片 2" descr="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3238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>Figure S1 Analysis of intracellular ROS levels of DF02-1 and DF00 strains in 1% (V/V) methonal</w:t>
      </w: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 at 48h</w:t>
      </w:r>
    </w:p>
    <w:p>
      <w:pPr>
        <w:spacing w:line="480" w:lineRule="auto"/>
        <w:rPr>
          <w:rFonts w:ascii="Times New Roman" w:hAnsi="Times New Roman" w:eastAsia="宋体" w:cs="Times New Roman"/>
          <w:szCs w:val="21"/>
        </w:rPr>
      </w:pPr>
    </w:p>
    <w:p>
      <w:pPr>
        <w:spacing w:line="480" w:lineRule="auto"/>
        <w:rPr>
          <w:rFonts w:ascii="Times New Roman" w:hAnsi="Times New Roman" w:eastAsia="宋体" w:cs="Times New Roman"/>
          <w:szCs w:val="21"/>
        </w:rPr>
      </w:pPr>
    </w:p>
    <w:p>
      <w:pPr>
        <w:spacing w:line="480" w:lineRule="auto"/>
        <w:jc w:val="center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Cs w:val="21"/>
          <w:lang w:eastAsia="zh-CN"/>
        </w:rPr>
        <w:drawing>
          <wp:inline distT="0" distB="0" distL="114300" distR="114300">
            <wp:extent cx="2898140" cy="2258060"/>
            <wp:effectExtent l="0" t="0" r="12700" b="12700"/>
            <wp:docPr id="3" name="图片 3" descr="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98140" cy="225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center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 xml:space="preserve">Figure S2 Mean fluorescence intensity determined by flow cytometry for DF02-1 and DF00 </w:t>
      </w:r>
    </w:p>
    <w:p>
      <w:pPr>
        <w:spacing w:line="480" w:lineRule="auto"/>
        <w:jc w:val="center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szCs w:val="21"/>
          <w:lang w:eastAsia="zh-CN"/>
        </w:rPr>
        <w:drawing>
          <wp:inline distT="0" distB="0" distL="114300" distR="114300">
            <wp:extent cx="2887345" cy="2245360"/>
            <wp:effectExtent l="0" t="0" r="8255" b="10160"/>
            <wp:docPr id="4" name="图片 4" descr="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87345" cy="224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8" w:name="_GoBack"/>
      <w:bookmarkEnd w:id="8"/>
    </w:p>
    <w:p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t xml:space="preserve">Figure S3 Transcript levels of IDH and FBP in DF00 and DF02-1 </w:t>
      </w:r>
    </w:p>
    <w:p>
      <w:pPr>
        <w:spacing w:line="480" w:lineRule="auto"/>
        <w:jc w:val="center"/>
        <w:rPr>
          <w:rFonts w:ascii="Times New Roman" w:hAnsi="Times New Roman" w:eastAsia="宋体" w:cs="Times New Roman"/>
          <w:szCs w:val="21"/>
        </w:rPr>
      </w:pPr>
    </w:p>
    <w:p>
      <w:pPr>
        <w:widowControl w:val="0"/>
        <w:spacing w:line="480" w:lineRule="auto"/>
        <w:ind w:firstLine="0" w:firstLineChars="0"/>
        <w:jc w:val="center"/>
        <w:rPr>
          <w:rFonts w:ascii="Times New Roman" w:hAnsi="Times New Roman" w:eastAsia="等线" w:cs="Times New Roman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ascii="Times New Roman" w:hAnsi="Times New Roman" w:eastAsia="等线" w:cs="Times New Roman"/>
          <w:b/>
          <w:bCs/>
          <w:kern w:val="2"/>
          <w:sz w:val="21"/>
          <w:szCs w:val="21"/>
          <w:lang w:val="en-US" w:eastAsia="zh-CN" w:bidi="ar-SA"/>
        </w:rPr>
        <w:drawing>
          <wp:inline distT="0" distB="0" distL="114300" distR="114300">
            <wp:extent cx="3562985" cy="1935480"/>
            <wp:effectExtent l="0" t="0" r="3175" b="0"/>
            <wp:docPr id="5" name="图片 5" descr="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62985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line="480" w:lineRule="auto"/>
        <w:ind w:firstLine="0" w:firstLineChars="0"/>
        <w:jc w:val="center"/>
        <w:rPr>
          <w:rFonts w:ascii="Times New Roman" w:hAnsi="Times New Roman" w:eastAsia="等线" w:cs="Times New Roman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ascii="Times New Roman" w:hAnsi="Times New Roman" w:eastAsia="等线" w:cs="Times New Roman"/>
          <w:b/>
          <w:bCs/>
          <w:kern w:val="2"/>
          <w:sz w:val="21"/>
          <w:szCs w:val="21"/>
          <w:lang w:val="en-US" w:eastAsia="zh-CN" w:bidi="ar-SA"/>
        </w:rPr>
        <w:t>Figure S4 Analysis of strains DF00 and DF02-1 in 3% methanol</w:t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4OTIzMjg2NGM0NGVlODA5MzZiMWMwMmRiNDNiZmIifQ=="/>
  </w:docVars>
  <w:rsids>
    <w:rsidRoot w:val="7733132B"/>
    <w:rsid w:val="24BF13EF"/>
    <w:rsid w:val="27E221D3"/>
    <w:rsid w:val="2AA63C28"/>
    <w:rsid w:val="65535E21"/>
    <w:rsid w:val="72403C7E"/>
    <w:rsid w:val="7733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276</Words>
  <Characters>1737</Characters>
  <Lines>0</Lines>
  <Paragraphs>0</Paragraphs>
  <TotalTime>3</TotalTime>
  <ScaleCrop>false</ScaleCrop>
  <LinksUpToDate>false</LinksUpToDate>
  <CharactersWithSpaces>1920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2024-04-25T07:46:00Z</dcterms:created>
  <dc:creator>LiLirs</dc:creator>
  <cp:lastModifiedBy>王媛媛</cp:lastModifiedBy>
  <dcterms:modified xsi:type="dcterms:W3CDTF">2024-07-05T10:41:33Z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C3FBB2A618ED4A80B0B50F765D547849_13</vt:lpwstr>
  </property>
</Properties>
</file>