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LineNumbers/>
        <w:adjustRightInd w:val="0"/>
        <w:snapToGrid w:val="0"/>
        <w:spacing w:line="480" w:lineRule="auto"/>
        <w:rPr>
          <w:rFonts w:hint="eastAsia" w:ascii="Times New Roman" w:hAnsi="Times New Roman" w:eastAsia="等线"/>
          <w:b/>
          <w:sz w:val="28"/>
          <w:szCs w:val="28"/>
        </w:rPr>
      </w:pPr>
      <w:r>
        <w:rPr>
          <w:rFonts w:ascii="Times New Roman" w:hAnsi="Times New Roman" w:eastAsia="等线"/>
          <w:b/>
          <w:sz w:val="28"/>
          <w:szCs w:val="28"/>
        </w:rPr>
        <w:t xml:space="preserve">Thermo-adaptive evolution of </w:t>
      </w:r>
      <w:r>
        <w:rPr>
          <w:rFonts w:ascii="Times New Roman" w:hAnsi="Times New Roman" w:eastAsia="等线"/>
          <w:b/>
          <w:i/>
          <w:iCs/>
          <w:sz w:val="28"/>
          <w:szCs w:val="28"/>
        </w:rPr>
        <w:t>Corynebacterium glutamate</w:t>
      </w:r>
      <w:r>
        <w:rPr>
          <w:rFonts w:ascii="Times New Roman" w:hAnsi="Times New Roman" w:eastAsia="等线"/>
          <w:b/>
          <w:sz w:val="28"/>
          <w:szCs w:val="28"/>
        </w:rPr>
        <w:t xml:space="preserve"> reveals the regulatory functions of fasR and hrcA in heat tolerance</w:t>
      </w:r>
    </w:p>
    <w:p>
      <w:pPr>
        <w:suppressLineNumbers/>
        <w:adjustRightInd w:val="0"/>
        <w:snapToGrid w:val="0"/>
        <w:spacing w:line="480" w:lineRule="auto"/>
        <w:rPr>
          <w:rFonts w:ascii="Times New Roman" w:hAnsi="Times New Roman"/>
          <w:b/>
          <w:bCs/>
        </w:rPr>
      </w:pPr>
    </w:p>
    <w:p>
      <w:pPr>
        <w:suppressLineNumbers/>
        <w:adjustRightInd w:val="0"/>
        <w:snapToGrid w:val="0"/>
        <w:spacing w:line="480" w:lineRule="auto"/>
        <w:rPr>
          <w:rFonts w:ascii="Times New Roman" w:hAnsi="Times New Roman" w:eastAsia="等线"/>
          <w:sz w:val="26"/>
          <w:szCs w:val="26"/>
        </w:rPr>
      </w:pPr>
      <w:r>
        <w:rPr>
          <w:rFonts w:ascii="Times New Roman" w:hAnsi="Times New Roman" w:eastAsia="等线"/>
          <w:sz w:val="26"/>
          <w:szCs w:val="26"/>
        </w:rPr>
        <w:t>Weidong Li</w:t>
      </w:r>
      <w:r>
        <w:rPr>
          <w:rFonts w:ascii="Times New Roman" w:hAnsi="Times New Roman" w:eastAsia="等线"/>
          <w:sz w:val="26"/>
          <w:szCs w:val="26"/>
          <w:vertAlign w:val="superscript"/>
        </w:rPr>
        <w:t>1</w:t>
      </w:r>
      <w:r>
        <w:rPr>
          <w:rFonts w:ascii="Times New Roman" w:hAnsi="Times New Roman" w:eastAsia="等线"/>
          <w:sz w:val="26"/>
          <w:szCs w:val="26"/>
        </w:rPr>
        <w:t>, Jian Yang</w:t>
      </w:r>
      <w:r>
        <w:rPr>
          <w:rFonts w:ascii="Times New Roman" w:hAnsi="Times New Roman" w:eastAsia="等线"/>
          <w:sz w:val="26"/>
          <w:szCs w:val="26"/>
          <w:vertAlign w:val="superscript"/>
        </w:rPr>
        <w:t>1</w:t>
      </w:r>
      <w:r>
        <w:rPr>
          <w:rFonts w:ascii="Times New Roman" w:hAnsi="Times New Roman" w:eastAsia="等线"/>
          <w:sz w:val="26"/>
          <w:szCs w:val="26"/>
        </w:rPr>
        <w:t xml:space="preserve">, </w:t>
      </w:r>
      <w:r>
        <w:rPr>
          <w:rFonts w:hint="eastAsia" w:ascii="Times New Roman" w:hAnsi="Times New Roman" w:eastAsia="等线"/>
          <w:sz w:val="26"/>
          <w:szCs w:val="26"/>
        </w:rPr>
        <w:t>Yuxiang</w:t>
      </w:r>
      <w:r>
        <w:rPr>
          <w:rFonts w:ascii="Times New Roman" w:hAnsi="Times New Roman" w:eastAsia="等线"/>
          <w:sz w:val="26"/>
          <w:szCs w:val="26"/>
        </w:rPr>
        <w:t xml:space="preserve"> </w:t>
      </w:r>
      <w:bookmarkStart w:id="0" w:name="OLE_LINK13"/>
      <w:r>
        <w:rPr>
          <w:rFonts w:hint="eastAsia" w:ascii="Times New Roman" w:hAnsi="Times New Roman" w:eastAsia="等线"/>
          <w:sz w:val="26"/>
          <w:szCs w:val="26"/>
        </w:rPr>
        <w:t>Chen</w:t>
      </w:r>
      <w:bookmarkEnd w:id="0"/>
      <w:r>
        <w:rPr>
          <w:rFonts w:ascii="Times New Roman" w:hAnsi="Times New Roman" w:eastAsia="等线"/>
          <w:sz w:val="26"/>
          <w:szCs w:val="26"/>
          <w:vertAlign w:val="superscript"/>
        </w:rPr>
        <w:t>1</w:t>
      </w:r>
      <w:r>
        <w:rPr>
          <w:rFonts w:ascii="Times New Roman" w:hAnsi="Times New Roman" w:eastAsia="等线"/>
          <w:sz w:val="26"/>
          <w:szCs w:val="26"/>
        </w:rPr>
        <w:t>, Ning Xu</w:t>
      </w:r>
      <w:r>
        <w:rPr>
          <w:rFonts w:ascii="Times New Roman" w:hAnsi="Times New Roman" w:eastAsia="等线"/>
          <w:sz w:val="26"/>
          <w:szCs w:val="26"/>
          <w:vertAlign w:val="superscript"/>
        </w:rPr>
        <w:t>2</w:t>
      </w:r>
      <w:r>
        <w:rPr>
          <w:rFonts w:ascii="Times New Roman" w:hAnsi="Times New Roman" w:eastAsia="等线"/>
          <w:sz w:val="26"/>
          <w:szCs w:val="26"/>
        </w:rPr>
        <w:t>, Jun Liu</w:t>
      </w:r>
      <w:r>
        <w:rPr>
          <w:rFonts w:ascii="Times New Roman" w:hAnsi="Times New Roman" w:eastAsia="等线"/>
          <w:sz w:val="26"/>
          <w:szCs w:val="26"/>
          <w:vertAlign w:val="superscript"/>
        </w:rPr>
        <w:t>2</w:t>
      </w:r>
      <w:r>
        <w:rPr>
          <w:rFonts w:ascii="Times New Roman" w:hAnsi="Times New Roman" w:eastAsia="等线"/>
          <w:sz w:val="26"/>
          <w:szCs w:val="26"/>
        </w:rPr>
        <w:t>, Jian Wang</w:t>
      </w:r>
      <w:r>
        <w:rPr>
          <w:rStyle w:val="17"/>
          <w:rFonts w:ascii="Times New Roman" w:hAnsi="Times New Roman" w:eastAsia="等线"/>
          <w:sz w:val="26"/>
          <w:szCs w:val="26"/>
        </w:rPr>
        <w:footnoteReference w:id="0"/>
      </w:r>
      <w:r>
        <w:rPr>
          <w:rFonts w:ascii="Times New Roman" w:hAnsi="Times New Roman" w:eastAsia="等线"/>
          <w:sz w:val="26"/>
          <w:szCs w:val="26"/>
          <w:vertAlign w:val="superscript"/>
        </w:rPr>
        <w:t>*</w:t>
      </w:r>
    </w:p>
    <w:p>
      <w:pPr>
        <w:adjustRightInd w:val="0"/>
        <w:snapToGrid w:val="0"/>
        <w:spacing w:line="480" w:lineRule="auto"/>
        <w:rPr>
          <w:rFonts w:ascii="Times New Roman" w:hAnsi="Times New Roman"/>
          <w:vertAlign w:val="superscript"/>
        </w:rPr>
      </w:pPr>
    </w:p>
    <w:p>
      <w:pPr>
        <w:suppressLineNumbers/>
        <w:adjustRightInd w:val="0"/>
        <w:snapToGrid w:val="0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College of Biological and Agricultural Engineering, Jilin University, Changchun 130118, China,</w:t>
      </w:r>
    </w:p>
    <w:p>
      <w:pPr>
        <w:suppressLineNumbers/>
        <w:adjustRightInd w:val="0"/>
        <w:snapToGrid w:val="0"/>
        <w:spacing w:line="480" w:lineRule="auto"/>
        <w:rPr>
          <w:rFonts w:ascii="Times New Roman" w:hAnsi="Times New Roman"/>
        </w:rPr>
      </w:pPr>
      <w:bookmarkStart w:id="1" w:name="_Hlk94969178"/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Tianjin Institute of Industrial Biotechnology, Chinese Academy of Sciences, Tianjin 300308, China,</w:t>
      </w:r>
    </w:p>
    <w:p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>
      <w:pPr>
        <w:rPr>
          <w:rFonts w:ascii="Times New Roman" w:hAnsi="Times New Roman" w:eastAsia="等线"/>
          <w:i/>
          <w:iCs/>
        </w:rPr>
      </w:pPr>
      <w:r>
        <w:rPr>
          <w:rFonts w:ascii="Times New Roman" w:hAnsi="Times New Roman"/>
        </w:rPr>
        <w:t>Running title:</w:t>
      </w:r>
      <w:r>
        <w:rPr>
          <w:rFonts w:ascii="Times New Roman" w:hAnsi="Times New Roman" w:eastAsia="等线"/>
          <w:b/>
          <w:sz w:val="28"/>
          <w:szCs w:val="28"/>
        </w:rPr>
        <w:t xml:space="preserve"> </w:t>
      </w:r>
      <w:r>
        <w:rPr>
          <w:rFonts w:ascii="Times New Roman" w:hAnsi="Times New Roman" w:eastAsia="等线"/>
        </w:rPr>
        <w:t xml:space="preserve">Roles of </w:t>
      </w:r>
      <w:r>
        <w:rPr>
          <w:rFonts w:ascii="Times New Roman" w:hAnsi="Times New Roman" w:eastAsia="等线"/>
          <w:i/>
        </w:rPr>
        <w:t>fas</w:t>
      </w:r>
      <w:r>
        <w:rPr>
          <w:rFonts w:ascii="Times New Roman" w:hAnsi="Times New Roman" w:eastAsia="等线"/>
        </w:rPr>
        <w:t xml:space="preserve">R and </w:t>
      </w:r>
      <w:r>
        <w:rPr>
          <w:rFonts w:ascii="Times New Roman" w:hAnsi="Times New Roman" w:eastAsia="等线"/>
          <w:i/>
        </w:rPr>
        <w:t>hrc</w:t>
      </w:r>
      <w:r>
        <w:rPr>
          <w:rFonts w:ascii="Times New Roman" w:hAnsi="Times New Roman" w:eastAsia="等线"/>
        </w:rPr>
        <w:t>A in the heat tolerance</w:t>
      </w:r>
      <w:r>
        <w:rPr>
          <w:rFonts w:ascii="Times New Roman" w:hAnsi="Times New Roman" w:eastAsia="等线"/>
          <w:iCs/>
        </w:rPr>
        <w:t xml:space="preserve"> of </w:t>
      </w:r>
      <w:r>
        <w:rPr>
          <w:rFonts w:ascii="Times New Roman" w:hAnsi="Times New Roman" w:eastAsia="等线"/>
          <w:i/>
          <w:iCs/>
        </w:rPr>
        <w:t>C</w:t>
      </w:r>
      <w:r>
        <w:rPr>
          <w:rFonts w:hint="eastAsia" w:ascii="Times New Roman" w:hAnsi="Times New Roman" w:eastAsia="等线"/>
          <w:i/>
          <w:iCs/>
        </w:rPr>
        <w:t xml:space="preserve">. </w:t>
      </w:r>
      <w:r>
        <w:rPr>
          <w:rFonts w:ascii="Times New Roman" w:hAnsi="Times New Roman" w:eastAsia="等线"/>
          <w:i/>
          <w:iCs/>
        </w:rPr>
        <w:t>glutamate</w:t>
      </w:r>
      <w:bookmarkEnd w:id="1"/>
    </w:p>
    <w:p>
      <w:pPr>
        <w:rPr>
          <w:rFonts w:ascii="Times New Roman" w:hAnsi="Times New Roman" w:eastAsia="等线"/>
          <w:i/>
          <w:iCs/>
        </w:rPr>
      </w:pPr>
    </w:p>
    <w:p>
      <w:pPr>
        <w:rPr>
          <w:rFonts w:ascii="Times New Roman" w:hAnsi="Times New Roman" w:eastAsia="等线"/>
          <w:i/>
          <w:iCs/>
        </w:rPr>
      </w:pPr>
    </w:p>
    <w:p>
      <w:pPr>
        <w:rPr>
          <w:rFonts w:ascii="Times New Roman" w:hAnsi="Times New Roman" w:eastAsia="等线"/>
          <w:i/>
          <w:iCs/>
        </w:rPr>
      </w:pPr>
    </w:p>
    <w:p>
      <w:pPr>
        <w:rPr>
          <w:rFonts w:ascii="Times New Roman" w:hAnsi="Times New Roman" w:eastAsia="等线"/>
          <w:i/>
          <w:iCs/>
        </w:rPr>
      </w:pPr>
    </w:p>
    <w:p>
      <w:pPr>
        <w:pStyle w:val="1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Supplementary material</w:t>
      </w:r>
    </w:p>
    <w:p>
      <w:pPr>
        <w:rPr>
          <w:rFonts w:ascii="Times New Roman" w:hAnsi="Times New Roman" w:eastAsia="等线"/>
          <w:i/>
          <w:iCs/>
        </w:rPr>
      </w:pPr>
    </w:p>
    <w:p>
      <w:pPr>
        <w:rPr>
          <w:rFonts w:ascii="Times New Roman" w:hAnsi="Times New Roman" w:eastAsia="等线"/>
          <w:i/>
          <w:iCs/>
        </w:rPr>
      </w:pPr>
    </w:p>
    <w:p>
      <w:pPr>
        <w:adjustRightInd w:val="0"/>
        <w:snapToGrid w:val="0"/>
        <w:spacing w:line="480" w:lineRule="auto"/>
        <w:outlineLvl w:val="2"/>
        <w:rPr>
          <w:rFonts w:ascii="Times New Roman" w:hAnsi="Times New Roman"/>
          <w:b/>
          <w:bCs/>
          <w:sz w:val="26"/>
          <w:szCs w:val="26"/>
          <w:lang w:eastAsia="en-US"/>
        </w:rPr>
        <w:sectPr>
          <w:footerReference r:id="rId4" w:type="default"/>
          <w:pgSz w:w="11906" w:h="16838"/>
          <w:pgMar w:top="1440" w:right="1701" w:bottom="1440" w:left="1701" w:header="851" w:footer="992" w:gutter="0"/>
          <w:lnNumType w:countBy="0" w:restart="newSection"/>
          <w:cols w:space="720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line="480" w:lineRule="auto"/>
        <w:jc w:val="left"/>
        <w:rPr>
          <w:rFonts w:hint="eastAsia" w:ascii="Arial" w:hAnsi="Arial" w:eastAsia="宋体" w:cs="Arial"/>
          <w:b/>
          <w:bCs/>
          <w:kern w:val="0"/>
          <w:sz w:val="22"/>
          <w:szCs w:val="22"/>
          <w:lang w:eastAsia="zh-CN"/>
        </w:rPr>
      </w:pPr>
      <w:r>
        <w:rPr>
          <w:rFonts w:hint="default" w:ascii="Arial" w:hAnsi="Arial" w:eastAsia="宋体" w:cs="Arial"/>
          <w:b/>
          <w:bCs/>
          <w:kern w:val="0"/>
          <w:sz w:val="22"/>
          <w:szCs w:val="22"/>
        </w:rPr>
        <w:t>Fig</w:t>
      </w:r>
      <w:r>
        <w:rPr>
          <w:rFonts w:hint="eastAsia" w:ascii="Arial" w:hAnsi="Arial" w:eastAsia="宋体" w:cs="Arial"/>
          <w:b/>
          <w:bCs/>
          <w:kern w:val="0"/>
          <w:sz w:val="22"/>
          <w:szCs w:val="22"/>
          <w:lang w:val="en-US" w:eastAsia="zh-CN"/>
        </w:rPr>
        <w:t>.</w:t>
      </w:r>
      <w:r>
        <w:rPr>
          <w:rFonts w:hint="default" w:ascii="Arial" w:hAnsi="Arial" w:eastAsia="宋体" w:cs="Arial"/>
          <w:b/>
          <w:bCs/>
          <w:kern w:val="0"/>
          <w:sz w:val="22"/>
          <w:szCs w:val="22"/>
        </w:rPr>
        <w:t xml:space="preserve"> S1.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114300" distR="114300">
            <wp:extent cx="4455795" cy="2511425"/>
            <wp:effectExtent l="0" t="0" r="952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55795" cy="251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b/>
          <w:sz w:val="28"/>
          <w:szCs w:val="28"/>
        </w:rPr>
      </w:pPr>
      <w:r>
        <w:rPr>
          <w:rFonts w:ascii="Times New Roman" w:hAnsi="Times New Roman"/>
          <w:i/>
          <w:iCs/>
          <w:kern w:val="0"/>
          <w:sz w:val="21"/>
          <w:szCs w:val="21"/>
        </w:rPr>
        <w:t>Cell growth curves of the bacterial strains acquired from the evolution experiment and wild-type controls at 32</w:t>
      </w:r>
      <w:r>
        <w:rPr>
          <w:rFonts w:hint="eastAsia" w:ascii="宋体" w:hAnsi="宋体" w:eastAsia="宋体" w:cs="宋体"/>
          <w:i/>
          <w:iCs/>
          <w:kern w:val="0"/>
          <w:sz w:val="21"/>
          <w:szCs w:val="21"/>
          <w:lang w:eastAsia="ja-JP"/>
        </w:rPr>
        <w:t>℃</w:t>
      </w:r>
      <w:r>
        <w:rPr>
          <w:rFonts w:ascii="Times New Roman" w:hAnsi="Times New Roman"/>
          <w:i/>
          <w:iCs/>
          <w:kern w:val="0"/>
          <w:sz w:val="21"/>
          <w:szCs w:val="21"/>
        </w:rPr>
        <w:t>.</w:t>
      </w:r>
    </w:p>
    <w:p>
      <w:pPr>
        <w:autoSpaceDE w:val="0"/>
        <w:autoSpaceDN w:val="0"/>
        <w:adjustRightInd w:val="0"/>
        <w:snapToGrid w:val="0"/>
        <w:spacing w:line="480" w:lineRule="auto"/>
        <w:jc w:val="left"/>
        <w:rPr>
          <w:rFonts w:hint="default" w:ascii="Arial" w:hAnsi="Arial" w:eastAsia="宋体" w:cs="Arial"/>
          <w:b/>
          <w:bCs/>
          <w:kern w:val="0"/>
          <w:sz w:val="22"/>
          <w:szCs w:val="2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line="480" w:lineRule="auto"/>
        <w:jc w:val="left"/>
        <w:rPr>
          <w:rFonts w:hint="eastAsia" w:ascii="Arial" w:hAnsi="Arial" w:eastAsia="宋体" w:cs="Arial"/>
          <w:b/>
          <w:bCs/>
          <w:kern w:val="0"/>
          <w:sz w:val="22"/>
          <w:szCs w:val="22"/>
          <w:lang w:eastAsia="zh-CN"/>
        </w:rPr>
      </w:pPr>
      <w:r>
        <w:rPr>
          <w:rFonts w:hint="default" w:ascii="Arial" w:hAnsi="Arial" w:eastAsia="宋体" w:cs="Arial"/>
          <w:b/>
          <w:bCs/>
          <w:kern w:val="0"/>
          <w:sz w:val="22"/>
          <w:szCs w:val="22"/>
        </w:rPr>
        <w:t>Fig</w:t>
      </w:r>
      <w:r>
        <w:rPr>
          <w:rFonts w:hint="eastAsia" w:ascii="Arial" w:hAnsi="Arial" w:eastAsia="宋体" w:cs="Arial"/>
          <w:b/>
          <w:bCs/>
          <w:kern w:val="0"/>
          <w:sz w:val="22"/>
          <w:szCs w:val="22"/>
          <w:lang w:val="en-US" w:eastAsia="zh-CN"/>
        </w:rPr>
        <w:t>.</w:t>
      </w:r>
      <w:r>
        <w:rPr>
          <w:rFonts w:hint="default" w:ascii="Arial" w:hAnsi="Arial" w:eastAsia="宋体" w:cs="Arial"/>
          <w:b/>
          <w:bCs/>
          <w:kern w:val="0"/>
          <w:sz w:val="22"/>
          <w:szCs w:val="22"/>
        </w:rPr>
        <w:t xml:space="preserve"> S2</w:t>
      </w:r>
      <w:r>
        <w:rPr>
          <w:rFonts w:hint="eastAsia" w:ascii="Arial" w:hAnsi="Arial" w:eastAsia="宋体" w:cs="Arial"/>
          <w:b/>
          <w:bCs/>
          <w:kern w:val="0"/>
          <w:sz w:val="22"/>
          <w:szCs w:val="22"/>
          <w:lang w:val="en-US" w:eastAsia="zh-CN"/>
        </w:rPr>
        <w:t>.</w:t>
      </w: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drawing>
          <wp:inline distT="0" distB="0" distL="114300" distR="114300">
            <wp:extent cx="5274310" cy="3597910"/>
            <wp:effectExtent l="0" t="0" r="13970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480" w:lineRule="auto"/>
        <w:rPr>
          <w:rFonts w:ascii="Times New Roman" w:hAnsi="Times New Roman" w:eastAsia="等线"/>
          <w:i/>
          <w:iCs/>
          <w:sz w:val="21"/>
          <w:szCs w:val="21"/>
        </w:rPr>
      </w:pPr>
      <w:r>
        <w:rPr>
          <w:rFonts w:ascii="Times New Roman" w:hAnsi="Times New Roman" w:eastAsia="等线"/>
          <w:i/>
          <w:iCs/>
          <w:sz w:val="21"/>
          <w:szCs w:val="21"/>
        </w:rPr>
        <w:t>Growth assays of the wild-type and specific point mutant strains based on the pXMJ-19 plasmid (A) or genomic mutagenesis (B), (C) at normal temperature.</w:t>
      </w:r>
    </w:p>
    <w:p>
      <w:pPr>
        <w:rPr>
          <w:b/>
          <w:sz w:val="18"/>
          <w:szCs w:val="1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b/>
          <w:sz w:val="18"/>
          <w:szCs w:val="18"/>
        </w:rPr>
      </w:pPr>
      <w:bookmarkStart w:id="2" w:name="_GoBack"/>
      <w:bookmarkEnd w:id="2"/>
      <w:r>
        <w:rPr>
          <w:b/>
          <w:sz w:val="18"/>
          <w:szCs w:val="18"/>
        </w:rPr>
        <w:t>Table S1 Primers used for gene disruption and plasmid construction</w:t>
      </w:r>
    </w:p>
    <w:tbl>
      <w:tblPr>
        <w:tblStyle w:val="15"/>
        <w:tblW w:w="822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567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tcBorders>
              <w:top w:val="single" w:color="auto" w:sz="4" w:space="0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Primer names and purpose</w:t>
            </w:r>
          </w:p>
        </w:tc>
        <w:tc>
          <w:tcPr>
            <w:tcW w:w="5670" w:type="dxa"/>
            <w:tcBorders>
              <w:top w:val="single" w:color="auto" w:sz="4" w:space="0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Sequence (5’-3’)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vertAlign w:val="superscript"/>
              </w:rPr>
              <w:t>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Amplification of pXMJ19 backbone</w:t>
            </w:r>
          </w:p>
        </w:tc>
        <w:tc>
          <w:tcPr>
            <w:tcW w:w="5670" w:type="dxa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pXMJ19-F-BsaI</w:t>
            </w:r>
          </w:p>
        </w:tc>
        <w:tc>
          <w:tcPr>
            <w:tcW w:w="5670" w:type="dxa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TCAGT</w:t>
            </w:r>
            <w:r>
              <w:rPr>
                <w:rFonts w:hint="default" w:ascii="Times New Roman" w:hAnsi="Times New Roman" w:cs="Times New Roman"/>
                <w:sz w:val="16"/>
                <w:szCs w:val="16"/>
                <w:u w:val="single"/>
              </w:rPr>
              <w:t>GAATTC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AGGATAGCTTGGCTGTTTTGGCGGATGAGAGAAG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tcBorders>
              <w:top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pXMJ19-R-BsaI</w:t>
            </w:r>
          </w:p>
        </w:tc>
        <w:tc>
          <w:tcPr>
            <w:tcW w:w="5670" w:type="dxa"/>
            <w:tcBorders>
              <w:top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TCAGT</w:t>
            </w:r>
            <w:r>
              <w:rPr>
                <w:rFonts w:hint="default" w:ascii="Times New Roman" w:hAnsi="Times New Roman" w:cs="Times New Roman"/>
                <w:sz w:val="16"/>
                <w:szCs w:val="16"/>
                <w:u w:val="single"/>
              </w:rPr>
              <w:t>GGATCC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AAAGCAATTCTGTTTCCTGTGTGAAATTGTTATCCG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Expression of genes on plasmid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rp1D-HindIII-F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CTCAGAAGCTTCTTTAAGAAGGAGATATACATATGACGAATCTGAAGCTG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rp1D-BamHI-R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CTCAGGGATCCTTAGTTCTGCTCCTCCTGTGCC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cg0892-HindIII-F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TCAGTAAGCTTCTTTAAGAAGGAGATATACATTTGCCTTGTAGATTGG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cg0892-KpnI-R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TCAGTGGTACCTTAGTTCTTGTCGGAGGTTCCTTCAG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cspB-F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CACTACTGGTCTCAGCTTCTTTAAGAAGGAGATATACATGTGCCTGTCGGAACAGTGAAGTG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cspB-R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CACTACTGGTCTCAATCCTTAAGACTCAAGCTCCTTCGCAACAACGC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gltA-HindIII-F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CTCAGAAGCTTCTTTAAGAAGGAGATATACATATGTTTGAAAGGGATATCG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gltA-BamHI-R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CTCAGGGATCCTTAGCGCTCCTCGCG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leuC-F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CACTACTGGTCTCAGCTTCTTTAAGAAGGAGATATACATATGACCAGCCCCGTGGAGAACAG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leuC-R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CACTACTGGTCTCAATCCTTAGATATCTGCAGGTGAGGACAGGGTGCC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cg2066-F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CACTACTGGTCTCAGCTTCTTTAAGAAGGAGATATACATATGAACAAGACTGATGAAGCTTTCC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cg2066-R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CACTACTGGTCTCAATCCCTATGGTTGATAGCGATTAGCAACAAATAGCAC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cg2106-F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CACTACTGGTCTCAGCTTCTTTAAGAAGGAGATATACATATGTCGGATAACAATGATCGTATG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cg2106-R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CACTACTGGTCTCAATCCTTAAGCTTCCGGAGTTTCTTTGTGATCC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hrcA-F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CACTACTGGTCTCAGCTTCTTTAAGAAGGAGATATACATATGGTGAGTGCAACAGAGAAAC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hrcA-R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CACTACTGGTCTCAATCCCTATTCGCCAGCGAGCACAC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cg2614-F-BsaI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CACTACTGGTCTCAGCTTCTTTAAGAAGGAGATATACATATGGCGACATCACGTCGAG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cg2614-R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CACTACTGGTCTCAATCCTTAGTTTTCGAACACGTCCGTAT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fasR-F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CACTACTGGTCTCAGCTTCTTTAAGAAGGAGATATACATATGCCTCGCCGCCGTC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fasR-R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CACTACTGGTCTCAATCCCTATCCAGTAGCCACGGAGAAGAGGTAAG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cg3078-F 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CACTACTGGTCTCAGCTTCTTTAAGAAGGAGATATACATGTGGGCAAGCAGGAAAAG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cg3078-R 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CACTACTGGTCTCAATCCCTATAACGCCCTGAAAATTACCCCCTGAG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dnaK-HindIII-F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CTCAGAAGCTTCTTTAAGAAGGAGATATACATATGGGACGTGCAGTAG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dnaK-BamHI-R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CTCAGGGATCCTTACTTCTTGTCCTCACCATTGTCAGC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Expression of genes in the genomic DNA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cspB-F-Q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AGCTCAAGGATCCTTTACCGCGATGCTTGCGGTGTAT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cspB-R-Q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AGCTATATCTAGAAAGCCCTTACACCGTCACGTGGT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gltA-F-BamHI-Q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ATCGATGGATCCGTGTCGAGTAACAAAAACTGACATGCG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gltA-R-XbaI-Q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AGCTAGTCTAGACGTATTTTTTGGTTTCATGCAAAAACGGCCG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cg2066-F-BamHI-Q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ATCGATGGATCCTTCTTTCTTAGGGCTTAAGGCTTGAAGC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cg2066-R-XabI-Q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AGCTAGTCTAGAAATTACCCCACACACTTAGACACAGCAAAACC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hrcA-F-BamHI-Q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ATCTACGGATCCCAACCTGGCGGTGACCGATG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hrcA-R-XbaI-Q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ATCGCGTCTAGACGACGCCGAGAATGCCGTAATAGTCACG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fasR-F-BamHI-Q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ATCTATGGATCCCGTCCGCGAAATCACCGC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fasR-R-XbaI-Q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ATCGAGTCTAGACCCGAATTGGCCGCAGTGGTC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cg3078-F-BamHI-Q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ATCATAGGATCCGGAACTGCTGGCAGGCAAC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cg3078-R-XbaI-Q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CGACGCTCTAGAGGATCTATTAAGTACATTTAAGAGTACTTCACTTTGAATCGTTGTTCTGG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Gene knock-out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hrcA-F-W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AGCTCGGTACCCGGGGATCCTTTGGCATTGCGGATGGTGCGGAAGT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hrcA-2R-W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GCGAGCACACGACCAACATAGTATCTACGTTTCTCTGTTG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hrcA-3F-W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CAACAGAGAAACGTAGATACTATGTTGGTCGTGTGCTCGC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hrcA-4R-W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GCCTGCAGGTCGACTCTAGACATTGGAACCTTGATGCTGGCGTGCA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fasR-F-W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AATTCGAGCTCGGTACCCGGGGATCCACGCCCAGGAGCACCTTCTG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fasR-2R-W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GCCACGGAGAAGAGGTAAGAGCGCTGCTGTGCCGGACGGC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fasR-3F-W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GCCGTCCGGCACAGCAGCGCTCTTACCTCTTCTCCGTGGC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fasR-4R-W</w:t>
            </w:r>
          </w:p>
        </w:tc>
        <w:tc>
          <w:tcPr>
            <w:tcW w:w="56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TTGCATGCCTGCAGGTCGACTCTAGACGCGGGTCTAGTGCTGTTGC</w:t>
            </w:r>
          </w:p>
        </w:tc>
      </w:tr>
    </w:tbl>
    <w:p/>
    <w:p>
      <w:pPr>
        <w:rPr>
          <w:b/>
          <w:sz w:val="18"/>
          <w:szCs w:val="1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>Table S2 Primers used for qRT-PCR in this study</w:t>
      </w:r>
    </w:p>
    <w:tbl>
      <w:tblPr>
        <w:tblStyle w:val="15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539"/>
        <w:gridCol w:w="3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Primers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Sequence (5’-3’)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368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Description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cg0690-F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AGCCGCTTGAGGACAAGATC</w:t>
            </w:r>
          </w:p>
        </w:tc>
        <w:tc>
          <w:tcPr>
            <w:tcW w:w="368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For the amplification of the </w:t>
            </w: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 xml:space="preserve">cg0690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gene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cg0690-R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GTACTCCACGCCACCGAACT</w:t>
            </w:r>
          </w:p>
        </w:tc>
        <w:tc>
          <w:tcPr>
            <w:tcW w:w="368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cg0691-F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TGGCAAACGCTGTCAAGGTA</w:t>
            </w:r>
          </w:p>
        </w:tc>
        <w:tc>
          <w:tcPr>
            <w:tcW w:w="368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For the amplification of the </w:t>
            </w: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 xml:space="preserve">cg0691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gene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cg0691-R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GCAGAGTTGCAGTCGTGGTG</w:t>
            </w:r>
          </w:p>
        </w:tc>
        <w:tc>
          <w:tcPr>
            <w:tcW w:w="368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cg0693-F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TTCCCTCCCAGACTTCCTCC</w:t>
            </w:r>
          </w:p>
        </w:tc>
        <w:tc>
          <w:tcPr>
            <w:tcW w:w="368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For the amplification of the </w:t>
            </w: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 xml:space="preserve">cg0693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gene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cg0693-R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GTCATCCATGAACGCCTTGC</w:t>
            </w:r>
          </w:p>
        </w:tc>
        <w:tc>
          <w:tcPr>
            <w:tcW w:w="368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cg3011-F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AAGGCAATGTACGCAGTTGG</w:t>
            </w:r>
          </w:p>
        </w:tc>
        <w:tc>
          <w:tcPr>
            <w:tcW w:w="368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For the amplification of the </w:t>
            </w: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 xml:space="preserve">cg3011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gene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cg3011-R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TGGGAGCAGGTCCTTGATGT</w:t>
            </w:r>
          </w:p>
        </w:tc>
        <w:tc>
          <w:tcPr>
            <w:tcW w:w="368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cg3100-F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ACCAGACCCGCAAGTTCGTT</w:t>
            </w:r>
          </w:p>
        </w:tc>
        <w:tc>
          <w:tcPr>
            <w:tcW w:w="368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For the amplification of the </w:t>
            </w: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 xml:space="preserve">cg3100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gene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cg3100-R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AGCAGCGTCAGCCTCGTAGA</w:t>
            </w:r>
          </w:p>
        </w:tc>
        <w:tc>
          <w:tcPr>
            <w:tcW w:w="368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cg0480-F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GCAGACAAGCCAGCCACCTA</w:t>
            </w:r>
          </w:p>
        </w:tc>
        <w:tc>
          <w:tcPr>
            <w:tcW w:w="368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For the amplification of the </w:t>
            </w: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 xml:space="preserve">cg0480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gene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cg0480-R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AAGGGTTCGAGCAGTTCGTG</w:t>
            </w:r>
          </w:p>
        </w:tc>
        <w:tc>
          <w:tcPr>
            <w:tcW w:w="368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cg0802-F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AGGAACCAGTAAAAGACGCAGCAG</w:t>
            </w:r>
          </w:p>
        </w:tc>
        <w:tc>
          <w:tcPr>
            <w:tcW w:w="368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For the amplification of the </w:t>
            </w: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cg0802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gene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cg0802-R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CGATGACCTGAGCCTCAACG</w:t>
            </w:r>
          </w:p>
        </w:tc>
        <w:tc>
          <w:tcPr>
            <w:tcW w:w="368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cg0812-F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CGACTTCGTGGTCATGGTGG</w:t>
            </w:r>
          </w:p>
        </w:tc>
        <w:tc>
          <w:tcPr>
            <w:tcW w:w="368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For the amplification of the </w:t>
            </w: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cg0812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gene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cg0812-R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CGGTGCGTAGGAGCGATTGT</w:t>
            </w:r>
          </w:p>
        </w:tc>
        <w:tc>
          <w:tcPr>
            <w:tcW w:w="368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cg0825-F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AGGACATCACCATTGAGCGTT</w:t>
            </w:r>
          </w:p>
        </w:tc>
        <w:tc>
          <w:tcPr>
            <w:tcW w:w="368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For the amplification of the </w:t>
            </w: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 xml:space="preserve">cg0825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gene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cg0825-R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ACGTGCGAGTCAAGGACAGC</w:t>
            </w:r>
          </w:p>
        </w:tc>
        <w:tc>
          <w:tcPr>
            <w:tcW w:w="368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cg0957-F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TTACCCAACTCAGGACCCAACC</w:t>
            </w:r>
          </w:p>
        </w:tc>
        <w:tc>
          <w:tcPr>
            <w:tcW w:w="368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For the amplification of the </w:t>
            </w: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 xml:space="preserve">cg0957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gene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cg0957-R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GCGGCACAGACCAATAAACCAC</w:t>
            </w:r>
          </w:p>
        </w:tc>
        <w:tc>
          <w:tcPr>
            <w:tcW w:w="368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cg2743-F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TGGAAACCCACATCGCACAG</w:t>
            </w:r>
          </w:p>
        </w:tc>
        <w:tc>
          <w:tcPr>
            <w:tcW w:w="3685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For the amplification of the </w:t>
            </w: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 xml:space="preserve">cg2743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gene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/>
                <w:sz w:val="16"/>
                <w:szCs w:val="16"/>
              </w:rPr>
              <w:t>cg2743-R</w:t>
            </w:r>
          </w:p>
        </w:tc>
        <w:tc>
          <w:tcPr>
            <w:tcW w:w="35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AAGGGAAACCATCACGCATC</w:t>
            </w:r>
          </w:p>
        </w:tc>
        <w:tc>
          <w:tcPr>
            <w:tcW w:w="3685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16205" cy="1397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9.1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AYulhTQAAAAAwEAAA8AAAAAAAAAAQAgAAAAIgAAAGRycy9kb3du&#10;cmV2LnhtbFBLAQIUABQAAAAIAIdO4kBNZi0PzgEAAJcDAAAOAAAAAAAAAAEAIAAAAB8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>
      <w:pPr>
        <w:suppressLineNumbers/>
        <w:adjustRightInd w:val="0"/>
        <w:snapToGrid w:val="0"/>
        <w:rPr>
          <w:rFonts w:hint="eastAsia" w:ascii="Times New Roman" w:hAnsi="Times New Roman"/>
          <w:b/>
          <w:bCs/>
        </w:rPr>
      </w:pPr>
      <w:r>
        <w:rPr>
          <w:rStyle w:val="17"/>
        </w:rPr>
        <w:footnoteRef/>
      </w:r>
      <w:r>
        <w:rPr>
          <w:rFonts w:ascii="Times New Roman" w:hAnsi="Times New Roman" w:eastAsia="等线"/>
          <w:sz w:val="26"/>
          <w:szCs w:val="26"/>
          <w:vertAlign w:val="superscript"/>
        </w:rPr>
        <w:t>*</w:t>
      </w:r>
      <w:r>
        <w:t xml:space="preserve"> </w:t>
      </w:r>
      <w:r>
        <w:rPr>
          <w:rFonts w:hint="eastAsia" w:ascii="Times New Roman" w:hAnsi="Times New Roman"/>
          <w:b/>
          <w:bCs/>
        </w:rPr>
        <w:t xml:space="preserve">Corresponding author: </w:t>
      </w:r>
      <w:r>
        <w:rPr>
          <w:rFonts w:ascii="Times New Roman" w:hAnsi="Times New Roman" w:eastAsia="等线"/>
        </w:rPr>
        <w:t>Jian Wang</w:t>
      </w:r>
    </w:p>
    <w:p>
      <w:pPr>
        <w:suppressLineNumbers/>
        <w:adjustRightInd w:val="0"/>
        <w:snapToGrid w:val="0"/>
        <w:rPr>
          <w:rFonts w:ascii="Times New Roman" w:hAnsi="Times New Roman"/>
        </w:rPr>
      </w:pPr>
      <w:r>
        <w:rPr>
          <w:rFonts w:hint="eastAsia" w:ascii="Times New Roman" w:hAnsi="Times New Roman"/>
          <w:b/>
          <w:bCs/>
        </w:rPr>
        <w:t xml:space="preserve">Email: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HYPERLINK "mailto:wangjian99@jlu.edu.cn" 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wangjian99@jlu.edu.cn</w:t>
      </w:r>
      <w:r>
        <w:rPr>
          <w:rFonts w:ascii="Times New Roman" w:hAnsi="Times New Roman"/>
        </w:rPr>
        <w:fldChar w:fldCharType="end"/>
      </w:r>
    </w:p>
    <w:p>
      <w:pPr>
        <w:pStyle w:val="12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493C02"/>
    <w:multiLevelType w:val="multilevel"/>
    <w:tmpl w:val="81493C02"/>
    <w:lvl w:ilvl="0" w:tentative="0">
      <w:start w:val="1"/>
      <w:numFmt w:val="decimal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default" w:ascii="宋体" w:hAnsi="宋体" w:eastAsia="宋体" w:cs="宋体"/>
        <w:b/>
        <w:bCs/>
        <w:color w:val="000000" w:themeColor="text1"/>
        <w:sz w:val="30"/>
        <w:szCs w:val="30"/>
        <w14:textFill>
          <w14:solidFill>
            <w14:schemeClr w14:val="tx1"/>
          </w14:solidFill>
        </w14:textFill>
      </w:rPr>
    </w:lvl>
    <w:lvl w:ilvl="1" w:tentative="0">
      <w:start w:val="1"/>
      <w:numFmt w:val="decimal"/>
      <w:pStyle w:val="3"/>
      <w:isLgl/>
      <w:lvlText w:val="%1.%2"/>
      <w:lvlJc w:val="left"/>
      <w:pPr>
        <w:ind w:left="575" w:hanging="575"/>
      </w:pPr>
      <w:rPr>
        <w:rFonts w:hint="default" w:ascii="宋体" w:hAnsi="宋体" w:eastAsia="黑体" w:cs="宋体"/>
        <w:b/>
        <w:sz w:val="28"/>
        <w:szCs w:val="24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default" w:ascii="宋体" w:hAnsi="宋体" w:eastAsia="宋体" w:cs="宋体"/>
      </w:rPr>
    </w:lvl>
    <w:lvl w:ilvl="3" w:tentative="0">
      <w:start w:val="1"/>
      <w:numFmt w:val="decimal"/>
      <w:pStyle w:val="5"/>
      <w:isLgl/>
      <w:lvlText w:val="%1.%2.%3.%4"/>
      <w:lvlJc w:val="left"/>
      <w:pPr>
        <w:ind w:left="864" w:hanging="864"/>
      </w:pPr>
      <w:rPr>
        <w:rFonts w:hint="default" w:ascii="宋体" w:hAnsi="宋体" w:eastAsia="宋体" w:cs="宋体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>
    <w:nsid w:val="A209D0D8"/>
    <w:multiLevelType w:val="singleLevel"/>
    <w:tmpl w:val="A209D0D8"/>
    <w:lvl w:ilvl="0" w:tentative="0">
      <w:start w:val="1"/>
      <w:numFmt w:val="decimal"/>
      <w:pStyle w:val="21"/>
      <w:lvlText w:val="[%1]"/>
      <w:lvlJc w:val="left"/>
      <w:pPr>
        <w:tabs>
          <w:tab w:val="left" w:pos="312"/>
        </w:tabs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0ZmQzM2I0ZDFmN2FlODVjN2U5NzU2ZmI5ODUwYTYifQ=="/>
  </w:docVars>
  <w:rsids>
    <w:rsidRoot w:val="00000000"/>
    <w:rsid w:val="00AB30FB"/>
    <w:rsid w:val="05E23E5B"/>
    <w:rsid w:val="0A8D6C56"/>
    <w:rsid w:val="0AB17507"/>
    <w:rsid w:val="0D407D87"/>
    <w:rsid w:val="10CA20DA"/>
    <w:rsid w:val="116518B4"/>
    <w:rsid w:val="193938E2"/>
    <w:rsid w:val="1C3F7586"/>
    <w:rsid w:val="1DDC1803"/>
    <w:rsid w:val="22C75BE0"/>
    <w:rsid w:val="24AF1B86"/>
    <w:rsid w:val="291A45BD"/>
    <w:rsid w:val="2CEC32DA"/>
    <w:rsid w:val="2F2B701F"/>
    <w:rsid w:val="37D21C6F"/>
    <w:rsid w:val="37EA12A9"/>
    <w:rsid w:val="3A5E29A0"/>
    <w:rsid w:val="3DAE1DCF"/>
    <w:rsid w:val="3F0F08CD"/>
    <w:rsid w:val="485412BC"/>
    <w:rsid w:val="49305E55"/>
    <w:rsid w:val="4B244C2A"/>
    <w:rsid w:val="4B281E7E"/>
    <w:rsid w:val="5E3D647F"/>
    <w:rsid w:val="6163511D"/>
    <w:rsid w:val="64597225"/>
    <w:rsid w:val="65061101"/>
    <w:rsid w:val="67D35712"/>
    <w:rsid w:val="686E1C26"/>
    <w:rsid w:val="6D52717F"/>
    <w:rsid w:val="736E24BC"/>
    <w:rsid w:val="7A904DD0"/>
    <w:rsid w:val="7DD0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autoRedefine/>
    <w:qFormat/>
    <w:uiPriority w:val="0"/>
    <w:pPr>
      <w:keepNext/>
      <w:keepLines/>
      <w:numPr>
        <w:ilvl w:val="0"/>
        <w:numId w:val="1"/>
      </w:numPr>
      <w:spacing w:before="50" w:beforeLines="50" w:after="50" w:afterLines="50" w:line="240" w:lineRule="auto"/>
      <w:ind w:left="432" w:hanging="432" w:firstLineChars="0"/>
      <w:jc w:val="center"/>
      <w:outlineLvl w:val="0"/>
    </w:pPr>
    <w:rPr>
      <w:rFonts w:ascii="Times New Roman" w:hAnsi="Times New Roman" w:cs="Times New Roman"/>
      <w:b/>
      <w:kern w:val="44"/>
      <w:sz w:val="28"/>
    </w:rPr>
  </w:style>
  <w:style w:type="paragraph" w:styleId="3">
    <w:name w:val="heading 2"/>
    <w:basedOn w:val="1"/>
    <w:next w:val="1"/>
    <w:link w:val="19"/>
    <w:autoRedefine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after="50" w:afterLines="50" w:line="360" w:lineRule="auto"/>
      <w:ind w:left="575" w:hanging="575" w:firstLineChars="0"/>
      <w:jc w:val="left"/>
      <w:outlineLvl w:val="1"/>
    </w:pPr>
    <w:rPr>
      <w:rFonts w:ascii="Times New Roman" w:hAnsi="Times New Roman" w:cs="Times New Roman"/>
      <w:sz w:val="28"/>
    </w:rPr>
  </w:style>
  <w:style w:type="paragraph" w:styleId="4">
    <w:name w:val="heading 3"/>
    <w:basedOn w:val="1"/>
    <w:next w:val="1"/>
    <w:link w:val="20"/>
    <w:autoRedefine/>
    <w:semiHidden/>
    <w:unhideWhenUsed/>
    <w:qFormat/>
    <w:uiPriority w:val="0"/>
    <w:pPr>
      <w:keepNext/>
      <w:keepLines/>
      <w:numPr>
        <w:ilvl w:val="2"/>
        <w:numId w:val="1"/>
      </w:numPr>
      <w:tabs>
        <w:tab w:val="left" w:pos="420"/>
      </w:tabs>
      <w:spacing w:before="50" w:beforeLines="50" w:after="50" w:afterLines="50" w:line="360" w:lineRule="auto"/>
      <w:ind w:left="720" w:hanging="720" w:firstLineChars="0"/>
      <w:jc w:val="left"/>
      <w:outlineLvl w:val="2"/>
    </w:pPr>
    <w:rPr>
      <w:rFonts w:ascii="Times New Roman" w:hAnsi="Times New Roman" w:cs="Times New Roman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rFonts w:ascii="Times New Roman" w:hAnsi="Times New Roman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footnote text"/>
    <w:basedOn w:val="1"/>
    <w:uiPriority w:val="0"/>
    <w:pPr>
      <w:snapToGrid w:val="0"/>
      <w:jc w:val="left"/>
    </w:pPr>
    <w:rPr>
      <w:sz w:val="18"/>
    </w:rPr>
  </w:style>
  <w:style w:type="paragraph" w:styleId="1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5">
    <w:name w:val="Table Grid"/>
    <w:basedOn w:val="1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footnote reference"/>
    <w:autoRedefine/>
    <w:qFormat/>
    <w:uiPriority w:val="0"/>
    <w:rPr>
      <w:vertAlign w:val="superscript"/>
    </w:rPr>
  </w:style>
  <w:style w:type="character" w:customStyle="1" w:styleId="18">
    <w:name w:val="标题 1 字符"/>
    <w:link w:val="2"/>
    <w:autoRedefine/>
    <w:qFormat/>
    <w:uiPriority w:val="0"/>
    <w:rPr>
      <w:rFonts w:ascii="Times New Roman" w:hAnsi="Times New Roman" w:eastAsia="宋体" w:cs="Times New Roman"/>
      <w:b/>
      <w:kern w:val="44"/>
      <w:sz w:val="28"/>
    </w:rPr>
  </w:style>
  <w:style w:type="character" w:customStyle="1" w:styleId="19">
    <w:name w:val="标题 2 字符"/>
    <w:link w:val="3"/>
    <w:autoRedefine/>
    <w:qFormat/>
    <w:uiPriority w:val="0"/>
    <w:rPr>
      <w:rFonts w:ascii="Times New Roman" w:hAnsi="Times New Roman" w:eastAsia="宋体" w:cs="Times New Roman"/>
      <w:sz w:val="28"/>
    </w:rPr>
  </w:style>
  <w:style w:type="character" w:customStyle="1" w:styleId="20">
    <w:name w:val="标题 3 字符"/>
    <w:link w:val="4"/>
    <w:autoRedefine/>
    <w:qFormat/>
    <w:uiPriority w:val="0"/>
    <w:rPr>
      <w:rFonts w:ascii="Times New Roman" w:hAnsi="Times New Roman" w:eastAsia="宋体" w:cs="Times New Roman"/>
      <w:sz w:val="24"/>
    </w:rPr>
  </w:style>
  <w:style w:type="paragraph" w:customStyle="1" w:styleId="21">
    <w:name w:val="参考文献"/>
    <w:basedOn w:val="1"/>
    <w:autoRedefine/>
    <w:qFormat/>
    <w:uiPriority w:val="0"/>
    <w:pPr>
      <w:numPr>
        <w:ilvl w:val="0"/>
        <w:numId w:val="2"/>
      </w:numPr>
      <w:spacing w:line="300" w:lineRule="auto"/>
      <w:ind w:left="480" w:hanging="480" w:hangingChars="200"/>
    </w:pPr>
    <w:rPr>
      <w:rFonts w:cs="Times New Roman"/>
    </w:rPr>
  </w:style>
  <w:style w:type="paragraph" w:customStyle="1" w:styleId="22">
    <w:name w:val="EndNote Bibliography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ind w:left="720" w:hanging="72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customStyle="1" w:styleId="23">
    <w:name w:val="标题5"/>
    <w:basedOn w:val="1"/>
    <w:next w:val="1"/>
    <w:autoRedefine/>
    <w:qFormat/>
    <w:uiPriority w:val="0"/>
    <w:pPr>
      <w:keepNext/>
      <w:keepLines/>
      <w:spacing w:before="280" w:beforeLines="0" w:after="290" w:afterLines="0" w:line="372" w:lineRule="auto"/>
      <w:ind w:firstLine="240" w:firstLineChars="100"/>
      <w:outlineLvl w:val="4"/>
    </w:pPr>
    <w:rPr>
      <w:rFonts w:ascii="Times New Roman" w:hAnsi="Times New Roman"/>
      <w:sz w:val="24"/>
    </w:rPr>
  </w:style>
  <w:style w:type="paragraph" w:customStyle="1" w:styleId="24">
    <w:name w:val="p0"/>
    <w:basedOn w:val="1"/>
    <w:autoRedefine/>
    <w:qFormat/>
    <w:uiPriority w:val="0"/>
    <w:pPr>
      <w:widowControl/>
    </w:pPr>
    <w:rPr>
      <w:rFonts w:ascii="Times New Roman" w:hAnsi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2022-03-28T06:25:00Z</dcterms:created>
  <dc:creator>Administrator</dc:creator>
  <cp:lastModifiedBy>林益存</cp:lastModifiedBy>
  <dcterms:modified xsi:type="dcterms:W3CDTF">2024-04-26T09:55:11Z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B0DD430D18754AA1A98D185CD00CBFD0</vt:lpwstr>
  </property>
</Properties>
</file>