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C0D00">
      <w:pPr>
        <w:ind w:left="0" w:leftChars="0" w:firstLine="0" w:firstLineChars="0"/>
        <w:jc w:val="both"/>
        <w:rPr>
          <w:rFonts w:hint="default" w:eastAsia="宋体"/>
          <w:b/>
          <w:bCs/>
          <w:color w:val="auto"/>
          <w:kern w:val="44"/>
          <w:shd w:val="clear" w:color="auto" w:fill="FFFFFF"/>
          <w:lang w:val="en-US"/>
        </w:rPr>
      </w:pPr>
      <w:bookmarkStart w:id="0" w:name="OLE_LINK5"/>
      <w:bookmarkStart w:id="1" w:name="_Hlk165023397"/>
      <w:r>
        <w:rPr>
          <w:rFonts w:eastAsia="宋体"/>
          <w:b/>
          <w:bCs/>
          <w:i/>
          <w:iCs/>
          <w:color w:val="auto"/>
          <w:kern w:val="44"/>
          <w:shd w:val="clear" w:color="auto" w:fill="FFFFFF"/>
        </w:rPr>
        <w:t>Trichoderma virens</w:t>
      </w:r>
      <w:r>
        <w:rPr>
          <w:rFonts w:eastAsia="宋体"/>
          <w:b/>
          <w:bCs/>
          <w:color w:val="auto"/>
          <w:kern w:val="44"/>
          <w:shd w:val="clear" w:color="auto" w:fill="FFFFFF"/>
        </w:rPr>
        <w:t xml:space="preserve"> XZ11-1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</w:rPr>
        <w:t xml:space="preserve"> p</w:t>
      </w:r>
      <w:r>
        <w:rPr>
          <w:rFonts w:eastAsia="宋体"/>
          <w:b/>
          <w:bCs/>
          <w:color w:val="auto"/>
          <w:kern w:val="44"/>
          <w:shd w:val="clear" w:color="auto" w:fill="FFFFFF"/>
        </w:rPr>
        <w:t xml:space="preserve">roducing 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</w:rPr>
        <w:t>s</w:t>
      </w:r>
      <w:r>
        <w:rPr>
          <w:rFonts w:eastAsia="宋体"/>
          <w:b/>
          <w:bCs/>
          <w:color w:val="auto"/>
          <w:kern w:val="44"/>
          <w:shd w:val="clear" w:color="auto" w:fill="FFFFFF"/>
        </w:rPr>
        <w:t>iderophore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</w:rPr>
        <w:t xml:space="preserve">s </w:t>
      </w:r>
      <w:r>
        <w:rPr>
          <w:rFonts w:eastAsia="宋体"/>
          <w:b/>
          <w:bCs/>
          <w:color w:val="auto"/>
          <w:kern w:val="44"/>
          <w:shd w:val="clear" w:color="auto" w:fill="FFFFFF"/>
        </w:rPr>
        <w:t>inhibits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</w:rPr>
        <w:t xml:space="preserve"> the infection of </w:t>
      </w:r>
      <w:r>
        <w:rPr>
          <w:b/>
          <w:bCs/>
          <w:i/>
          <w:iCs/>
          <w:color w:val="auto"/>
        </w:rPr>
        <w:t>Fusarium oxysporum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  <w:lang w:val="en-US" w:eastAsia="zh-CN"/>
        </w:rPr>
        <w:t xml:space="preserve"> 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</w:rPr>
        <w:t xml:space="preserve">and </w:t>
      </w:r>
      <w:r>
        <w:rPr>
          <w:rFonts w:eastAsia="宋体"/>
          <w:b/>
          <w:bCs/>
          <w:color w:val="auto"/>
          <w:kern w:val="44"/>
          <w:shd w:val="clear" w:color="auto" w:fill="FFFFFF"/>
        </w:rPr>
        <w:t>promotes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</w:rPr>
        <w:t xml:space="preserve"> plant growth</w:t>
      </w:r>
      <w:r>
        <w:rPr>
          <w:rFonts w:eastAsia="宋体"/>
          <w:b/>
          <w:bCs/>
          <w:color w:val="auto"/>
          <w:kern w:val="44"/>
          <w:shd w:val="clear" w:color="auto" w:fill="FFFFFF"/>
        </w:rPr>
        <w:t xml:space="preserve"> in banana</w:t>
      </w:r>
      <w:r>
        <w:rPr>
          <w:rFonts w:hint="eastAsia" w:eastAsia="宋体"/>
          <w:b/>
          <w:bCs/>
          <w:color w:val="auto"/>
          <w:kern w:val="44"/>
          <w:shd w:val="clear" w:color="auto" w:fill="FFFFFF"/>
          <w:lang w:val="en-US" w:eastAsia="zh-CN"/>
        </w:rPr>
        <w:t xml:space="preserve"> plants</w:t>
      </w:r>
    </w:p>
    <w:p w14:paraId="5A05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textAlignment w:val="auto"/>
        <w:rPr>
          <w:rFonts w:hint="eastAsia" w:eastAsia="宋体"/>
          <w:b/>
          <w:bCs/>
          <w:color w:val="auto"/>
          <w:kern w:val="44"/>
          <w:shd w:val="clear" w:color="auto" w:fill="FFFFFF"/>
        </w:rPr>
      </w:pPr>
    </w:p>
    <w:bookmarkEnd w:id="0"/>
    <w:p w14:paraId="23F46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rPr>
          <w:color w:val="auto"/>
          <w:vertAlign w:val="superscript"/>
        </w:rPr>
      </w:pPr>
      <w:r>
        <w:rPr>
          <w:rFonts w:hint="eastAsia"/>
          <w:color w:val="auto"/>
        </w:rPr>
        <w:t>HaiYang Cui</w:t>
      </w:r>
      <w:r>
        <w:rPr>
          <w:rFonts w:hint="eastAsia"/>
          <w:color w:val="auto"/>
          <w:vertAlign w:val="superscript"/>
        </w:rPr>
        <w:t>1,2</w:t>
      </w:r>
      <w:r>
        <w:rPr>
          <w:color w:val="auto"/>
          <w:vertAlign w:val="superscript"/>
        </w:rPr>
        <w:t>*</w:t>
      </w:r>
      <w:r>
        <w:rPr>
          <w:rFonts w:hint="eastAsia"/>
          <w:color w:val="auto"/>
        </w:rPr>
        <w:t>, Qifeng Cheng</w:t>
      </w:r>
      <w:r>
        <w:rPr>
          <w:rFonts w:hint="eastAsia"/>
          <w:color w:val="auto"/>
          <w:vertAlign w:val="superscript"/>
        </w:rPr>
        <w:t>1,2</w:t>
      </w:r>
      <w:r>
        <w:rPr>
          <w:color w:val="auto"/>
          <w:vertAlign w:val="superscript"/>
        </w:rPr>
        <w:t>*</w:t>
      </w:r>
      <w:r>
        <w:rPr>
          <w:rFonts w:hint="eastAsia"/>
          <w:color w:val="auto"/>
        </w:rPr>
        <w:t>, Tao Jing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>,</w:t>
      </w:r>
      <w:r>
        <w:rPr>
          <w:color w:val="auto"/>
        </w:rPr>
        <w:t xml:space="preserve"> Yufeng Chen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>, XiaoJuan Li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>, Miaoyi Zhang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 xml:space="preserve">, </w:t>
      </w:r>
      <w:r>
        <w:rPr>
          <w:color w:val="auto"/>
        </w:rPr>
        <w:t>Dengfeng Qi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 xml:space="preserve">, </w:t>
      </w:r>
      <w:r>
        <w:rPr>
          <w:color w:val="auto"/>
        </w:rPr>
        <w:t>Junting Feng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 xml:space="preserve">, </w:t>
      </w:r>
      <w:r>
        <w:rPr>
          <w:color w:val="auto"/>
        </w:rPr>
        <w:t>Farinaz Vafadar</w:t>
      </w:r>
      <w:r>
        <w:rPr>
          <w:rFonts w:hint="eastAsia"/>
          <w:color w:val="auto"/>
          <w:vertAlign w:val="superscript"/>
        </w:rPr>
        <w:t>3</w:t>
      </w:r>
      <w:r>
        <w:rPr>
          <w:rFonts w:hint="eastAsia"/>
          <w:color w:val="auto"/>
        </w:rPr>
        <w:t>, Yongzan Wei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>, Kai Li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>, Yankun Zhao</w:t>
      </w:r>
      <w:r>
        <w:rPr>
          <w:rFonts w:hint="eastAsia"/>
          <w:color w:val="auto"/>
          <w:vertAlign w:val="superscript"/>
        </w:rPr>
        <w:t>1,2</w:t>
      </w:r>
      <w:r>
        <w:rPr>
          <w:rFonts w:hint="eastAsia"/>
          <w:color w:val="auto"/>
        </w:rPr>
        <w:t>, Dengbo Zhou</w:t>
      </w:r>
      <w:r>
        <w:rPr>
          <w:rFonts w:hint="eastAsia"/>
          <w:color w:val="auto"/>
          <w:vertAlign w:val="superscript"/>
        </w:rPr>
        <w:t>1,2</w:t>
      </w:r>
      <w:r>
        <w:rPr>
          <w:color w:val="auto"/>
          <w:vertAlign w:val="superscript"/>
        </w:rPr>
        <w:t>*</w:t>
      </w:r>
      <w:r>
        <w:rPr>
          <w:color w:val="auto"/>
        </w:rPr>
        <w:t>,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Jianghui Xie</w:t>
      </w:r>
      <w:r>
        <w:rPr>
          <w:rFonts w:hint="eastAsia"/>
          <w:color w:val="auto"/>
          <w:vertAlign w:val="superscript"/>
        </w:rPr>
        <w:t>1,2</w:t>
      </w:r>
      <w:r>
        <w:rPr>
          <w:color w:val="auto"/>
          <w:vertAlign w:val="superscript"/>
        </w:rPr>
        <w:t>*</w:t>
      </w:r>
    </w:p>
    <w:p w14:paraId="06C17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color w:val="auto"/>
          <w:vertAlign w:val="superscript"/>
        </w:rPr>
      </w:pPr>
    </w:p>
    <w:p w14:paraId="71A84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color w:val="auto"/>
        </w:rPr>
      </w:pPr>
      <w:bookmarkStart w:id="2" w:name="OLE_LINK2"/>
      <w:r>
        <w:rPr>
          <w:rFonts w:hint="eastAsia"/>
          <w:color w:val="auto"/>
          <w:vertAlign w:val="superscript"/>
        </w:rPr>
        <w:t>1</w:t>
      </w:r>
      <w:r>
        <w:rPr>
          <w:rFonts w:hint="eastAsia"/>
          <w:color w:val="auto"/>
        </w:rPr>
        <w:t>School of Life and Health Sciences</w:t>
      </w:r>
      <w:r>
        <w:rPr>
          <w:color w:val="auto"/>
        </w:rPr>
        <w:t xml:space="preserve"> </w:t>
      </w:r>
      <w:r>
        <w:rPr>
          <w:rFonts w:hint="eastAsia" w:ascii="Times New Roman" w:hAnsi="Times New Roman"/>
          <w:color w:val="auto"/>
        </w:rPr>
        <w:t>&amp;</w:t>
      </w:r>
      <w:r>
        <w:rPr>
          <w:color w:val="auto"/>
        </w:rPr>
        <w:t xml:space="preserve"> College of Tropical Crops</w:t>
      </w:r>
      <w:r>
        <w:rPr>
          <w:rFonts w:hint="eastAsia"/>
          <w:color w:val="auto"/>
        </w:rPr>
        <w:t>, Hainan University</w:t>
      </w:r>
      <w:bookmarkEnd w:id="2"/>
      <w:r>
        <w:rPr>
          <w:rFonts w:hint="eastAsia"/>
          <w:color w:val="auto"/>
        </w:rPr>
        <w:t>；</w:t>
      </w:r>
      <w:r>
        <w:rPr>
          <w:color w:val="auto"/>
        </w:rPr>
        <w:t xml:space="preserve"> Institute of Tropical Bioscience and Biotechnology</w:t>
      </w:r>
      <w:r>
        <w:rPr>
          <w:rFonts w:hint="eastAsia"/>
          <w:color w:val="auto"/>
        </w:rPr>
        <w:t>,</w:t>
      </w:r>
      <w:r>
        <w:rPr>
          <w:color w:val="auto"/>
        </w:rPr>
        <w:t xml:space="preserve"> Chinese Academy of Tropical Agricultural Sciences, 571101</w:t>
      </w:r>
      <w:r>
        <w:rPr>
          <w:rFonts w:hint="eastAsia"/>
          <w:color w:val="auto"/>
        </w:rPr>
        <w:t>,</w:t>
      </w:r>
      <w:r>
        <w:rPr>
          <w:color w:val="auto"/>
        </w:rPr>
        <w:t xml:space="preserve"> Haikou, China</w:t>
      </w:r>
    </w:p>
    <w:p w14:paraId="5FD5F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color w:val="auto"/>
        </w:rPr>
      </w:pPr>
      <w:r>
        <w:rPr>
          <w:rFonts w:hint="eastAsia"/>
          <w:color w:val="auto"/>
          <w:vertAlign w:val="superscript"/>
        </w:rPr>
        <w:t>2</w:t>
      </w:r>
      <w:r>
        <w:rPr>
          <w:color w:val="auto"/>
        </w:rPr>
        <w:t xml:space="preserve">National Key Laboratory of Biological Breeding of </w:t>
      </w:r>
      <w:r>
        <w:rPr>
          <w:rFonts w:hint="eastAsia"/>
          <w:color w:val="auto"/>
        </w:rPr>
        <w:t>T</w:t>
      </w:r>
      <w:r>
        <w:rPr>
          <w:color w:val="auto"/>
        </w:rPr>
        <w:t xml:space="preserve">ropical </w:t>
      </w:r>
      <w:r>
        <w:rPr>
          <w:rFonts w:hint="eastAsia"/>
          <w:color w:val="auto"/>
        </w:rPr>
        <w:t>C</w:t>
      </w:r>
      <w:r>
        <w:rPr>
          <w:color w:val="auto"/>
        </w:rPr>
        <w:t>rops, Chinese Academy of Tropical Agricultural Sciences,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572024, Sanya</w:t>
      </w:r>
      <w:r>
        <w:rPr>
          <w:rFonts w:hint="eastAsia"/>
          <w:color w:val="auto"/>
        </w:rPr>
        <w:t>, China</w:t>
      </w:r>
    </w:p>
    <w:p w14:paraId="2E7D4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color w:val="auto"/>
        </w:rPr>
      </w:pPr>
      <w:r>
        <w:rPr>
          <w:rFonts w:hint="eastAsia"/>
          <w:color w:val="auto"/>
          <w:vertAlign w:val="superscript"/>
        </w:rPr>
        <w:t>3</w:t>
      </w:r>
      <w:r>
        <w:rPr>
          <w:color w:val="auto"/>
        </w:rPr>
        <w:t>Department of Agronomy and Plant Breeding, College of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Ag</w:t>
      </w:r>
      <w:r>
        <w:rPr>
          <w:rFonts w:hint="eastAsia"/>
          <w:color w:val="auto"/>
        </w:rPr>
        <w:t>r</w:t>
      </w:r>
      <w:r>
        <w:rPr>
          <w:color w:val="auto"/>
        </w:rPr>
        <w:t>icu</w:t>
      </w:r>
      <w:r>
        <w:rPr>
          <w:rFonts w:hint="eastAsia"/>
          <w:color w:val="auto"/>
        </w:rPr>
        <w:t>lture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I</w:t>
      </w:r>
      <w:r>
        <w:rPr>
          <w:color w:val="auto"/>
        </w:rPr>
        <w:t>sfahan University of Tech</w:t>
      </w:r>
      <w:r>
        <w:rPr>
          <w:rFonts w:hint="eastAsia"/>
          <w:color w:val="auto"/>
        </w:rPr>
        <w:t>n</w:t>
      </w:r>
      <w:r>
        <w:rPr>
          <w:color w:val="auto"/>
        </w:rPr>
        <w:t xml:space="preserve">ology, </w:t>
      </w:r>
      <w:r>
        <w:rPr>
          <w:rFonts w:hint="eastAsia"/>
          <w:color w:val="auto"/>
        </w:rPr>
        <w:t>I</w:t>
      </w:r>
      <w:r>
        <w:rPr>
          <w:color w:val="auto"/>
        </w:rPr>
        <w:t>s</w:t>
      </w:r>
      <w:r>
        <w:rPr>
          <w:rFonts w:hint="eastAsia"/>
          <w:color w:val="auto"/>
        </w:rPr>
        <w:t>f</w:t>
      </w:r>
      <w:r>
        <w:rPr>
          <w:color w:val="auto"/>
        </w:rPr>
        <w:t xml:space="preserve">ahan, 84156-83111, </w:t>
      </w:r>
      <w:r>
        <w:rPr>
          <w:rFonts w:hint="eastAsia"/>
          <w:color w:val="auto"/>
        </w:rPr>
        <w:t>I</w:t>
      </w:r>
      <w:r>
        <w:rPr>
          <w:color w:val="auto"/>
        </w:rPr>
        <w:t>ran</w:t>
      </w:r>
    </w:p>
    <w:p w14:paraId="63AD0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color w:val="auto"/>
        </w:rPr>
      </w:pPr>
    </w:p>
    <w:p w14:paraId="164F6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 xml:space="preserve">HaiYang </w:t>
      </w:r>
      <w:r>
        <w:rPr>
          <w:b/>
          <w:bCs/>
          <w:color w:val="auto"/>
        </w:rPr>
        <w:t>Cui and</w:t>
      </w:r>
      <w:r>
        <w:rPr>
          <w:rFonts w:hint="eastAsia"/>
          <w:b/>
          <w:bCs/>
          <w:color w:val="auto"/>
        </w:rPr>
        <w:t xml:space="preserve"> Qifeng Cheng </w:t>
      </w:r>
      <w:r>
        <w:rPr>
          <w:b/>
          <w:bCs/>
          <w:color w:val="auto"/>
        </w:rPr>
        <w:t>contribute equally to this work</w:t>
      </w:r>
      <w:r>
        <w:rPr>
          <w:rFonts w:hint="eastAsia"/>
          <w:b/>
          <w:bCs/>
          <w:color w:val="auto"/>
        </w:rPr>
        <w:t xml:space="preserve"> </w:t>
      </w:r>
    </w:p>
    <w:p w14:paraId="7F2E0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b/>
          <w:bCs/>
          <w:color w:val="auto"/>
        </w:rPr>
      </w:pPr>
      <w:r>
        <w:rPr>
          <w:b/>
          <w:bCs/>
          <w:color w:val="auto"/>
          <w:vertAlign w:val="superscript"/>
        </w:rPr>
        <w:t>*</w:t>
      </w:r>
      <w:r>
        <w:rPr>
          <w:b/>
          <w:bCs/>
          <w:color w:val="auto"/>
        </w:rPr>
        <w:t xml:space="preserve">Correspondence Authors </w:t>
      </w:r>
    </w:p>
    <w:p w14:paraId="250B5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rFonts w:eastAsiaTheme="minorEastAsia"/>
          <w:color w:val="auto"/>
        </w:rPr>
      </w:pPr>
      <w:r>
        <w:rPr>
          <w:rFonts w:eastAsia="Calibri"/>
          <w:color w:val="auto"/>
        </w:rPr>
        <w:t>Dr</w:t>
      </w:r>
      <w:r>
        <w:rPr>
          <w:rFonts w:hint="eastAsia" w:eastAsiaTheme="minorEastAsia"/>
          <w:color w:val="auto"/>
        </w:rPr>
        <w:t>.</w:t>
      </w:r>
      <w:r>
        <w:rPr>
          <w:rFonts w:eastAsia="Calibri"/>
          <w:color w:val="auto"/>
        </w:rPr>
        <w:t>.</w:t>
      </w:r>
      <w:r>
        <w:rPr>
          <w:rFonts w:hint="eastAsia" w:eastAsiaTheme="minorEastAsia"/>
          <w:color w:val="auto"/>
        </w:rPr>
        <w:t xml:space="preserve">Dengbo Zhou, </w:t>
      </w:r>
      <w:r>
        <w:rPr>
          <w:rFonts w:eastAsia="Times New Roman"/>
          <w:iCs/>
          <w:color w:val="auto"/>
        </w:rPr>
        <w:t>E-mail:</w:t>
      </w:r>
      <w:r>
        <w:rPr>
          <w:color w:val="auto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"mailto:zhoudengbo@itbb.org.cn" </w:instrText>
      </w:r>
      <w:r>
        <w:rPr>
          <w:color w:val="auto"/>
        </w:rPr>
        <w:fldChar w:fldCharType="separate"/>
      </w:r>
      <w:r>
        <w:rPr>
          <w:rStyle w:val="10"/>
          <w:rFonts w:hint="eastAsia"/>
          <w:color w:val="auto"/>
        </w:rPr>
        <w:t>zhoudengbo</w:t>
      </w:r>
      <w:r>
        <w:rPr>
          <w:rStyle w:val="10"/>
          <w:color w:val="auto"/>
        </w:rPr>
        <w:t>@itbb.org.cn</w:t>
      </w:r>
      <w:r>
        <w:rPr>
          <w:rStyle w:val="10"/>
          <w:color w:val="auto"/>
        </w:rPr>
        <w:fldChar w:fldCharType="end"/>
      </w:r>
      <w:r>
        <w:rPr>
          <w:color w:val="auto"/>
        </w:rPr>
        <w:t xml:space="preserve"> . Tel:(+86) 0898-66986419.</w:t>
      </w:r>
    </w:p>
    <w:p w14:paraId="555DC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482"/>
        <w:textAlignment w:val="auto"/>
        <w:rPr>
          <w:color w:val="auto"/>
        </w:rPr>
      </w:pPr>
      <w:r>
        <w:rPr>
          <w:rFonts w:eastAsia="Calibri"/>
          <w:color w:val="auto"/>
        </w:rPr>
        <w:t>Dr. Jianghui Xie</w:t>
      </w:r>
      <w:r>
        <w:rPr>
          <w:rFonts w:eastAsia="Times New Roman"/>
          <w:iCs/>
          <w:color w:val="auto"/>
        </w:rPr>
        <w:t>, E-mail:</w:t>
      </w:r>
      <w:r>
        <w:rPr>
          <w:color w:val="auto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"mailto:xiejianghui@itbb.org.cn" </w:instrText>
      </w:r>
      <w:r>
        <w:rPr>
          <w:color w:val="auto"/>
        </w:rPr>
        <w:fldChar w:fldCharType="separate"/>
      </w:r>
      <w:r>
        <w:rPr>
          <w:rStyle w:val="10"/>
          <w:color w:val="auto"/>
        </w:rPr>
        <w:t>xiejianghui@itbb.org.cn</w:t>
      </w:r>
      <w:r>
        <w:rPr>
          <w:rStyle w:val="10"/>
          <w:color w:val="auto"/>
        </w:rPr>
        <w:fldChar w:fldCharType="end"/>
      </w:r>
      <w:r>
        <w:rPr>
          <w:color w:val="auto"/>
        </w:rPr>
        <w:t xml:space="preserve"> . Tel:(+86) 0898-66986419. </w:t>
      </w:r>
    </w:p>
    <w:bookmarkEnd w:id="1"/>
    <w:p w14:paraId="6E620487">
      <w:pPr>
        <w:rPr>
          <w:color w:val="auto"/>
        </w:rPr>
      </w:pPr>
    </w:p>
    <w:p w14:paraId="4C15A37E">
      <w:pPr>
        <w:rPr>
          <w:color w:val="auto"/>
        </w:rPr>
      </w:pPr>
    </w:p>
    <w:p w14:paraId="2C297AF1">
      <w:pPr>
        <w:rPr>
          <w:color w:val="auto"/>
        </w:rPr>
      </w:pPr>
    </w:p>
    <w:p w14:paraId="41076D0A">
      <w:pPr>
        <w:rPr>
          <w:color w:val="auto"/>
        </w:rPr>
      </w:pPr>
    </w:p>
    <w:p w14:paraId="55870F2A">
      <w:pPr>
        <w:rPr>
          <w:color w:val="auto"/>
        </w:rPr>
      </w:pPr>
    </w:p>
    <w:p w14:paraId="4290527C">
      <w:pPr>
        <w:rPr>
          <w:color w:val="auto"/>
        </w:rPr>
      </w:pPr>
    </w:p>
    <w:p w14:paraId="1D47183E">
      <w:pPr>
        <w:rPr>
          <w:color w:val="auto"/>
        </w:rPr>
      </w:pPr>
    </w:p>
    <w:p w14:paraId="534D0893">
      <w:pPr>
        <w:rPr>
          <w:color w:val="auto"/>
        </w:rPr>
      </w:pPr>
    </w:p>
    <w:p w14:paraId="0F659D7F">
      <w:pPr>
        <w:rPr>
          <w:color w:val="auto"/>
        </w:rPr>
      </w:pPr>
    </w:p>
    <w:p w14:paraId="56C60587">
      <w:pPr>
        <w:rPr>
          <w:color w:val="auto"/>
        </w:rPr>
      </w:pPr>
    </w:p>
    <w:p w14:paraId="44ED27FF">
      <w:pPr>
        <w:rPr>
          <w:color w:val="auto"/>
        </w:rPr>
      </w:pPr>
    </w:p>
    <w:p w14:paraId="6EAE3705">
      <w:pPr>
        <w:rPr>
          <w:color w:val="auto"/>
        </w:rPr>
      </w:pPr>
    </w:p>
    <w:p w14:paraId="32E16D5D">
      <w:pPr>
        <w:rPr>
          <w:color w:val="auto"/>
        </w:rPr>
      </w:pPr>
    </w:p>
    <w:p w14:paraId="561CD8CA">
      <w:pPr>
        <w:rPr>
          <w:color w:val="auto"/>
        </w:rPr>
      </w:pPr>
    </w:p>
    <w:p w14:paraId="43070B80">
      <w:pPr>
        <w:rPr>
          <w:rFonts w:hint="eastAsia" w:eastAsia="黑体"/>
          <w:color w:val="auto"/>
          <w:lang w:eastAsia="zh-CN"/>
        </w:rPr>
      </w:pPr>
      <w:r>
        <w:rPr>
          <w:color w:val="auto"/>
        </w:rPr>
        <w:t xml:space="preserve">Fig. S1 Isolation and morphological characterization of strain XZ11-1. (A) </w:t>
      </w:r>
      <w:r>
        <w:rPr>
          <w:rFonts w:hint="eastAsia"/>
          <w:color w:val="auto"/>
          <w:lang w:val="en-US" w:eastAsia="zh-CN"/>
        </w:rPr>
        <w:t>40</w:t>
      </w:r>
      <w:r>
        <w:rPr>
          <w:color w:val="auto"/>
        </w:rPr>
        <w:t xml:space="preserve"> fungal strains were isolated from the </w:t>
      </w:r>
      <w:r>
        <w:rPr>
          <w:i/>
          <w:iCs/>
          <w:color w:val="auto"/>
        </w:rPr>
        <w:t xml:space="preserve">Pluteus pantherinus Uchida. </w:t>
      </w:r>
      <w:r>
        <w:rPr>
          <w:color w:val="auto"/>
        </w:rPr>
        <w:t xml:space="preserve">(B) Growth status of strain XZ11-1 on PDA plates. (C) Hydroxamate-type siderophore. The change of the solution from colorless to red indicates the presence of Hydroxamate-type siderophore. </w:t>
      </w:r>
    </w:p>
    <w:p w14:paraId="5F4B31DE">
      <w:pPr>
        <w:jc w:val="both"/>
        <w:rPr>
          <w:color w:val="auto"/>
        </w:rPr>
      </w:pPr>
    </w:p>
    <w:p w14:paraId="2559123D">
      <w:pPr>
        <w:jc w:val="both"/>
        <w:rPr>
          <w:color w:val="auto"/>
        </w:rPr>
      </w:pPr>
      <w:r>
        <w:rPr>
          <w:rFonts w:hint="eastAsia" w:eastAsia="黑体"/>
          <w:color w:val="auto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515620</wp:posOffset>
            </wp:positionH>
            <wp:positionV relativeFrom="paragraph">
              <wp:posOffset>130810</wp:posOffset>
            </wp:positionV>
            <wp:extent cx="3968750" cy="4030980"/>
            <wp:effectExtent l="0" t="0" r="12700" b="7620"/>
            <wp:wrapTopAndBottom/>
            <wp:docPr id="4" name="图片 4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1"/>
                    <pic:cNvPicPr>
                      <a:picLocks noChangeAspect="1"/>
                    </pic:cNvPicPr>
                  </pic:nvPicPr>
                  <pic:blipFill>
                    <a:blip r:embed="rId12"/>
                    <a:srcRect l="18905" t="10201" r="37208" b="10566"/>
                    <a:stretch>
                      <a:fillRect/>
                    </a:stretch>
                  </pic:blipFill>
                  <pic:spPr>
                    <a:xfrm>
                      <a:off x="0" y="0"/>
                      <a:ext cx="396875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61D3A1">
      <w:pPr>
        <w:jc w:val="both"/>
        <w:rPr>
          <w:color w:val="auto"/>
        </w:rPr>
      </w:pPr>
    </w:p>
    <w:p w14:paraId="3A56FBFF">
      <w:pPr>
        <w:jc w:val="both"/>
        <w:rPr>
          <w:color w:val="auto"/>
        </w:rPr>
      </w:pPr>
    </w:p>
    <w:p w14:paraId="1A518B1A">
      <w:pPr>
        <w:jc w:val="both"/>
        <w:rPr>
          <w:color w:val="auto"/>
        </w:rPr>
      </w:pPr>
    </w:p>
    <w:p w14:paraId="2641D2C3">
      <w:pPr>
        <w:jc w:val="both"/>
        <w:rPr>
          <w:color w:val="auto"/>
        </w:rPr>
      </w:pPr>
    </w:p>
    <w:p w14:paraId="1C38A994">
      <w:pPr>
        <w:jc w:val="both"/>
        <w:rPr>
          <w:color w:val="auto"/>
        </w:rPr>
      </w:pPr>
    </w:p>
    <w:p w14:paraId="05F3DC48">
      <w:pPr>
        <w:jc w:val="both"/>
        <w:rPr>
          <w:color w:val="auto"/>
        </w:rPr>
      </w:pPr>
    </w:p>
    <w:p w14:paraId="3CF3B69C">
      <w:pPr>
        <w:jc w:val="both"/>
        <w:rPr>
          <w:color w:val="auto"/>
        </w:rPr>
      </w:pPr>
    </w:p>
    <w:p w14:paraId="01696697">
      <w:pPr>
        <w:ind w:left="0" w:leftChars="0" w:firstLine="0" w:firstLineChars="0"/>
        <w:jc w:val="both"/>
        <w:rPr>
          <w:color w:val="auto"/>
        </w:rPr>
      </w:pPr>
    </w:p>
    <w:p w14:paraId="41D0FC76">
      <w:pPr>
        <w:jc w:val="both"/>
        <w:rPr>
          <w:color w:val="auto"/>
        </w:rPr>
      </w:pPr>
      <w:r>
        <w:rPr>
          <w:color w:val="auto"/>
        </w:rPr>
        <w:t>Fig. S</w:t>
      </w:r>
      <w:r>
        <w:rPr>
          <w:rFonts w:hint="eastAsia"/>
          <w:color w:val="auto"/>
          <w:lang w:val="en-US" w:eastAsia="zh-CN"/>
        </w:rPr>
        <w:t xml:space="preserve">2 </w:t>
      </w:r>
      <w:r>
        <w:rPr>
          <w:rFonts w:hint="eastAsia"/>
          <w:color w:val="auto"/>
          <w:shd w:val="clear" w:color="auto" w:fill="FFFFFF"/>
        </w:rPr>
        <w:t>Direct promoting properties of strain XZ11-1</w:t>
      </w:r>
      <w:r>
        <w:rPr>
          <w:rFonts w:hint="eastAsia"/>
          <w:color w:val="auto"/>
          <w:shd w:val="clear" w:color="auto" w:fill="FFFFFF"/>
          <w:lang w:val="en-US" w:eastAsia="zh-CN"/>
        </w:rPr>
        <w:t xml:space="preserve">. </w:t>
      </w:r>
      <w:r>
        <w:rPr>
          <w:rFonts w:hint="eastAsia"/>
          <w:color w:val="auto"/>
          <w:shd w:val="clear" w:color="auto" w:fill="FFFFFF"/>
        </w:rPr>
        <w:t xml:space="preserve">(A) Nitrogen fixation, phosphorus solubilization, and potassium release status of strain XZ11-1. </w:t>
      </w:r>
      <w:r>
        <w:rPr>
          <w:color w:val="auto"/>
        </w:rPr>
        <w:t>(</w:t>
      </w:r>
      <w:r>
        <w:rPr>
          <w:rFonts w:hint="eastAsia"/>
          <w:color w:val="auto"/>
          <w:lang w:val="en-US" w:eastAsia="zh-CN"/>
        </w:rPr>
        <w:t>B</w:t>
      </w:r>
      <w:r>
        <w:rPr>
          <w:color w:val="auto"/>
        </w:rPr>
        <w:t>) Determination of the ability of strain XZ11-1 to produce IAA.</w:t>
      </w:r>
    </w:p>
    <w:p w14:paraId="3703C5DA">
      <w:pPr>
        <w:jc w:val="both"/>
        <w:rPr>
          <w:rFonts w:hint="default"/>
          <w:color w:val="auto"/>
          <w:lang w:val="en-US" w:eastAsia="zh-CN"/>
        </w:rPr>
      </w:pPr>
    </w:p>
    <w:p w14:paraId="005103D2">
      <w:pPr>
        <w:jc w:val="both"/>
        <w:rPr>
          <w:rFonts w:hint="eastAsia" w:eastAsia="黑体"/>
          <w:color w:val="auto"/>
          <w:lang w:eastAsia="zh-CN"/>
        </w:rPr>
      </w:pPr>
    </w:p>
    <w:p w14:paraId="1419D855">
      <w:pPr>
        <w:jc w:val="both"/>
        <w:rPr>
          <w:rFonts w:hint="eastAsia" w:eastAsia="黑体"/>
          <w:color w:val="auto"/>
          <w:lang w:eastAsia="zh-CN"/>
        </w:rPr>
      </w:pPr>
      <w:r>
        <w:rPr>
          <w:color w:val="auto"/>
        </w:rPr>
        <w:drawing>
          <wp:inline distT="0" distB="0" distL="114300" distR="114300">
            <wp:extent cx="4335780" cy="2939415"/>
            <wp:effectExtent l="0" t="0" r="7620" b="13335"/>
            <wp:docPr id="6" name="图片 3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FIG S2"/>
                    <pic:cNvPicPr>
                      <a:picLocks noChangeAspect="1"/>
                    </pic:cNvPicPr>
                  </pic:nvPicPr>
                  <pic:blipFill>
                    <a:blip r:embed="rId13"/>
                    <a:srcRect l="16714" t="6491" r="36016" b="36537"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C4C5B">
      <w:pPr>
        <w:rPr>
          <w:color w:val="auto"/>
        </w:rPr>
      </w:pPr>
    </w:p>
    <w:p w14:paraId="55DA1A52">
      <w:pPr>
        <w:rPr>
          <w:color w:val="auto"/>
        </w:rPr>
      </w:pPr>
    </w:p>
    <w:p w14:paraId="50770B7F">
      <w:pPr>
        <w:rPr>
          <w:color w:val="auto"/>
        </w:rPr>
      </w:pPr>
    </w:p>
    <w:p w14:paraId="5B84B982">
      <w:pPr>
        <w:rPr>
          <w:color w:val="auto"/>
        </w:rPr>
      </w:pPr>
    </w:p>
    <w:p w14:paraId="1B49DE66">
      <w:pPr>
        <w:rPr>
          <w:color w:val="auto"/>
        </w:rPr>
      </w:pPr>
    </w:p>
    <w:p w14:paraId="56F3B2A8">
      <w:pPr>
        <w:rPr>
          <w:color w:val="auto"/>
        </w:rPr>
      </w:pPr>
    </w:p>
    <w:p w14:paraId="2DF4A447">
      <w:pPr>
        <w:rPr>
          <w:color w:val="auto"/>
        </w:rPr>
      </w:pPr>
    </w:p>
    <w:p w14:paraId="038C1CD1">
      <w:pPr>
        <w:rPr>
          <w:color w:val="auto"/>
        </w:rPr>
      </w:pPr>
    </w:p>
    <w:p w14:paraId="1C3D02E9">
      <w:pPr>
        <w:rPr>
          <w:color w:val="auto"/>
        </w:rPr>
      </w:pPr>
    </w:p>
    <w:p w14:paraId="6DA53207">
      <w:pPr>
        <w:rPr>
          <w:color w:val="auto"/>
        </w:rPr>
      </w:pPr>
    </w:p>
    <w:p w14:paraId="63EFF9D7">
      <w:pPr>
        <w:rPr>
          <w:color w:val="auto"/>
        </w:rPr>
      </w:pPr>
    </w:p>
    <w:p w14:paraId="7C0EA6B5">
      <w:pPr>
        <w:rPr>
          <w:color w:val="auto"/>
        </w:rPr>
      </w:pPr>
    </w:p>
    <w:p w14:paraId="5C12E1C0">
      <w:pPr>
        <w:rPr>
          <w:color w:val="auto"/>
        </w:rPr>
      </w:pPr>
    </w:p>
    <w:p w14:paraId="0146A9C1">
      <w:pPr>
        <w:rPr>
          <w:color w:val="auto"/>
        </w:rPr>
      </w:pPr>
    </w:p>
    <w:p w14:paraId="04651B10">
      <w:pPr>
        <w:rPr>
          <w:color w:val="auto"/>
        </w:rPr>
      </w:pPr>
    </w:p>
    <w:p w14:paraId="0720EC33">
      <w:pPr>
        <w:rPr>
          <w:color w:val="auto"/>
        </w:rPr>
      </w:pPr>
    </w:p>
    <w:p w14:paraId="1CDE6A5B">
      <w:pPr>
        <w:rPr>
          <w:rFonts w:hint="eastAsia"/>
          <w:i w:val="0"/>
          <w:iCs w:val="0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t>Fig. S</w:t>
      </w:r>
      <w:r>
        <w:rPr>
          <w:rFonts w:hint="eastAsia"/>
          <w:color w:val="auto"/>
          <w:highlight w:val="none"/>
          <w:lang w:val="en-US" w:eastAsia="zh-CN"/>
        </w:rPr>
        <w:t xml:space="preserve">3 </w:t>
      </w:r>
      <w:r>
        <w:rPr>
          <w:rFonts w:hint="eastAsia"/>
          <w:i w:val="0"/>
          <w:iCs w:val="0"/>
          <w:color w:val="auto"/>
          <w:highlight w:val="none"/>
        </w:rPr>
        <w:t xml:space="preserve">Growth of </w:t>
      </w:r>
      <w:r>
        <w:rPr>
          <w:rFonts w:hint="eastAsia"/>
          <w:i/>
          <w:iCs/>
          <w:color w:val="auto"/>
          <w:highlight w:val="none"/>
        </w:rPr>
        <w:t>Trichoderma viride</w:t>
      </w:r>
      <w:r>
        <w:rPr>
          <w:rFonts w:hint="eastAsia"/>
          <w:i w:val="0"/>
          <w:iCs w:val="0"/>
          <w:color w:val="auto"/>
          <w:highlight w:val="none"/>
        </w:rPr>
        <w:t xml:space="preserve"> XZ11-1 on the Columbia Blood Agar medium</w:t>
      </w:r>
      <w:r>
        <w:rPr>
          <w:rFonts w:hint="eastAsia"/>
          <w:i w:val="0"/>
          <w:iCs w:val="0"/>
          <w:color w:val="auto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highlight w:val="none"/>
          <w:shd w:val="clear" w:color="auto" w:fill="FFFFFF"/>
          <w:lang w:val="en-US" w:eastAsia="zh-CN"/>
        </w:rPr>
        <w:t>(CBA, Beijing Solarbio Biological Technology Co., Ltd.)</w:t>
      </w:r>
      <w:r>
        <w:rPr>
          <w:rFonts w:hint="eastAsia"/>
          <w:i w:val="0"/>
          <w:iCs w:val="0"/>
          <w:color w:val="auto"/>
          <w:highlight w:val="none"/>
          <w:lang w:val="en-US" w:eastAsia="zh-CN"/>
        </w:rPr>
        <w:t>.</w:t>
      </w:r>
    </w:p>
    <w:p w14:paraId="056FAA8E">
      <w:pPr>
        <w:rPr>
          <w:rFonts w:hint="eastAsia" w:eastAsia="黑体"/>
          <w:color w:val="auto"/>
          <w:lang w:eastAsia="zh-CN"/>
        </w:rPr>
      </w:pPr>
      <w:r>
        <w:rPr>
          <w:rFonts w:hint="eastAsia"/>
          <w:i/>
          <w:iCs/>
          <w:color w:val="auto"/>
        </w:rPr>
        <w:t>.</w:t>
      </w:r>
      <w:r>
        <w:rPr>
          <w:rFonts w:hint="eastAsia" w:eastAsia="黑体"/>
          <w:color w:val="auto"/>
          <w:lang w:eastAsia="zh-CN"/>
        </w:rPr>
        <w:drawing>
          <wp:inline distT="0" distB="0" distL="114300" distR="114300">
            <wp:extent cx="1651000" cy="1645285"/>
            <wp:effectExtent l="0" t="0" r="6350" b="12065"/>
            <wp:docPr id="3" name="图片 3" descr="IMG_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0"/>
                    <pic:cNvPicPr>
                      <a:picLocks noChangeAspect="1"/>
                    </pic:cNvPicPr>
                  </pic:nvPicPr>
                  <pic:blipFill>
                    <a:blip r:embed="rId14">
                      <a:lum bright="18000" contrast="18000"/>
                    </a:blip>
                    <a:srcRect l="24094" t="6196" r="20097" b="1038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EC6F4">
      <w:pPr>
        <w:rPr>
          <w:color w:val="auto"/>
        </w:rPr>
      </w:pPr>
    </w:p>
    <w:p w14:paraId="5D3D2577">
      <w:pPr>
        <w:ind w:left="0" w:leftChars="0" w:firstLine="0" w:firstLineChars="0"/>
        <w:rPr>
          <w:color w:val="auto"/>
        </w:rPr>
      </w:pPr>
    </w:p>
    <w:p w14:paraId="288A9709">
      <w:pPr>
        <w:ind w:left="0" w:leftChars="0" w:firstLine="0" w:firstLineChars="0"/>
        <w:rPr>
          <w:color w:val="auto"/>
        </w:rPr>
      </w:pPr>
    </w:p>
    <w:p w14:paraId="0A5194A6">
      <w:pPr>
        <w:ind w:left="0" w:leftChars="0" w:firstLine="0" w:firstLineChars="0"/>
        <w:rPr>
          <w:color w:val="auto"/>
        </w:rPr>
      </w:pPr>
    </w:p>
    <w:p w14:paraId="4213EB67">
      <w:pPr>
        <w:ind w:left="0" w:leftChars="0" w:firstLine="0" w:firstLineChars="0"/>
        <w:rPr>
          <w:color w:val="auto"/>
        </w:rPr>
      </w:pPr>
    </w:p>
    <w:p w14:paraId="1DEFCC40">
      <w:pPr>
        <w:ind w:left="0" w:leftChars="0" w:firstLine="0" w:firstLineChars="0"/>
        <w:rPr>
          <w:color w:val="auto"/>
        </w:rPr>
      </w:pPr>
    </w:p>
    <w:p w14:paraId="20681C2C">
      <w:pPr>
        <w:ind w:left="0" w:leftChars="0" w:firstLine="0" w:firstLineChars="0"/>
        <w:rPr>
          <w:color w:val="auto"/>
        </w:rPr>
      </w:pPr>
    </w:p>
    <w:p w14:paraId="4C32EB3B">
      <w:pPr>
        <w:ind w:left="0" w:leftChars="0" w:firstLine="0" w:firstLineChars="0"/>
        <w:rPr>
          <w:color w:val="auto"/>
        </w:rPr>
      </w:pPr>
    </w:p>
    <w:p w14:paraId="0C0443BE">
      <w:pPr>
        <w:ind w:left="0" w:leftChars="0" w:firstLine="0" w:firstLineChars="0"/>
        <w:rPr>
          <w:color w:val="auto"/>
        </w:rPr>
      </w:pPr>
    </w:p>
    <w:p w14:paraId="566DAECF">
      <w:pPr>
        <w:ind w:left="0" w:leftChars="0" w:firstLine="0" w:firstLineChars="0"/>
        <w:rPr>
          <w:color w:val="auto"/>
        </w:rPr>
      </w:pPr>
    </w:p>
    <w:p w14:paraId="660384F8">
      <w:pPr>
        <w:ind w:left="0" w:leftChars="0" w:firstLine="0" w:firstLineChars="0"/>
        <w:rPr>
          <w:color w:val="auto"/>
        </w:rPr>
      </w:pPr>
    </w:p>
    <w:p w14:paraId="3E569A1E">
      <w:pPr>
        <w:ind w:left="0" w:leftChars="0" w:firstLine="0" w:firstLineChars="0"/>
        <w:rPr>
          <w:color w:val="auto"/>
        </w:rPr>
      </w:pPr>
    </w:p>
    <w:p w14:paraId="30096622">
      <w:pPr>
        <w:ind w:left="0" w:leftChars="0" w:firstLine="0" w:firstLineChars="0"/>
        <w:rPr>
          <w:color w:val="auto"/>
        </w:rPr>
      </w:pPr>
    </w:p>
    <w:p w14:paraId="1C1B6592">
      <w:pPr>
        <w:ind w:left="0" w:leftChars="0" w:firstLine="0" w:firstLineChars="0"/>
        <w:rPr>
          <w:color w:val="auto"/>
        </w:rPr>
      </w:pPr>
    </w:p>
    <w:p w14:paraId="34B36C65">
      <w:pPr>
        <w:ind w:left="0" w:leftChars="0" w:firstLine="0" w:firstLineChars="0"/>
        <w:rPr>
          <w:color w:val="auto"/>
        </w:rPr>
      </w:pPr>
    </w:p>
    <w:p w14:paraId="5CFEE1BA">
      <w:pPr>
        <w:ind w:left="0" w:leftChars="0" w:firstLine="0" w:firstLineChars="0"/>
        <w:rPr>
          <w:color w:val="auto"/>
        </w:rPr>
      </w:pPr>
    </w:p>
    <w:p w14:paraId="1C11B568">
      <w:pPr>
        <w:ind w:left="0" w:leftChars="0" w:firstLine="0" w:firstLineChars="0"/>
        <w:rPr>
          <w:color w:val="auto"/>
        </w:rPr>
      </w:pPr>
    </w:p>
    <w:p w14:paraId="6D128245">
      <w:pPr>
        <w:ind w:left="0" w:leftChars="0" w:firstLine="0" w:firstLineChars="0"/>
        <w:rPr>
          <w:color w:val="auto"/>
        </w:rPr>
      </w:pPr>
    </w:p>
    <w:p w14:paraId="36F93EE9">
      <w:pPr>
        <w:ind w:left="0" w:leftChars="0" w:firstLine="0" w:firstLineChars="0"/>
        <w:rPr>
          <w:color w:val="auto"/>
        </w:rPr>
      </w:pPr>
    </w:p>
    <w:p w14:paraId="7475665B">
      <w:pPr>
        <w:ind w:left="0" w:leftChars="0" w:firstLine="0" w:firstLineChars="0"/>
        <w:rPr>
          <w:color w:val="auto"/>
        </w:rPr>
      </w:pPr>
    </w:p>
    <w:p w14:paraId="643938A3">
      <w:pPr>
        <w:ind w:left="0" w:leftChars="0" w:firstLine="0" w:firstLineChars="0"/>
        <w:rPr>
          <w:color w:val="auto"/>
        </w:rPr>
      </w:pPr>
    </w:p>
    <w:p w14:paraId="0DD33C78">
      <w:pPr>
        <w:rPr>
          <w:color w:val="auto"/>
        </w:rPr>
      </w:pPr>
      <w:r>
        <w:rPr>
          <w:b/>
          <w:bCs/>
          <w:color w:val="auto"/>
        </w:rPr>
        <w:t xml:space="preserve">Supplementary Table 1. </w:t>
      </w:r>
      <w:r>
        <w:rPr>
          <w:color w:val="auto"/>
        </w:rPr>
        <w:t xml:space="preserve">Determination of physiological and biochemical properties of </w:t>
      </w:r>
      <w:r>
        <w:rPr>
          <w:rFonts w:eastAsiaTheme="minorEastAsia"/>
          <w:i/>
          <w:iCs/>
          <w:color w:val="auto"/>
          <w:shd w:val="clear" w:color="auto" w:fill="FFFFFF"/>
        </w:rPr>
        <w:t>Trichoderma viride</w:t>
      </w:r>
      <w:r>
        <w:rPr>
          <w:rFonts w:eastAsiaTheme="minorEastAsia"/>
          <w:color w:val="auto"/>
          <w:shd w:val="clear" w:color="auto" w:fill="FFFFFF"/>
        </w:rPr>
        <w:t xml:space="preserve"> XZ11-1</w:t>
      </w:r>
    </w:p>
    <w:tbl>
      <w:tblPr>
        <w:tblStyle w:val="7"/>
        <w:tblW w:w="8395" w:type="dxa"/>
        <w:jc w:val="center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0"/>
        <w:gridCol w:w="1253"/>
        <w:gridCol w:w="2969"/>
        <w:gridCol w:w="1203"/>
      </w:tblGrid>
      <w:tr w14:paraId="42FEE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tblCellSpacing w:w="0" w:type="dxa"/>
          <w:jc w:val="center"/>
        </w:trPr>
        <w:tc>
          <w:tcPr>
            <w:tcW w:w="2970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C39331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Carbon source utilization</w:t>
            </w:r>
          </w:p>
        </w:tc>
        <w:tc>
          <w:tcPr>
            <w:tcW w:w="1253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F2C992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Result</w:t>
            </w:r>
          </w:p>
        </w:tc>
        <w:tc>
          <w:tcPr>
            <w:tcW w:w="2969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2BA8CD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Nitrogen source utilization</w:t>
            </w:r>
          </w:p>
        </w:tc>
        <w:tc>
          <w:tcPr>
            <w:tcW w:w="1203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7943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Result</w:t>
            </w:r>
          </w:p>
        </w:tc>
      </w:tr>
      <w:tr w14:paraId="61614D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92448B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Sanitol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5C5EBD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AB5520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Glycine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D65A5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</w:tr>
      <w:tr w14:paraId="6E24E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E8CF32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L-Arabinose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619B1D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887B61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Methionine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F21BE6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71296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1B242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Sorbitol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90408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09525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Ammonium sulfate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99E4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</w:tr>
      <w:tr w14:paraId="0E435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6551F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Yeast extract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069A9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658A9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Histidine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82A6BC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</w:tr>
      <w:tr w14:paraId="4742A4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BD4BED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D-Mannose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16A00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054F8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Casein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C9EAD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</w:tr>
      <w:tr w14:paraId="6F6C22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B73C9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D-Trehalose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BEA0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6D2C50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Cysteine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49CDE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05976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6AF89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D-Galactose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CED4AC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C1D04F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L-Arginine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612A10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</w:tr>
      <w:tr w14:paraId="3C234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8040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D-Fructose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CF5178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7522A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L-Valine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FA4D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13395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7669DF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Saccharose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C85FBC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0D935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Nitrate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D9C3CC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</w:tr>
      <w:tr w14:paraId="4837D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F7DCDD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Dextrin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0C37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B729B0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L-Asparagine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C6F1D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</w:tr>
      <w:tr w14:paraId="2E8B8B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5573BA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Xylan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456AD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203311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L-tyrosine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53C3C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57179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6A1926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D-Melezitose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3AD2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26B605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Glutamic acid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1932A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</w:tr>
      <w:tr w14:paraId="5E24E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49570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D-Mannitol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9C7F21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C6222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Tyrosine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19141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</w:tr>
      <w:tr w14:paraId="441393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8F20C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Glucose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E99D48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4399F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L-Hydroxyproline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66528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51D27C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1C411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D-Ribose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F97428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E9FED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DL-Methionine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275EA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4ACA2B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0CB84D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Maltose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07142C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9DD0A6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Carbamide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A430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</w:tr>
      <w:tr w14:paraId="5A680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FC950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Mannitol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AD310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FCDD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Phenylalanine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98F125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</w:tr>
      <w:tr w14:paraId="41E70C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E881BF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L-Rhamnose</w:t>
            </w:r>
          </w:p>
        </w:tc>
        <w:tc>
          <w:tcPr>
            <w:tcW w:w="125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656E6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  <w:tc>
          <w:tcPr>
            <w:tcW w:w="2969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009F9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Anhydrous inositol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F6CB6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38C288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tblCellSpacing w:w="0" w:type="dxa"/>
          <w:jc w:val="center"/>
        </w:trPr>
        <w:tc>
          <w:tcPr>
            <w:tcW w:w="2970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DF5C1C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Raffinose</w:t>
            </w:r>
          </w:p>
        </w:tc>
        <w:tc>
          <w:tcPr>
            <w:tcW w:w="1253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DD8EA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  <w:tc>
          <w:tcPr>
            <w:tcW w:w="2969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B5F5B6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Tryptophan</w:t>
            </w:r>
          </w:p>
        </w:tc>
        <w:tc>
          <w:tcPr>
            <w:tcW w:w="1203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FE935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</w:tr>
    </w:tbl>
    <w:p w14:paraId="1A0A8F96">
      <w:pPr>
        <w:rPr>
          <w:color w:val="auto"/>
        </w:rPr>
      </w:pPr>
    </w:p>
    <w:p w14:paraId="322FEDB7">
      <w:pPr>
        <w:ind w:firstLine="0"/>
        <w:rPr>
          <w:rFonts w:hint="eastAsia"/>
          <w:color w:val="auto"/>
        </w:rPr>
      </w:pPr>
    </w:p>
    <w:p w14:paraId="5541497F">
      <w:pPr>
        <w:rPr>
          <w:color w:val="auto"/>
        </w:rPr>
      </w:pPr>
    </w:p>
    <w:p w14:paraId="73BF5CEB">
      <w:pPr>
        <w:rPr>
          <w:color w:val="auto"/>
        </w:rPr>
      </w:pPr>
    </w:p>
    <w:p w14:paraId="07799910">
      <w:pPr>
        <w:rPr>
          <w:color w:val="auto"/>
        </w:rPr>
      </w:pPr>
    </w:p>
    <w:p w14:paraId="0F5CA29A">
      <w:pPr>
        <w:rPr>
          <w:color w:val="auto"/>
        </w:rPr>
      </w:pPr>
    </w:p>
    <w:p w14:paraId="6FD6B1E7">
      <w:pPr>
        <w:rPr>
          <w:color w:val="auto"/>
        </w:rPr>
      </w:pPr>
      <w:r>
        <w:rPr>
          <w:b/>
          <w:bCs/>
          <w:color w:val="auto"/>
        </w:rPr>
        <w:t>Supplementary Table 2</w:t>
      </w:r>
      <w:r>
        <w:rPr>
          <w:color w:val="auto"/>
        </w:rPr>
        <w:t>. The strain XZ11-1's tolerance to pH and sodium chloride (NaCl).</w:t>
      </w:r>
    </w:p>
    <w:tbl>
      <w:tblPr>
        <w:tblStyle w:val="7"/>
        <w:tblW w:w="5552" w:type="dxa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7"/>
        <w:gridCol w:w="1709"/>
        <w:gridCol w:w="1396"/>
        <w:gridCol w:w="1310"/>
      </w:tblGrid>
      <w:tr w14:paraId="677CD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tblCellSpacing w:w="0" w:type="dxa"/>
          <w:jc w:val="center"/>
        </w:trPr>
        <w:tc>
          <w:tcPr>
            <w:tcW w:w="1170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73E175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pH</w:t>
            </w:r>
          </w:p>
        </w:tc>
        <w:tc>
          <w:tcPr>
            <w:tcW w:w="1800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9D06C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Result</w:t>
            </w:r>
          </w:p>
        </w:tc>
        <w:tc>
          <w:tcPr>
            <w:tcW w:w="1440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196F10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NaCl</w:t>
            </w:r>
          </w:p>
        </w:tc>
        <w:tc>
          <w:tcPr>
            <w:tcW w:w="1142" w:type="dxa"/>
            <w:tcBorders>
              <w:top w:val="single" w:color="080000" w:sz="12" w:space="0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674D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Result</w:t>
            </w:r>
          </w:p>
        </w:tc>
      </w:tr>
      <w:tr w14:paraId="63DF4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CellSpacing w:w="0" w:type="dxa"/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235C8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A0E02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C4652D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1%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6A58D9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</w:tr>
      <w:tr w14:paraId="388C0E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CellSpacing w:w="0" w:type="dxa"/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CE6B7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4BA3EB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+++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C3302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3%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D95E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</w:tr>
      <w:tr w14:paraId="09D8F3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CellSpacing w:w="0" w:type="dxa"/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0A2B45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2AF2D2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B24CC2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5%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7B2F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1D354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CellSpacing w:w="0" w:type="dxa"/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02BD42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23708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++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A1E0CA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7%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3959C1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382626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CellSpacing w:w="0" w:type="dxa"/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E6B47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55A13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D4A8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8%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A08BF5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40E1A7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CellSpacing w:w="0" w:type="dxa"/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8FC58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158CAB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+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C247A6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9%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388B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14:paraId="45B620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CellSpacing w:w="0" w:type="dxa"/>
          <w:jc w:val="center"/>
        </w:trPr>
        <w:tc>
          <w:tcPr>
            <w:tcW w:w="1170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F342AE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1800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51C70F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440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4E469F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10%</w:t>
            </w:r>
          </w:p>
        </w:tc>
        <w:tc>
          <w:tcPr>
            <w:tcW w:w="1142" w:type="dxa"/>
            <w:tcBorders>
              <w:top w:val="nil"/>
              <w:bottom w:val="single" w:color="080000" w:sz="1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F7EFC4">
            <w:pPr>
              <w:pStyle w:val="6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</w:tbl>
    <w:p w14:paraId="7700F0BF">
      <w:pPr>
        <w:rPr>
          <w:color w:val="auto"/>
        </w:rPr>
      </w:pPr>
    </w:p>
    <w:p w14:paraId="7A20CEFD">
      <w:pPr>
        <w:rPr>
          <w:color w:val="auto"/>
        </w:rPr>
      </w:pPr>
    </w:p>
    <w:p w14:paraId="57B1A6A3">
      <w:pPr>
        <w:rPr>
          <w:color w:val="auto"/>
        </w:rPr>
      </w:pPr>
    </w:p>
    <w:p w14:paraId="55529640">
      <w:pPr>
        <w:rPr>
          <w:color w:val="auto"/>
        </w:rPr>
      </w:pPr>
    </w:p>
    <w:p w14:paraId="5C5B09B0">
      <w:pPr>
        <w:rPr>
          <w:color w:val="auto"/>
        </w:rPr>
      </w:pPr>
    </w:p>
    <w:p w14:paraId="2B8F891E">
      <w:pPr>
        <w:rPr>
          <w:color w:val="auto"/>
        </w:rPr>
      </w:pPr>
    </w:p>
    <w:p w14:paraId="3C8C181E">
      <w:pPr>
        <w:rPr>
          <w:color w:val="auto"/>
        </w:rPr>
      </w:pPr>
    </w:p>
    <w:p w14:paraId="65861708">
      <w:pPr>
        <w:rPr>
          <w:color w:val="auto"/>
        </w:rPr>
      </w:pPr>
    </w:p>
    <w:p w14:paraId="642E6977">
      <w:pPr>
        <w:rPr>
          <w:color w:val="auto"/>
        </w:rPr>
      </w:pPr>
    </w:p>
    <w:p w14:paraId="6390F915">
      <w:pPr>
        <w:rPr>
          <w:color w:val="auto"/>
        </w:rPr>
      </w:pPr>
    </w:p>
    <w:p w14:paraId="4BB08853">
      <w:pPr>
        <w:rPr>
          <w:color w:val="auto"/>
        </w:rPr>
      </w:pPr>
    </w:p>
    <w:p w14:paraId="4E6AAEFE">
      <w:pPr>
        <w:rPr>
          <w:color w:val="auto"/>
        </w:rPr>
      </w:pPr>
    </w:p>
    <w:p w14:paraId="6DC8341E">
      <w:pPr>
        <w:rPr>
          <w:color w:val="auto"/>
        </w:rPr>
      </w:pPr>
    </w:p>
    <w:p w14:paraId="348447AE">
      <w:pPr>
        <w:rPr>
          <w:color w:val="auto"/>
        </w:rPr>
      </w:pPr>
    </w:p>
    <w:p w14:paraId="59CA7E19">
      <w:pPr>
        <w:rPr>
          <w:color w:val="auto"/>
        </w:rPr>
      </w:pPr>
    </w:p>
    <w:p w14:paraId="73C40510">
      <w:pPr>
        <w:rPr>
          <w:color w:val="auto"/>
        </w:rPr>
      </w:pPr>
    </w:p>
    <w:p w14:paraId="3C782F48">
      <w:pPr>
        <w:rPr>
          <w:color w:val="auto"/>
        </w:rPr>
      </w:pPr>
    </w:p>
    <w:p w14:paraId="5ED0E460">
      <w:pPr>
        <w:rPr>
          <w:color w:val="auto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3" w:name="_GoBack"/>
      <w:bookmarkEnd w:id="3"/>
    </w:p>
    <w:p w14:paraId="57FBB256">
      <w:pPr>
        <w:ind w:left="0" w:leftChars="0" w:firstLine="0" w:firstLineChars="0"/>
        <w:rPr>
          <w:color w:val="auto"/>
        </w:rPr>
      </w:pPr>
    </w:p>
    <w:p w14:paraId="13553187">
      <w:pPr>
        <w:rPr>
          <w:color w:val="auto"/>
        </w:rPr>
      </w:pPr>
    </w:p>
    <w:p w14:paraId="2ECBFBB0">
      <w:pPr>
        <w:ind w:left="0" w:leftChars="0" w:firstLine="0" w:firstLineChars="0"/>
        <w:rPr>
          <w:color w:val="auto"/>
        </w:rPr>
      </w:pPr>
      <w:r>
        <w:rPr>
          <w:b/>
          <w:bCs/>
          <w:color w:val="auto"/>
        </w:rPr>
        <w:t>Supplementary Table 3.</w:t>
      </w:r>
      <w:r>
        <w:rPr>
          <w:color w:val="auto"/>
        </w:rPr>
        <w:t xml:space="preserve"> Results of the genome sequencing and assembly of strain XZ11-1.</w:t>
      </w:r>
    </w:p>
    <w:p w14:paraId="62836028">
      <w:pPr>
        <w:rPr>
          <w:color w:val="auto"/>
        </w:rPr>
      </w:pPr>
    </w:p>
    <w:tbl>
      <w:tblPr>
        <w:tblStyle w:val="8"/>
        <w:tblpPr w:leftFromText="180" w:rightFromText="180" w:vertAnchor="text" w:horzAnchor="page" w:tblpX="1484" w:tblpY="687"/>
        <w:tblOverlap w:val="never"/>
        <w:tblW w:w="148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1505"/>
        <w:gridCol w:w="1656"/>
        <w:gridCol w:w="1505"/>
        <w:gridCol w:w="1776"/>
        <w:gridCol w:w="1350"/>
        <w:gridCol w:w="1476"/>
        <w:gridCol w:w="1356"/>
        <w:gridCol w:w="1236"/>
        <w:gridCol w:w="1190"/>
      </w:tblGrid>
      <w:tr w14:paraId="574E5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</w:trPr>
        <w:tc>
          <w:tcPr>
            <w:tcW w:w="1776" w:type="dxa"/>
          </w:tcPr>
          <w:p w14:paraId="4291E901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307725E3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Scaffold Length （bp)</w:t>
            </w:r>
          </w:p>
        </w:tc>
        <w:tc>
          <w:tcPr>
            <w:tcW w:w="1505" w:type="dxa"/>
          </w:tcPr>
          <w:p w14:paraId="34F12B95">
            <w:pPr>
              <w:rPr>
                <w:color w:val="auto"/>
                <w:sz w:val="22"/>
                <w:szCs w:val="22"/>
              </w:rPr>
            </w:pPr>
          </w:p>
          <w:p w14:paraId="3FCA3D95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Scaffold Number</w:t>
            </w:r>
          </w:p>
        </w:tc>
        <w:tc>
          <w:tcPr>
            <w:tcW w:w="1656" w:type="dxa"/>
            <w:vAlign w:val="center"/>
          </w:tcPr>
          <w:p w14:paraId="3548FBA4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Scaffold N50 (bp)</w:t>
            </w:r>
          </w:p>
        </w:tc>
        <w:tc>
          <w:tcPr>
            <w:tcW w:w="1505" w:type="dxa"/>
            <w:vAlign w:val="center"/>
          </w:tcPr>
          <w:p w14:paraId="3133D1A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Scaffold N90 (bp)</w:t>
            </w:r>
          </w:p>
        </w:tc>
        <w:tc>
          <w:tcPr>
            <w:tcW w:w="1776" w:type="dxa"/>
            <w:vAlign w:val="center"/>
          </w:tcPr>
          <w:p w14:paraId="1C821A0A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Contig Length (bp)</w:t>
            </w:r>
          </w:p>
        </w:tc>
        <w:tc>
          <w:tcPr>
            <w:tcW w:w="1350" w:type="dxa"/>
            <w:vAlign w:val="center"/>
          </w:tcPr>
          <w:p w14:paraId="5151B84B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Contig Number</w:t>
            </w:r>
          </w:p>
        </w:tc>
        <w:tc>
          <w:tcPr>
            <w:tcW w:w="1476" w:type="dxa"/>
            <w:vAlign w:val="center"/>
          </w:tcPr>
          <w:p w14:paraId="6232C545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Contig N50 (bp)</w:t>
            </w:r>
          </w:p>
        </w:tc>
        <w:tc>
          <w:tcPr>
            <w:tcW w:w="1356" w:type="dxa"/>
            <w:vAlign w:val="center"/>
          </w:tcPr>
          <w:p w14:paraId="7A28BDDA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Contig N90 (bp)</w:t>
            </w:r>
          </w:p>
        </w:tc>
        <w:tc>
          <w:tcPr>
            <w:tcW w:w="1236" w:type="dxa"/>
            <w:vAlign w:val="center"/>
          </w:tcPr>
          <w:p w14:paraId="1A5DC7BA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GC content (%)</w:t>
            </w:r>
          </w:p>
        </w:tc>
        <w:tc>
          <w:tcPr>
            <w:tcW w:w="1190" w:type="dxa"/>
            <w:vAlign w:val="center"/>
          </w:tcPr>
          <w:p w14:paraId="67FBE5AE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Gaps Number</w:t>
            </w:r>
          </w:p>
        </w:tc>
      </w:tr>
      <w:tr w14:paraId="00AA3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776" w:type="dxa"/>
          </w:tcPr>
          <w:p w14:paraId="4604D020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39,984,956</w:t>
            </w:r>
          </w:p>
        </w:tc>
        <w:tc>
          <w:tcPr>
            <w:tcW w:w="1505" w:type="dxa"/>
          </w:tcPr>
          <w:p w14:paraId="4915C131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272</w:t>
            </w:r>
          </w:p>
        </w:tc>
        <w:tc>
          <w:tcPr>
            <w:tcW w:w="1656" w:type="dxa"/>
          </w:tcPr>
          <w:p w14:paraId="1A291C1B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1,193,018</w:t>
            </w:r>
          </w:p>
        </w:tc>
        <w:tc>
          <w:tcPr>
            <w:tcW w:w="1505" w:type="dxa"/>
          </w:tcPr>
          <w:p w14:paraId="45665FA2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219,412</w:t>
            </w:r>
          </w:p>
        </w:tc>
        <w:tc>
          <w:tcPr>
            <w:tcW w:w="1776" w:type="dxa"/>
          </w:tcPr>
          <w:p w14:paraId="220C6E04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39,948,532</w:t>
            </w:r>
          </w:p>
        </w:tc>
        <w:tc>
          <w:tcPr>
            <w:tcW w:w="1350" w:type="dxa"/>
          </w:tcPr>
          <w:p w14:paraId="3123BD1A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1,050</w:t>
            </w:r>
          </w:p>
        </w:tc>
        <w:tc>
          <w:tcPr>
            <w:tcW w:w="1476" w:type="dxa"/>
          </w:tcPr>
          <w:p w14:paraId="3BC2DDC2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125,125</w:t>
            </w:r>
          </w:p>
        </w:tc>
        <w:tc>
          <w:tcPr>
            <w:tcW w:w="1356" w:type="dxa"/>
          </w:tcPr>
          <w:p w14:paraId="431E1BD5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28,227</w:t>
            </w:r>
          </w:p>
        </w:tc>
        <w:tc>
          <w:tcPr>
            <w:tcW w:w="1236" w:type="dxa"/>
          </w:tcPr>
          <w:p w14:paraId="4A951FFF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48,42</w:t>
            </w:r>
          </w:p>
        </w:tc>
        <w:tc>
          <w:tcPr>
            <w:tcW w:w="1190" w:type="dxa"/>
          </w:tcPr>
          <w:p w14:paraId="50F5C26A">
            <w:pPr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778</w:t>
            </w:r>
          </w:p>
        </w:tc>
      </w:tr>
    </w:tbl>
    <w:p w14:paraId="7411CD5D">
      <w:pPr>
        <w:rPr>
          <w:color w:val="auto"/>
        </w:rPr>
      </w:pPr>
    </w:p>
    <w:p w14:paraId="454F383D">
      <w:pPr>
        <w:rPr>
          <w:color w:val="auto"/>
        </w:rPr>
      </w:pPr>
      <w:r>
        <w:rPr>
          <w:color w:val="auto"/>
        </w:rPr>
        <w:t xml:space="preserve">Supplementary Table </w:t>
      </w:r>
      <w:r>
        <w:rPr>
          <w:rFonts w:hint="eastAsia"/>
          <w:color w:val="auto"/>
        </w:rPr>
        <w:t>4</w:t>
      </w:r>
      <w:r>
        <w:rPr>
          <w:color w:val="auto"/>
        </w:rPr>
        <w:t>. GO, KEGG and KOG annotated data.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3"/>
        <w:gridCol w:w="1495"/>
        <w:gridCol w:w="2422"/>
        <w:gridCol w:w="1936"/>
      </w:tblGrid>
      <w:tr w14:paraId="2951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0" w:type="dxa"/>
            <w:vAlign w:val="center"/>
          </w:tcPr>
          <w:p w14:paraId="0B2D643D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Database</w:t>
            </w:r>
          </w:p>
        </w:tc>
        <w:tc>
          <w:tcPr>
            <w:tcW w:w="1495" w:type="dxa"/>
            <w:vAlign w:val="center"/>
          </w:tcPr>
          <w:p w14:paraId="676B3719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Number</w:t>
            </w:r>
          </w:p>
        </w:tc>
        <w:tc>
          <w:tcPr>
            <w:tcW w:w="2419" w:type="dxa"/>
            <w:vAlign w:val="center"/>
          </w:tcPr>
          <w:p w14:paraId="172DAA1A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100&lt;=length&lt;300</w:t>
            </w:r>
          </w:p>
        </w:tc>
        <w:tc>
          <w:tcPr>
            <w:tcW w:w="1936" w:type="dxa"/>
            <w:vAlign w:val="center"/>
          </w:tcPr>
          <w:p w14:paraId="4DE37020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length&gt;=300</w:t>
            </w:r>
          </w:p>
        </w:tc>
      </w:tr>
      <w:tr w14:paraId="5D731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0" w:type="dxa"/>
            <w:vAlign w:val="center"/>
          </w:tcPr>
          <w:p w14:paraId="31623B3B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GO_Annotation</w:t>
            </w:r>
          </w:p>
        </w:tc>
        <w:tc>
          <w:tcPr>
            <w:tcW w:w="1495" w:type="dxa"/>
            <w:vAlign w:val="center"/>
          </w:tcPr>
          <w:p w14:paraId="20870B98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8,316</w:t>
            </w:r>
          </w:p>
        </w:tc>
        <w:tc>
          <w:tcPr>
            <w:tcW w:w="2419" w:type="dxa"/>
            <w:vAlign w:val="center"/>
          </w:tcPr>
          <w:p w14:paraId="77D492CB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1,937</w:t>
            </w:r>
          </w:p>
        </w:tc>
        <w:tc>
          <w:tcPr>
            <w:tcW w:w="1936" w:type="dxa"/>
            <w:vAlign w:val="center"/>
          </w:tcPr>
          <w:p w14:paraId="31106803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6,247</w:t>
            </w:r>
          </w:p>
        </w:tc>
      </w:tr>
      <w:tr w14:paraId="1CD5A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0" w:type="dxa"/>
            <w:vAlign w:val="center"/>
          </w:tcPr>
          <w:p w14:paraId="22FC7FE0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KEGG_Annotation</w:t>
            </w:r>
          </w:p>
        </w:tc>
        <w:tc>
          <w:tcPr>
            <w:tcW w:w="1495" w:type="dxa"/>
            <w:vAlign w:val="center"/>
          </w:tcPr>
          <w:p w14:paraId="4BC28586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3,326</w:t>
            </w:r>
          </w:p>
        </w:tc>
        <w:tc>
          <w:tcPr>
            <w:tcW w:w="2419" w:type="dxa"/>
            <w:vAlign w:val="center"/>
          </w:tcPr>
          <w:p w14:paraId="008934A9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813</w:t>
            </w:r>
          </w:p>
        </w:tc>
        <w:tc>
          <w:tcPr>
            <w:tcW w:w="1936" w:type="dxa"/>
            <w:vAlign w:val="center"/>
          </w:tcPr>
          <w:p w14:paraId="2AB5D5BE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2,455</w:t>
            </w:r>
          </w:p>
        </w:tc>
      </w:tr>
      <w:tr w14:paraId="0DB9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0" w:type="dxa"/>
            <w:vAlign w:val="center"/>
          </w:tcPr>
          <w:p w14:paraId="4AE0FF4C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KOG_Annotation</w:t>
            </w:r>
          </w:p>
        </w:tc>
        <w:tc>
          <w:tcPr>
            <w:tcW w:w="1495" w:type="dxa"/>
            <w:vAlign w:val="center"/>
          </w:tcPr>
          <w:p w14:paraId="34AEECED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5,903</w:t>
            </w:r>
          </w:p>
        </w:tc>
        <w:tc>
          <w:tcPr>
            <w:tcW w:w="2419" w:type="dxa"/>
            <w:vAlign w:val="center"/>
          </w:tcPr>
          <w:p w14:paraId="35C407E1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1,180</w:t>
            </w:r>
          </w:p>
        </w:tc>
        <w:tc>
          <w:tcPr>
            <w:tcW w:w="1936" w:type="dxa"/>
            <w:vAlign w:val="center"/>
          </w:tcPr>
          <w:p w14:paraId="3C6F1D07">
            <w:pPr>
              <w:rPr>
                <w:color w:val="auto"/>
              </w:rPr>
            </w:pPr>
            <w:r>
              <w:rPr>
                <w:color w:val="auto"/>
                <w:lang w:bidi="ar"/>
              </w:rPr>
              <w:t>4,666</w:t>
            </w:r>
          </w:p>
        </w:tc>
      </w:tr>
    </w:tbl>
    <w:p w14:paraId="1D3DBC6C"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0137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34DD3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62294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B0F3F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D767F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7A95D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9E1C2F"/>
    <w:rsid w:val="001C6D94"/>
    <w:rsid w:val="003C7AC6"/>
    <w:rsid w:val="00425F7F"/>
    <w:rsid w:val="0066545F"/>
    <w:rsid w:val="007963A5"/>
    <w:rsid w:val="007C5DE8"/>
    <w:rsid w:val="007C7C85"/>
    <w:rsid w:val="008340BD"/>
    <w:rsid w:val="009E1C2F"/>
    <w:rsid w:val="00B342F6"/>
    <w:rsid w:val="00BB7638"/>
    <w:rsid w:val="00BD5B48"/>
    <w:rsid w:val="00C9007D"/>
    <w:rsid w:val="00EC0142"/>
    <w:rsid w:val="00EC7AC8"/>
    <w:rsid w:val="00F46199"/>
    <w:rsid w:val="00F539BF"/>
    <w:rsid w:val="02F70D3E"/>
    <w:rsid w:val="08DD2784"/>
    <w:rsid w:val="0FCC4846"/>
    <w:rsid w:val="14135946"/>
    <w:rsid w:val="22C6255E"/>
    <w:rsid w:val="25BF43FD"/>
    <w:rsid w:val="28D64DCE"/>
    <w:rsid w:val="2D03774C"/>
    <w:rsid w:val="2F5557E0"/>
    <w:rsid w:val="36930E51"/>
    <w:rsid w:val="3D265690"/>
    <w:rsid w:val="45BA27F4"/>
    <w:rsid w:val="4E055665"/>
    <w:rsid w:val="526C6BB6"/>
    <w:rsid w:val="59EF2B28"/>
    <w:rsid w:val="5AC54162"/>
    <w:rsid w:val="5BA71A46"/>
    <w:rsid w:val="5E2F22B0"/>
    <w:rsid w:val="64E060B2"/>
    <w:rsid w:val="741473C6"/>
    <w:rsid w:val="74410077"/>
    <w:rsid w:val="766F725C"/>
    <w:rsid w:val="77BA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480"/>
      <w:jc w:val="both"/>
    </w:pPr>
    <w:rPr>
      <w:rFonts w:eastAsia="黑体" w:asciiTheme="majorBidi" w:hAnsiTheme="majorBidi" w:cstheme="maj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0"/>
    <w:pPr>
      <w:keepNext/>
      <w:keepLines/>
      <w:spacing w:before="50" w:beforeLines="50" w:after="50" w:afterLines="50" w:line="240" w:lineRule="auto"/>
      <w:ind w:firstLine="0"/>
      <w:jc w:val="left"/>
      <w:outlineLvl w:val="0"/>
    </w:pPr>
    <w:rPr>
      <w:rFonts w:eastAsia="宋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2"/>
    <w:autoRedefine/>
    <w:semiHidden/>
    <w:unhideWhenUsed/>
    <w:qFormat/>
    <w:uiPriority w:val="0"/>
    <w:pPr>
      <w:keepNext/>
      <w:keepLines/>
      <w:spacing w:before="50" w:beforeLines="50" w:after="50" w:afterLines="50" w:line="240" w:lineRule="auto"/>
      <w:ind w:firstLine="0"/>
      <w:jc w:val="left"/>
      <w:outlineLvl w:val="1"/>
    </w:pPr>
    <w:rPr>
      <w:rFonts w:ascii="Cambria" w:hAnsi="Cambria"/>
      <w:bCs/>
      <w:kern w:val="0"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1 字符"/>
    <w:link w:val="2"/>
    <w:autoRedefine/>
    <w:qFormat/>
    <w:uiPriority w:val="9"/>
    <w:rPr>
      <w:rFonts w:eastAsia="黑体" w:asciiTheme="minorHAnsi" w:hAnsiTheme="minorHAnsi"/>
      <w:bCs/>
      <w:kern w:val="44"/>
      <w:sz w:val="28"/>
      <w:szCs w:val="44"/>
    </w:rPr>
  </w:style>
  <w:style w:type="character" w:customStyle="1" w:styleId="12">
    <w:name w:val="标题 2 字符"/>
    <w:link w:val="3"/>
    <w:autoRedefine/>
    <w:semiHidden/>
    <w:qFormat/>
    <w:uiPriority w:val="9"/>
    <w:rPr>
      <w:rFonts w:ascii="Cambria" w:hAnsi="Cambria" w:eastAsia="黑体" w:cs="Times New Roman"/>
      <w:bCs/>
      <w:sz w:val="24"/>
      <w:szCs w:val="32"/>
    </w:rPr>
  </w:style>
  <w:style w:type="character" w:customStyle="1" w:styleId="13">
    <w:name w:val="页眉 字符"/>
    <w:basedOn w:val="9"/>
    <w:link w:val="5"/>
    <w:qFormat/>
    <w:uiPriority w:val="0"/>
    <w:rPr>
      <w:rFonts w:eastAsia="黑体" w:cs="Arial" w:asciiTheme="minorHAnsi" w:hAnsiTheme="minorHAnsi"/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rFonts w:eastAsia="黑体" w:cs="Arial" w:asciiTheme="minorHAnsi" w:hAnsiTheme="minorHAnsi"/>
      <w:kern w:val="2"/>
      <w:sz w:val="18"/>
      <w:szCs w:val="18"/>
    </w:rPr>
  </w:style>
  <w:style w:type="paragraph" w:customStyle="1" w:styleId="15">
    <w:name w:val="Revision"/>
    <w:hidden/>
    <w:semiHidden/>
    <w:qFormat/>
    <w:uiPriority w:val="99"/>
    <w:rPr>
      <w:rFonts w:eastAsia="黑体" w:cs="Arial" w:asciiTheme="minorHAnsi" w:hAnsiTheme="minorHAns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3.jpe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457</Words>
  <Characters>2709</Characters>
  <Lines>13</Lines>
  <Paragraphs>3</Paragraphs>
  <TotalTime>0</TotalTime>
  <ScaleCrop>false</ScaleCrop>
  <LinksUpToDate>false</LinksUpToDate>
  <CharactersWithSpaces>3004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2024-04-13T08:02:00Z</dcterms:created>
  <dc:creator>18352</dc:creator>
  <cp:lastModifiedBy>dengbo</cp:lastModifiedBy>
  <dcterms:modified xsi:type="dcterms:W3CDTF">2024-12-05T23:10:50Z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9306AB87FAE8440BA373EE649CBDEA51_13</vt:lpwstr>
  </property>
</Properties>
</file>