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C4A5" w14:textId="3B7FBF7E" w:rsidR="00623214" w:rsidRPr="00704D14" w:rsidRDefault="00623214" w:rsidP="00623214">
      <w:pPr>
        <w:spacing w:line="240" w:lineRule="auto"/>
        <w:rPr>
          <w:rFonts w:ascii="Arial" w:hAnsi="Arial" w:cs="Arial"/>
          <w:lang w:bidi="en-US"/>
        </w:rPr>
      </w:pPr>
      <w:r w:rsidRPr="00704D14">
        <w:rPr>
          <w:rFonts w:ascii="Arial" w:hAnsi="Arial" w:cs="Arial"/>
          <w:lang w:bidi="en-US"/>
        </w:rPr>
        <w:t xml:space="preserve">Supplementary </w:t>
      </w:r>
      <w:r w:rsidR="00C123C6" w:rsidRPr="00704D14">
        <w:rPr>
          <w:rFonts w:ascii="Arial" w:hAnsi="Arial" w:cs="Arial"/>
          <w:lang w:bidi="en-US"/>
        </w:rPr>
        <w:t>T</w:t>
      </w:r>
      <w:r w:rsidRPr="00704D14">
        <w:rPr>
          <w:rFonts w:ascii="Arial" w:hAnsi="Arial" w:cs="Arial"/>
          <w:lang w:bidi="en-US"/>
        </w:rPr>
        <w:t xml:space="preserve">able </w:t>
      </w:r>
      <w:r w:rsidR="00C123C6" w:rsidRPr="00704D14">
        <w:rPr>
          <w:rFonts w:ascii="Arial" w:hAnsi="Arial" w:cs="Arial"/>
          <w:lang w:bidi="en-US"/>
        </w:rPr>
        <w:t>4</w:t>
      </w:r>
      <w:r w:rsidRPr="00704D14">
        <w:rPr>
          <w:rFonts w:ascii="Arial" w:hAnsi="Arial" w:cs="Arial"/>
          <w:lang w:bidi="en-US"/>
        </w:rPr>
        <w:t xml:space="preserve">. </w:t>
      </w:r>
    </w:p>
    <w:p w14:paraId="6C8F5B17" w14:textId="660010E7" w:rsidR="00623214" w:rsidRPr="00704D14" w:rsidRDefault="007A0033">
      <w:pPr>
        <w:rPr>
          <w:rFonts w:ascii="Arial" w:hAnsi="Arial" w:cs="Arial"/>
        </w:rPr>
      </w:pPr>
      <w:r w:rsidRPr="00704D14">
        <w:rPr>
          <w:rFonts w:ascii="Arial" w:hAnsi="Arial" w:cs="Arial"/>
          <w:lang w:bidi="en-US"/>
        </w:rPr>
        <w:t xml:space="preserve">List of differentially expressed genes in </w:t>
      </w:r>
      <w:r w:rsidRPr="00704D14">
        <w:rPr>
          <w:rFonts w:ascii="Arial" w:hAnsi="Arial" w:cs="Arial"/>
          <w:i/>
          <w:iCs/>
          <w:lang w:bidi="en-US"/>
        </w:rPr>
        <w:t>S. aureus</w:t>
      </w:r>
      <w:r w:rsidRPr="00704D14">
        <w:rPr>
          <w:rFonts w:ascii="Arial" w:hAnsi="Arial" w:cs="Arial"/>
          <w:lang w:bidi="en-US"/>
        </w:rPr>
        <w:t xml:space="preserve"> after DNase and RNase treatment used for KEGG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4"/>
        <w:gridCol w:w="1960"/>
        <w:gridCol w:w="2024"/>
        <w:gridCol w:w="2735"/>
      </w:tblGrid>
      <w:tr w:rsidR="00623214" w:rsidRPr="00704D14" w14:paraId="269DF3FB" w14:textId="77777777" w:rsidTr="00704D14">
        <w:tc>
          <w:tcPr>
            <w:tcW w:w="1734" w:type="dxa"/>
          </w:tcPr>
          <w:p w14:paraId="44F4A2E2" w14:textId="77777777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04D14">
              <w:rPr>
                <w:rFonts w:ascii="Arial" w:hAnsi="Arial" w:cs="Arial"/>
                <w:b/>
                <w:bCs/>
                <w:lang w:val="en-US" w:bidi="en-US"/>
              </w:rPr>
              <w:t>Locus</w:t>
            </w:r>
          </w:p>
        </w:tc>
        <w:tc>
          <w:tcPr>
            <w:tcW w:w="1960" w:type="dxa"/>
          </w:tcPr>
          <w:p w14:paraId="78198E7E" w14:textId="77777777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04D14">
              <w:rPr>
                <w:rFonts w:ascii="Arial" w:hAnsi="Arial" w:cs="Arial"/>
                <w:b/>
                <w:bCs/>
                <w:lang w:val="en-US" w:bidi="en-US"/>
              </w:rPr>
              <w:t>Log 2 Fold change</w:t>
            </w:r>
          </w:p>
        </w:tc>
        <w:tc>
          <w:tcPr>
            <w:tcW w:w="2024" w:type="dxa"/>
          </w:tcPr>
          <w:p w14:paraId="077C622D" w14:textId="77777777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04D14">
              <w:rPr>
                <w:rFonts w:ascii="Arial" w:hAnsi="Arial" w:cs="Arial"/>
                <w:b/>
                <w:bCs/>
                <w:lang w:val="en-US" w:bidi="en-US"/>
              </w:rPr>
              <w:t>Common name</w:t>
            </w:r>
          </w:p>
        </w:tc>
        <w:tc>
          <w:tcPr>
            <w:tcW w:w="2735" w:type="dxa"/>
          </w:tcPr>
          <w:p w14:paraId="49CF0920" w14:textId="21773BA4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04D14">
              <w:rPr>
                <w:rFonts w:ascii="Arial" w:hAnsi="Arial" w:cs="Arial"/>
                <w:b/>
                <w:bCs/>
                <w:lang w:val="en-US" w:bidi="en-US"/>
              </w:rPr>
              <w:t>Description</w:t>
            </w:r>
          </w:p>
        </w:tc>
      </w:tr>
      <w:tr w:rsidR="00623214" w:rsidRPr="00704D14" w14:paraId="145A9A72" w14:textId="77777777" w:rsidTr="00704D14">
        <w:tc>
          <w:tcPr>
            <w:tcW w:w="1734" w:type="dxa"/>
          </w:tcPr>
          <w:p w14:paraId="14A5B87B" w14:textId="54EAA8A7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SA2291</w:t>
            </w:r>
          </w:p>
        </w:tc>
        <w:tc>
          <w:tcPr>
            <w:tcW w:w="1960" w:type="dxa"/>
          </w:tcPr>
          <w:p w14:paraId="34A3076C" w14:textId="7AD94EF0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0.720554193</w:t>
            </w:r>
          </w:p>
        </w:tc>
        <w:tc>
          <w:tcPr>
            <w:tcW w:w="2024" w:type="dxa"/>
          </w:tcPr>
          <w:p w14:paraId="6D6091AC" w14:textId="40BFD822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fnbA</w:t>
            </w:r>
          </w:p>
        </w:tc>
        <w:tc>
          <w:tcPr>
            <w:tcW w:w="2735" w:type="dxa"/>
          </w:tcPr>
          <w:p w14:paraId="2CC172B7" w14:textId="47C1542B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Fibronectin-binding protein</w:t>
            </w:r>
          </w:p>
        </w:tc>
      </w:tr>
      <w:tr w:rsidR="00623214" w:rsidRPr="00704D14" w14:paraId="522B8221" w14:textId="77777777" w:rsidTr="00704D14">
        <w:tc>
          <w:tcPr>
            <w:tcW w:w="1734" w:type="dxa"/>
          </w:tcPr>
          <w:p w14:paraId="72E3B139" w14:textId="15CF26C6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SA2290</w:t>
            </w:r>
          </w:p>
        </w:tc>
        <w:tc>
          <w:tcPr>
            <w:tcW w:w="1960" w:type="dxa"/>
          </w:tcPr>
          <w:p w14:paraId="7A66B5A8" w14:textId="77777777" w:rsidR="00B974D8" w:rsidRPr="00704D14" w:rsidRDefault="00B974D8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0.824457533</w:t>
            </w:r>
          </w:p>
          <w:p w14:paraId="2412BF2F" w14:textId="66D4738E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7E3D4211" w14:textId="1EEA2AD1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fnbB</w:t>
            </w:r>
          </w:p>
        </w:tc>
        <w:tc>
          <w:tcPr>
            <w:tcW w:w="2735" w:type="dxa"/>
          </w:tcPr>
          <w:p w14:paraId="0F1C77C5" w14:textId="1032BF91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Fibronectin-binding protein B</w:t>
            </w:r>
          </w:p>
        </w:tc>
      </w:tr>
      <w:tr w:rsidR="00623214" w:rsidRPr="00704D14" w14:paraId="2E6199AD" w14:textId="77777777" w:rsidTr="00704D14">
        <w:tc>
          <w:tcPr>
            <w:tcW w:w="1734" w:type="dxa"/>
          </w:tcPr>
          <w:p w14:paraId="6A2C035A" w14:textId="59E98251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SA0521</w:t>
            </w:r>
          </w:p>
        </w:tc>
        <w:tc>
          <w:tcPr>
            <w:tcW w:w="1960" w:type="dxa"/>
          </w:tcPr>
          <w:p w14:paraId="35898BF5" w14:textId="3CFD642C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0.677357201</w:t>
            </w:r>
          </w:p>
        </w:tc>
        <w:tc>
          <w:tcPr>
            <w:tcW w:w="2024" w:type="dxa"/>
          </w:tcPr>
          <w:p w14:paraId="78CAFDEF" w14:textId="64D631CF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sdrD</w:t>
            </w:r>
          </w:p>
        </w:tc>
        <w:tc>
          <w:tcPr>
            <w:tcW w:w="2735" w:type="dxa"/>
          </w:tcPr>
          <w:p w14:paraId="1E7CA20D" w14:textId="274CA68C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Serine-aspartate repeat-containing protein D</w:t>
            </w:r>
          </w:p>
        </w:tc>
      </w:tr>
      <w:tr w:rsidR="00623214" w:rsidRPr="00704D14" w14:paraId="13865E4E" w14:textId="77777777" w:rsidTr="00704D14">
        <w:tc>
          <w:tcPr>
            <w:tcW w:w="1734" w:type="dxa"/>
          </w:tcPr>
          <w:p w14:paraId="71514A3A" w14:textId="0FB2C303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SA0107</w:t>
            </w:r>
          </w:p>
        </w:tc>
        <w:tc>
          <w:tcPr>
            <w:tcW w:w="1960" w:type="dxa"/>
          </w:tcPr>
          <w:p w14:paraId="56997EBE" w14:textId="060A40CE" w:rsidR="00623214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0.549650502</w:t>
            </w:r>
          </w:p>
        </w:tc>
        <w:tc>
          <w:tcPr>
            <w:tcW w:w="2024" w:type="dxa"/>
          </w:tcPr>
          <w:p w14:paraId="59A0199C" w14:textId="3A04A5BE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spa</w:t>
            </w:r>
          </w:p>
        </w:tc>
        <w:tc>
          <w:tcPr>
            <w:tcW w:w="2735" w:type="dxa"/>
          </w:tcPr>
          <w:p w14:paraId="6E0366A9" w14:textId="2ADDD7A9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Immunoglobulin G-binding protein A</w:t>
            </w:r>
          </w:p>
        </w:tc>
      </w:tr>
      <w:tr w:rsidR="00623214" w:rsidRPr="00704D14" w14:paraId="647C0322" w14:textId="77777777" w:rsidTr="00704D14">
        <w:tc>
          <w:tcPr>
            <w:tcW w:w="1734" w:type="dxa"/>
          </w:tcPr>
          <w:p w14:paraId="24DC8205" w14:textId="793772C2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SA0272</w:t>
            </w:r>
          </w:p>
        </w:tc>
        <w:tc>
          <w:tcPr>
            <w:tcW w:w="1960" w:type="dxa"/>
          </w:tcPr>
          <w:p w14:paraId="67332870" w14:textId="77777777" w:rsidR="00196EC1" w:rsidRPr="00704D14" w:rsidRDefault="00196EC1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0.855038659</w:t>
            </w:r>
          </w:p>
          <w:p w14:paraId="3A74CFAF" w14:textId="7359C70B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2E504C8F" w14:textId="1F8F4F7F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esaA</w:t>
            </w:r>
          </w:p>
        </w:tc>
        <w:tc>
          <w:tcPr>
            <w:tcW w:w="2735" w:type="dxa"/>
          </w:tcPr>
          <w:p w14:paraId="5995D793" w14:textId="510A8916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Type VII secretion system accessory factor EsaA</w:t>
            </w:r>
          </w:p>
        </w:tc>
      </w:tr>
      <w:tr w:rsidR="00623214" w:rsidRPr="00704D14" w14:paraId="26460DCC" w14:textId="77777777" w:rsidTr="00704D14">
        <w:tc>
          <w:tcPr>
            <w:tcW w:w="1734" w:type="dxa"/>
          </w:tcPr>
          <w:p w14:paraId="04911C4D" w14:textId="5EFB6540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SA0273</w:t>
            </w:r>
          </w:p>
        </w:tc>
        <w:tc>
          <w:tcPr>
            <w:tcW w:w="1960" w:type="dxa"/>
          </w:tcPr>
          <w:p w14:paraId="4DF76D7E" w14:textId="6996BB71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0.889200772</w:t>
            </w:r>
          </w:p>
        </w:tc>
        <w:tc>
          <w:tcPr>
            <w:tcW w:w="2024" w:type="dxa"/>
          </w:tcPr>
          <w:p w14:paraId="28306B78" w14:textId="036B65C7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essA</w:t>
            </w:r>
          </w:p>
        </w:tc>
        <w:tc>
          <w:tcPr>
            <w:tcW w:w="2735" w:type="dxa"/>
          </w:tcPr>
          <w:p w14:paraId="64979543" w14:textId="51E08DB2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ESAT-6 secretion machinery protein EssA</w:t>
            </w:r>
          </w:p>
        </w:tc>
      </w:tr>
      <w:tr w:rsidR="00623214" w:rsidRPr="00704D14" w14:paraId="713096D4" w14:textId="77777777" w:rsidTr="00704D14">
        <w:tc>
          <w:tcPr>
            <w:tcW w:w="1734" w:type="dxa"/>
          </w:tcPr>
          <w:p w14:paraId="688C1882" w14:textId="661C9F1A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SA0275</w:t>
            </w:r>
          </w:p>
        </w:tc>
        <w:tc>
          <w:tcPr>
            <w:tcW w:w="1960" w:type="dxa"/>
          </w:tcPr>
          <w:p w14:paraId="6195256A" w14:textId="230F15B7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0.906011452</w:t>
            </w:r>
          </w:p>
        </w:tc>
        <w:tc>
          <w:tcPr>
            <w:tcW w:w="2024" w:type="dxa"/>
          </w:tcPr>
          <w:p w14:paraId="31C94CD1" w14:textId="14A3BBE7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essB</w:t>
            </w:r>
          </w:p>
        </w:tc>
        <w:tc>
          <w:tcPr>
            <w:tcW w:w="2735" w:type="dxa"/>
          </w:tcPr>
          <w:p w14:paraId="1294CAB1" w14:textId="53EDA395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Type VII secretion system protein EssB</w:t>
            </w:r>
          </w:p>
        </w:tc>
      </w:tr>
      <w:tr w:rsidR="00623214" w:rsidRPr="00704D14" w14:paraId="05ED7A4E" w14:textId="77777777" w:rsidTr="00704D14">
        <w:tc>
          <w:tcPr>
            <w:tcW w:w="1734" w:type="dxa"/>
          </w:tcPr>
          <w:p w14:paraId="70173B7F" w14:textId="79C9FE2B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color w:val="000000"/>
              </w:rPr>
              <w:t>SA0276</w:t>
            </w:r>
          </w:p>
        </w:tc>
        <w:tc>
          <w:tcPr>
            <w:tcW w:w="1960" w:type="dxa"/>
          </w:tcPr>
          <w:p w14:paraId="773952ED" w14:textId="77777777" w:rsidR="00196EC1" w:rsidRPr="00704D14" w:rsidRDefault="00196EC1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1.005592893</w:t>
            </w:r>
          </w:p>
          <w:p w14:paraId="46527A56" w14:textId="6C5BD4EF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652C112D" w14:textId="12405A42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essC</w:t>
            </w:r>
          </w:p>
        </w:tc>
        <w:tc>
          <w:tcPr>
            <w:tcW w:w="2735" w:type="dxa"/>
          </w:tcPr>
          <w:p w14:paraId="669BE6AD" w14:textId="29A40970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Type VII secretion system protein EssC</w:t>
            </w:r>
          </w:p>
        </w:tc>
      </w:tr>
      <w:tr w:rsidR="00623214" w:rsidRPr="00704D14" w14:paraId="5FDE4745" w14:textId="77777777" w:rsidTr="00704D14">
        <w:tc>
          <w:tcPr>
            <w:tcW w:w="1734" w:type="dxa"/>
          </w:tcPr>
          <w:p w14:paraId="0279B4B1" w14:textId="6638B829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SA0277</w:t>
            </w:r>
          </w:p>
        </w:tc>
        <w:tc>
          <w:tcPr>
            <w:tcW w:w="1960" w:type="dxa"/>
          </w:tcPr>
          <w:p w14:paraId="1215A02D" w14:textId="7D2CF557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0.834040802</w:t>
            </w:r>
          </w:p>
        </w:tc>
        <w:tc>
          <w:tcPr>
            <w:tcW w:w="2024" w:type="dxa"/>
          </w:tcPr>
          <w:p w14:paraId="62AEA8D4" w14:textId="1A6F86DA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ecxC</w:t>
            </w:r>
          </w:p>
        </w:tc>
        <w:tc>
          <w:tcPr>
            <w:tcW w:w="2735" w:type="dxa"/>
          </w:tcPr>
          <w:p w14:paraId="618FAC9F" w14:textId="5C00C756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ESAT-6 secretion system extracellular protein C</w:t>
            </w:r>
          </w:p>
        </w:tc>
      </w:tr>
      <w:tr w:rsidR="00623214" w:rsidRPr="00704D14" w14:paraId="11B7796B" w14:textId="77777777" w:rsidTr="00704D14">
        <w:tc>
          <w:tcPr>
            <w:tcW w:w="1734" w:type="dxa"/>
          </w:tcPr>
          <w:p w14:paraId="6D611767" w14:textId="3C51A64E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SA1862</w:t>
            </w:r>
          </w:p>
        </w:tc>
        <w:tc>
          <w:tcPr>
            <w:tcW w:w="1960" w:type="dxa"/>
          </w:tcPr>
          <w:p w14:paraId="7FFCFCE9" w14:textId="77777777" w:rsidR="00196EC1" w:rsidRPr="00704D14" w:rsidRDefault="00196EC1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-1.05624244</w:t>
            </w:r>
          </w:p>
          <w:p w14:paraId="40CBB57E" w14:textId="58DAE55F" w:rsidR="00623214" w:rsidRPr="00704D14" w:rsidRDefault="00623214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61FE6BFA" w14:textId="6063374F" w:rsidR="00623214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/>
              </w:rPr>
            </w:pPr>
            <w:r w:rsidRPr="00704D14">
              <w:rPr>
                <w:rFonts w:ascii="Arial" w:hAnsi="Arial" w:cs="Arial"/>
                <w:lang w:val="en-US"/>
              </w:rPr>
              <w:t>leuA</w:t>
            </w:r>
          </w:p>
        </w:tc>
        <w:tc>
          <w:tcPr>
            <w:tcW w:w="2735" w:type="dxa"/>
          </w:tcPr>
          <w:p w14:paraId="7881416A" w14:textId="7637BFF1" w:rsidR="00623214" w:rsidRPr="00704D14" w:rsidRDefault="00196EC1" w:rsidP="00704D14">
            <w:pPr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color w:val="000000"/>
              </w:rPr>
              <w:t>2-isopropylmalate synthase</w:t>
            </w:r>
          </w:p>
        </w:tc>
      </w:tr>
      <w:tr w:rsidR="00196EC1" w:rsidRPr="00704D14" w14:paraId="4ECDBBB9" w14:textId="77777777" w:rsidTr="00704D14">
        <w:tc>
          <w:tcPr>
            <w:tcW w:w="1734" w:type="dxa"/>
          </w:tcPr>
          <w:p w14:paraId="46B9C5BA" w14:textId="40463825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SA1863</w:t>
            </w:r>
          </w:p>
        </w:tc>
        <w:tc>
          <w:tcPr>
            <w:tcW w:w="1960" w:type="dxa"/>
          </w:tcPr>
          <w:p w14:paraId="4CBC73EB" w14:textId="77777777" w:rsidR="00196EC1" w:rsidRPr="00704D14" w:rsidRDefault="00196EC1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-0.877887876</w:t>
            </w:r>
          </w:p>
          <w:p w14:paraId="5FE351D3" w14:textId="7ECC0F6E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2EC70304" w14:textId="0591C34F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leuB</w:t>
            </w:r>
          </w:p>
        </w:tc>
        <w:tc>
          <w:tcPr>
            <w:tcW w:w="2735" w:type="dxa"/>
          </w:tcPr>
          <w:p w14:paraId="23CB717E" w14:textId="61DF95EA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3-isopropylmalate dehydrogenase</w:t>
            </w:r>
          </w:p>
        </w:tc>
      </w:tr>
      <w:tr w:rsidR="00196EC1" w:rsidRPr="00704D14" w14:paraId="04330673" w14:textId="77777777" w:rsidTr="00704D14">
        <w:tc>
          <w:tcPr>
            <w:tcW w:w="1734" w:type="dxa"/>
          </w:tcPr>
          <w:p w14:paraId="45A796F3" w14:textId="5F3C3FA2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SA1864</w:t>
            </w:r>
          </w:p>
        </w:tc>
        <w:tc>
          <w:tcPr>
            <w:tcW w:w="1960" w:type="dxa"/>
          </w:tcPr>
          <w:p w14:paraId="4956D3F3" w14:textId="7ABADF74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-1.072094729</w:t>
            </w:r>
          </w:p>
        </w:tc>
        <w:tc>
          <w:tcPr>
            <w:tcW w:w="2024" w:type="dxa"/>
          </w:tcPr>
          <w:p w14:paraId="230DEBCB" w14:textId="694ECE58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leuC</w:t>
            </w:r>
          </w:p>
        </w:tc>
        <w:tc>
          <w:tcPr>
            <w:tcW w:w="2735" w:type="dxa"/>
          </w:tcPr>
          <w:p w14:paraId="681B8E67" w14:textId="0685C115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color w:val="000000"/>
              </w:rPr>
              <w:t>3-isopropylmalate dehydratase large subunit</w:t>
            </w:r>
          </w:p>
        </w:tc>
      </w:tr>
      <w:tr w:rsidR="00196EC1" w:rsidRPr="00704D14" w14:paraId="062FCD2E" w14:textId="77777777" w:rsidTr="00704D14">
        <w:tc>
          <w:tcPr>
            <w:tcW w:w="1734" w:type="dxa"/>
          </w:tcPr>
          <w:p w14:paraId="348B1503" w14:textId="1BECB97B" w:rsidR="00196EC1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SA1866</w:t>
            </w:r>
          </w:p>
        </w:tc>
        <w:tc>
          <w:tcPr>
            <w:tcW w:w="1960" w:type="dxa"/>
          </w:tcPr>
          <w:p w14:paraId="53B6BA5B" w14:textId="77777777" w:rsidR="00B974D8" w:rsidRPr="00704D14" w:rsidRDefault="00B974D8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-1.043536363</w:t>
            </w:r>
          </w:p>
          <w:p w14:paraId="56B1E683" w14:textId="5C1168ED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01E501F1" w14:textId="5D8D3D57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ilvA</w:t>
            </w:r>
          </w:p>
        </w:tc>
        <w:tc>
          <w:tcPr>
            <w:tcW w:w="2735" w:type="dxa"/>
          </w:tcPr>
          <w:p w14:paraId="49881F91" w14:textId="4591CD65" w:rsidR="00196EC1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L-threonine dehydratase biosynthetic IlvA</w:t>
            </w:r>
          </w:p>
        </w:tc>
      </w:tr>
      <w:tr w:rsidR="00196EC1" w:rsidRPr="00704D14" w14:paraId="01F5530F" w14:textId="77777777" w:rsidTr="00704D14">
        <w:trPr>
          <w:trHeight w:val="50"/>
        </w:trPr>
        <w:tc>
          <w:tcPr>
            <w:tcW w:w="1734" w:type="dxa"/>
          </w:tcPr>
          <w:p w14:paraId="72DF1D79" w14:textId="29011AD8" w:rsidR="00196EC1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SA1861</w:t>
            </w:r>
          </w:p>
        </w:tc>
        <w:tc>
          <w:tcPr>
            <w:tcW w:w="1960" w:type="dxa"/>
          </w:tcPr>
          <w:p w14:paraId="453E4E89" w14:textId="77777777" w:rsidR="00B974D8" w:rsidRPr="00704D14" w:rsidRDefault="00B974D8" w:rsidP="00704D14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04D14">
              <w:rPr>
                <w:rFonts w:ascii="Arial" w:hAnsi="Arial" w:cs="Arial"/>
                <w:color w:val="000000"/>
              </w:rPr>
              <w:t>-0.779267339</w:t>
            </w:r>
          </w:p>
          <w:p w14:paraId="747A9AE6" w14:textId="3B7AEF7C" w:rsidR="00196EC1" w:rsidRPr="00704D14" w:rsidRDefault="00196EC1" w:rsidP="00704D14">
            <w:pPr>
              <w:spacing w:line="276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1E9551C8" w14:textId="7E7B74D9" w:rsidR="00196EC1" w:rsidRPr="00704D14" w:rsidRDefault="00196EC1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IlvC</w:t>
            </w:r>
          </w:p>
        </w:tc>
        <w:tc>
          <w:tcPr>
            <w:tcW w:w="2735" w:type="dxa"/>
          </w:tcPr>
          <w:p w14:paraId="616F329B" w14:textId="7FDA215C" w:rsidR="00196EC1" w:rsidRPr="00704D14" w:rsidRDefault="00B974D8" w:rsidP="00704D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 w:bidi="en-US"/>
              </w:rPr>
            </w:pPr>
            <w:r w:rsidRPr="00704D14">
              <w:rPr>
                <w:rFonts w:ascii="Arial" w:hAnsi="Arial" w:cs="Arial"/>
                <w:lang w:val="en-US" w:bidi="en-US"/>
              </w:rPr>
              <w:t>Ketol-acid reductoisomerase (NADP(+))</w:t>
            </w:r>
          </w:p>
        </w:tc>
      </w:tr>
    </w:tbl>
    <w:p w14:paraId="1E5F3157" w14:textId="77777777" w:rsidR="00623214" w:rsidRPr="00704D14" w:rsidRDefault="00623214">
      <w:pPr>
        <w:rPr>
          <w:rFonts w:ascii="Arial" w:hAnsi="Arial" w:cs="Arial"/>
        </w:rPr>
      </w:pPr>
    </w:p>
    <w:sectPr w:rsidR="00623214" w:rsidRPr="00704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64"/>
    <w:rsid w:val="00196EC1"/>
    <w:rsid w:val="002D1354"/>
    <w:rsid w:val="003C2F82"/>
    <w:rsid w:val="0053056A"/>
    <w:rsid w:val="00623214"/>
    <w:rsid w:val="00704D14"/>
    <w:rsid w:val="00756BA6"/>
    <w:rsid w:val="007A0033"/>
    <w:rsid w:val="007F7D67"/>
    <w:rsid w:val="00875408"/>
    <w:rsid w:val="008A0180"/>
    <w:rsid w:val="00A12964"/>
    <w:rsid w:val="00AE6EDF"/>
    <w:rsid w:val="00B974D8"/>
    <w:rsid w:val="00C123C6"/>
    <w:rsid w:val="00D7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A744"/>
  <w15:chartTrackingRefBased/>
  <w15:docId w15:val="{C640E44B-D26C-4A40-B24F-D2E21149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21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0304">
          <w:marLeft w:val="0"/>
          <w:marRight w:val="0"/>
          <w:marTop w:val="240"/>
          <w:marBottom w:val="672"/>
          <w:divBdr>
            <w:top w:val="single" w:sz="6" w:space="0" w:color="97B0C8"/>
            <w:left w:val="single" w:sz="6" w:space="0" w:color="97B0C8"/>
            <w:bottom w:val="single" w:sz="6" w:space="0" w:color="97B0C8"/>
            <w:right w:val="single" w:sz="6" w:space="0" w:color="97B0C8"/>
          </w:divBdr>
          <w:divsChild>
            <w:div w:id="1290017473">
              <w:marLeft w:val="0"/>
              <w:marRight w:val="0"/>
              <w:marTop w:val="0"/>
              <w:marBottom w:val="0"/>
              <w:divBdr>
                <w:top w:val="single" w:sz="2" w:space="0" w:color="97B0C8"/>
                <w:left w:val="single" w:sz="2" w:space="0" w:color="97B0C8"/>
                <w:bottom w:val="single" w:sz="6" w:space="0" w:color="97B0C8"/>
                <w:right w:val="single" w:sz="2" w:space="0" w:color="97B0C8"/>
              </w:divBdr>
            </w:div>
          </w:divsChild>
        </w:div>
      </w:divsChild>
    </w:div>
    <w:div w:id="7392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Tetz</dc:creator>
  <cp:keywords/>
  <dc:description/>
  <cp:lastModifiedBy>george tetz</cp:lastModifiedBy>
  <cp:revision>7</cp:revision>
  <dcterms:created xsi:type="dcterms:W3CDTF">2024-07-30T09:42:00Z</dcterms:created>
  <dcterms:modified xsi:type="dcterms:W3CDTF">2025-01-02T21:58:00Z</dcterms:modified>
</cp:coreProperties>
</file>