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0F1" w:rsidRDefault="00E620F1" w:rsidP="00E620F1">
      <w:pPr>
        <w:widowControl w:val="0"/>
        <w:spacing w:before="271" w:line="480" w:lineRule="auto"/>
        <w:ind w:right="297"/>
        <w:jc w:val="both"/>
        <w:rPr>
          <w:rFonts w:ascii="Times New Roman" w:eastAsia="Times New Roman" w:hAnsi="Times New Roman" w:cs="Times New Roman"/>
          <w:b/>
          <w:sz w:val="24"/>
          <w:szCs w:val="24"/>
        </w:rPr>
      </w:pPr>
      <w:bookmarkStart w:id="0" w:name="_GoBack"/>
      <w:r>
        <w:rPr>
          <w:rFonts w:ascii="Times New Roman" w:eastAsia="Times New Roman" w:hAnsi="Times New Roman" w:cs="Times New Roman"/>
          <w:b/>
          <w:sz w:val="24"/>
          <w:szCs w:val="24"/>
        </w:rPr>
        <w:t>Supplementary</w:t>
      </w: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22FD254" wp14:editId="7FA483BA">
            <wp:extent cx="5731200" cy="2413000"/>
            <wp:effectExtent l="0" t="0" r="0" 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5731200" cy="2413000"/>
                    </a:xfrm>
                    <a:prstGeom prst="rect">
                      <a:avLst/>
                    </a:prstGeom>
                    <a:ln/>
                  </pic:spPr>
                </pic:pic>
              </a:graphicData>
            </a:graphic>
          </wp:inline>
        </w:drawing>
      </w: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S1: (A) The F168L mutation in </w:t>
      </w:r>
      <w:proofErr w:type="spellStart"/>
      <w:r>
        <w:rPr>
          <w:rFonts w:ascii="Times New Roman" w:eastAsia="Times New Roman" w:hAnsi="Times New Roman" w:cs="Times New Roman"/>
          <w:sz w:val="24"/>
          <w:szCs w:val="24"/>
        </w:rPr>
        <w:t>srlA</w:t>
      </w:r>
      <w:proofErr w:type="spellEnd"/>
      <w:r>
        <w:rPr>
          <w:rFonts w:ascii="Times New Roman" w:eastAsia="Times New Roman" w:hAnsi="Times New Roman" w:cs="Times New Roman"/>
          <w:sz w:val="24"/>
          <w:szCs w:val="24"/>
        </w:rPr>
        <w:t xml:space="preserve"> does not significantly affect the overall mutation rate induced by MP6. The number of mutations induced by MP6 was quantified in WT (without the </w:t>
      </w:r>
      <w:proofErr w:type="spellStart"/>
      <w:r>
        <w:rPr>
          <w:rFonts w:ascii="Times New Roman" w:eastAsia="Times New Roman" w:hAnsi="Times New Roman" w:cs="Times New Roman"/>
          <w:sz w:val="24"/>
          <w:szCs w:val="24"/>
        </w:rPr>
        <w:t>srlA</w:t>
      </w:r>
      <w:proofErr w:type="spellEnd"/>
      <w:r>
        <w:rPr>
          <w:rFonts w:ascii="Times New Roman" w:eastAsia="Times New Roman" w:hAnsi="Times New Roman" w:cs="Times New Roman"/>
          <w:sz w:val="24"/>
          <w:szCs w:val="24"/>
        </w:rPr>
        <w:t xml:space="preserve"> F168L mutation) and the </w:t>
      </w:r>
      <w:proofErr w:type="spellStart"/>
      <w:r>
        <w:rPr>
          <w:rFonts w:ascii="Times New Roman" w:eastAsia="Times New Roman" w:hAnsi="Times New Roman" w:cs="Times New Roman"/>
          <w:sz w:val="24"/>
          <w:szCs w:val="24"/>
        </w:rPr>
        <w:t>srlA</w:t>
      </w:r>
      <w:proofErr w:type="spellEnd"/>
      <w:r>
        <w:rPr>
          <w:rFonts w:ascii="Times New Roman" w:eastAsia="Times New Roman" w:hAnsi="Times New Roman" w:cs="Times New Roman"/>
          <w:sz w:val="24"/>
          <w:szCs w:val="24"/>
        </w:rPr>
        <w:t xml:space="preserve"> F168L mutant. Each dot represents an individual isolate randomly selected (n = 50) after induction, with isolates containing zero mutations excluded. Data are presented as mean ± standard error of the mean (SEM). Statistical analysis shows no significant difference between WT and </w:t>
      </w:r>
      <w:proofErr w:type="spellStart"/>
      <w:r>
        <w:rPr>
          <w:rFonts w:ascii="Times New Roman" w:eastAsia="Times New Roman" w:hAnsi="Times New Roman" w:cs="Times New Roman"/>
          <w:sz w:val="24"/>
          <w:szCs w:val="24"/>
        </w:rPr>
        <w:t>srlA</w:t>
      </w:r>
      <w:proofErr w:type="spellEnd"/>
      <w:r>
        <w:rPr>
          <w:rFonts w:ascii="Times New Roman" w:eastAsia="Times New Roman" w:hAnsi="Times New Roman" w:cs="Times New Roman"/>
          <w:sz w:val="24"/>
          <w:szCs w:val="24"/>
        </w:rPr>
        <w:t xml:space="preserve"> F168L (P &gt; 0.05, ns). (B) Fluorescence intensity of colonies after transformation, showcasing varying brightness levels due to the distinct combinations of promoters and RBS. (C) Gel electrophoresis image of reporter plasmids. Line 1: 1 kb DNA ladder. Line 2: Plasmid extracted from NEB 5α, primarily producing supercoiled monomers. Line 3: Plasmid extracted from M1. Line 4: Plasmid extracted from M2. Line 5: Linearized plasmid. Line 6: Open circular plasmid.</w:t>
      </w: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55E8502" wp14:editId="76219A08">
            <wp:extent cx="5731200" cy="4127500"/>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5731200" cy="4127500"/>
                    </a:xfrm>
                    <a:prstGeom prst="rect">
                      <a:avLst/>
                    </a:prstGeom>
                    <a:ln/>
                  </pic:spPr>
                </pic:pic>
              </a:graphicData>
            </a:graphic>
          </wp:inline>
        </w:drawing>
      </w: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S2: Read length histograms of the reporter plasmid extracted from NEB 5α, M1, and M2. (A) Plasmid extracted from NEB 5 alpha shows a dominant peak at 3.1 kb, corresponding to the plasmid monomer. (B) Plasmid extracted from M1 exhibits two peaks, indicating the presence of dimers and tetramers. (C) Plasmid extracted from M2 displays three peaks, corresponding to trimers, </w:t>
      </w:r>
      <w:proofErr w:type="spellStart"/>
      <w:r>
        <w:rPr>
          <w:rFonts w:ascii="Times New Roman" w:eastAsia="Times New Roman" w:hAnsi="Times New Roman" w:cs="Times New Roman"/>
          <w:sz w:val="24"/>
          <w:szCs w:val="24"/>
        </w:rPr>
        <w:t>pentamers</w:t>
      </w:r>
      <w:proofErr w:type="spellEnd"/>
      <w:r>
        <w:rPr>
          <w:rFonts w:ascii="Times New Roman" w:eastAsia="Times New Roman" w:hAnsi="Times New Roman" w:cs="Times New Roman"/>
          <w:sz w:val="24"/>
          <w:szCs w:val="24"/>
        </w:rPr>
        <w:t>, and hexamers. (D) Plasmid extracted from M3.The single peak, similar to the parental NEB 5α strain, indicates the presence of the plasmid monomer.</w:t>
      </w: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p>
    <w:p w:rsidR="00E620F1" w:rsidRDefault="00E620F1" w:rsidP="00E620F1">
      <w:pPr>
        <w:widowControl w:val="0"/>
        <w:spacing w:before="271" w:line="480" w:lineRule="auto"/>
        <w:ind w:right="297"/>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021F0BDD" wp14:editId="7C16C093">
            <wp:extent cx="4195763" cy="331061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95763" cy="3310610"/>
                    </a:xfrm>
                    <a:prstGeom prst="rect">
                      <a:avLst/>
                    </a:prstGeom>
                    <a:ln/>
                  </pic:spPr>
                </pic:pic>
              </a:graphicData>
            </a:graphic>
          </wp:inline>
        </w:drawing>
      </w:r>
    </w:p>
    <w:p w:rsidR="00E620F1" w:rsidRDefault="00E620F1" w:rsidP="00E620F1">
      <w:pPr>
        <w:widowControl w:val="0"/>
        <w:spacing w:before="271" w:line="480" w:lineRule="auto"/>
        <w:ind w:right="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S3: Analysis of on-target and off-target mutations after 10 cycles of MAGE. 10 random isolates were picked prior to reporter plasmid transformation to evaluate mutation outcomes. On average, each isolate carried 2.9 on-target mutations and 4.9 off-target mutations, indicating a higher frequency of off-target events after multiple MAGE cycles.</w:t>
      </w:r>
    </w:p>
    <w:bookmarkEnd w:id="0"/>
    <w:p w:rsidR="007F3DA9" w:rsidRDefault="007F3DA9"/>
    <w:sectPr w:rsidR="007F3DA9" w:rsidSect="00E620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0F1"/>
    <w:rsid w:val="000E4988"/>
    <w:rsid w:val="001343D1"/>
    <w:rsid w:val="002A4512"/>
    <w:rsid w:val="00310A2A"/>
    <w:rsid w:val="00334E78"/>
    <w:rsid w:val="0034078F"/>
    <w:rsid w:val="00343C65"/>
    <w:rsid w:val="00367ABD"/>
    <w:rsid w:val="004C7944"/>
    <w:rsid w:val="0060262D"/>
    <w:rsid w:val="00626A19"/>
    <w:rsid w:val="00677CF6"/>
    <w:rsid w:val="007F3DA9"/>
    <w:rsid w:val="00851957"/>
    <w:rsid w:val="00A22593"/>
    <w:rsid w:val="00A320EB"/>
    <w:rsid w:val="00B80ED7"/>
    <w:rsid w:val="00BF78F0"/>
    <w:rsid w:val="00C06AD8"/>
    <w:rsid w:val="00D1493B"/>
    <w:rsid w:val="00DB54B9"/>
    <w:rsid w:val="00E620F1"/>
    <w:rsid w:val="00FB6D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EC2B0A-AACE-4975-A295-2F00D04AD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281</Words>
  <Characters>1604</Characters>
  <Application>Microsoft Office Word</Application>
  <DocSecurity>0</DocSecurity>
  <Lines>13</Lines>
  <Paragraphs>3</Paragraphs>
  <ScaleCrop>false</ScaleCrop>
  <Company>HP Inc.</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Saranya Manogaran</dc:creator>
  <cp:keywords/>
  <dc:description/>
  <cp:lastModifiedBy>Saranya Manogaran</cp:lastModifiedBy>
  <cp:revision>1</cp:revision>
  <dcterms:created xsi:type="dcterms:W3CDTF">2025-08-11T06:54:00Z</dcterms:created>
  <dcterms:modified xsi:type="dcterms:W3CDTF">2025-08-11T06:54:00Z</dcterms:modified>
</cp:coreProperties>
</file>