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AD298" w14:textId="7CA77443" w:rsidR="00FA4942" w:rsidRPr="00FA4942" w:rsidRDefault="00FA4942" w:rsidP="00FA4942">
      <w:pPr>
        <w:pStyle w:val="Caption"/>
        <w:jc w:val="center"/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</w:pPr>
      <w:r w:rsidRPr="00FA4942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t>Supplementary data</w:t>
      </w:r>
    </w:p>
    <w:p w14:paraId="475A379E" w14:textId="77777777" w:rsidR="006E35D4" w:rsidRDefault="006E35D4" w:rsidP="006E35D4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99DC37B" w14:textId="3E8D21E6" w:rsidR="006E35D4" w:rsidRPr="004F1E28" w:rsidRDefault="006E35D4" w:rsidP="006E35D4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F1E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Biodegradation potential of used motor oil by mixed bacterial community: optimization, emulsification activity, bioelectrochemical and metagenomics analyses using single chamber microbial fuel cell</w:t>
      </w:r>
    </w:p>
    <w:p w14:paraId="14612C7D" w14:textId="77777777" w:rsidR="006E35D4" w:rsidRPr="004F1E28" w:rsidRDefault="006E35D4" w:rsidP="006E35D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1E28">
        <w:rPr>
          <w:rFonts w:ascii="Times New Roman" w:hAnsi="Times New Roman" w:cs="Times New Roman"/>
          <w:b/>
          <w:bCs/>
          <w:sz w:val="24"/>
          <w:szCs w:val="24"/>
        </w:rPr>
        <w:t>Ebtehag A E Sakr</w:t>
      </w:r>
      <w:r w:rsidRPr="004F1E2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1*,</w:t>
      </w:r>
      <w:r w:rsidRPr="004F1E28">
        <w:rPr>
          <w:rFonts w:ascii="Times New Roman" w:hAnsi="Times New Roman" w:cs="Times New Roman"/>
          <w:b/>
          <w:bCs/>
          <w:sz w:val="24"/>
          <w:szCs w:val="24"/>
        </w:rPr>
        <w:t xml:space="preserve"> Nahla M Mansour</w:t>
      </w:r>
      <w:r w:rsidRPr="004F1E2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4F1E2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,</w:t>
      </w:r>
      <w:r w:rsidRPr="004F1E28">
        <w:rPr>
          <w:rFonts w:ascii="Times New Roman" w:hAnsi="Times New Roman" w:cs="Times New Roman"/>
          <w:b/>
          <w:bCs/>
          <w:sz w:val="24"/>
          <w:szCs w:val="24"/>
        </w:rPr>
        <w:t xml:space="preserve"> Hanaa M Sabaa</w:t>
      </w:r>
      <w:r w:rsidRPr="004F1E2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4F1E28">
        <w:rPr>
          <w:rFonts w:ascii="Times New Roman" w:hAnsi="Times New Roman" w:cs="Times New Roman"/>
          <w:b/>
          <w:bCs/>
          <w:sz w:val="24"/>
          <w:szCs w:val="24"/>
        </w:rPr>
        <w:t>, Kamel M El-khatib</w:t>
      </w:r>
      <w:r w:rsidRPr="004F1E2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</w:t>
      </w:r>
      <w:r w:rsidRPr="004F1E28">
        <w:rPr>
          <w:rFonts w:ascii="Times New Roman" w:hAnsi="Times New Roman" w:cs="Times New Roman"/>
          <w:b/>
          <w:bCs/>
          <w:sz w:val="24"/>
          <w:szCs w:val="24"/>
        </w:rPr>
        <w:t>, and Dena Z Khater</w:t>
      </w:r>
      <w:r w:rsidRPr="004F1E2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</w:t>
      </w:r>
    </w:p>
    <w:p w14:paraId="6EF472FA" w14:textId="77777777" w:rsidR="006E35D4" w:rsidRPr="004F1E28" w:rsidRDefault="006E35D4" w:rsidP="006E35D4">
      <w:pPr>
        <w:keepNext/>
        <w:keepLines/>
        <w:spacing w:after="0" w:line="360" w:lineRule="auto"/>
        <w:ind w:hanging="1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1E2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F1E28">
        <w:rPr>
          <w:rFonts w:ascii="Times New Roman" w:hAnsi="Times New Roman" w:cs="Times New Roman"/>
          <w:sz w:val="24"/>
          <w:szCs w:val="24"/>
        </w:rPr>
        <w:t xml:space="preserve">Botany Department, Faculty of Women for Arts, Science and Education, Ain Shams University, Cairo, Egypt. </w:t>
      </w:r>
    </w:p>
    <w:p w14:paraId="32EBCA2C" w14:textId="77777777" w:rsidR="006E35D4" w:rsidRPr="004F1E28" w:rsidRDefault="006E35D4" w:rsidP="006E35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4F1E2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F1E28">
        <w:rPr>
          <w:rFonts w:ascii="Times New Roman" w:hAnsi="Times New Roman" w:cs="Times New Roman"/>
          <w:sz w:val="24"/>
          <w:szCs w:val="24"/>
        </w:rPr>
        <w:t>Gut Microbiome and Immunology Group, Chemistry of Natural and Microbial Products Department, Institute of Pharmaceutical and Drug Industries Research, National Research Centre, Dokki, Cairo, Egypt.</w:t>
      </w:r>
    </w:p>
    <w:p w14:paraId="1AB7BC73" w14:textId="77777777" w:rsidR="006E35D4" w:rsidRPr="004F1E28" w:rsidRDefault="006E35D4" w:rsidP="006E35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E2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F1E28">
        <w:rPr>
          <w:rFonts w:ascii="Times New Roman" w:hAnsi="Times New Roman" w:cs="Times New Roman"/>
          <w:sz w:val="24"/>
          <w:szCs w:val="24"/>
        </w:rPr>
        <w:t>Processes Development Department, Egyptian Petroleum Research Institute, Nasr City, Cairo, Egypt.</w:t>
      </w:r>
    </w:p>
    <w:p w14:paraId="15C53FAD" w14:textId="77777777" w:rsidR="006E35D4" w:rsidRPr="004F1E28" w:rsidRDefault="006E35D4" w:rsidP="006E35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E28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4F1E28">
        <w:rPr>
          <w:rFonts w:ascii="Times New Roman" w:hAnsi="Times New Roman" w:cs="Times New Roman"/>
          <w:sz w:val="24"/>
          <w:szCs w:val="24"/>
        </w:rPr>
        <w:t>Chemical engineering department, Engineering research and renewable energy institute, National Research Centre.</w:t>
      </w:r>
    </w:p>
    <w:p w14:paraId="4B2896A8" w14:textId="77777777" w:rsidR="006E35D4" w:rsidRPr="004F1E28" w:rsidRDefault="006E35D4" w:rsidP="006E35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A11B2B" w14:textId="77777777" w:rsidR="00FA4942" w:rsidRDefault="00FA4942" w:rsidP="00196083">
      <w:pPr>
        <w:pStyle w:val="Caption"/>
        <w:jc w:val="both"/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465E77E3" w14:textId="77777777" w:rsidR="00FA4942" w:rsidRDefault="00FA4942" w:rsidP="00FA4942">
      <w:pPr>
        <w:rPr>
          <w:highlight w:val="yellow"/>
        </w:rPr>
      </w:pPr>
    </w:p>
    <w:p w14:paraId="3578C9C3" w14:textId="77777777" w:rsidR="00FA4942" w:rsidRDefault="00FA4942" w:rsidP="00FA4942">
      <w:pPr>
        <w:rPr>
          <w:highlight w:val="yellow"/>
        </w:rPr>
      </w:pPr>
    </w:p>
    <w:p w14:paraId="54D53CB9" w14:textId="77777777" w:rsidR="00FA4942" w:rsidRDefault="00FA4942" w:rsidP="00FA4942">
      <w:pPr>
        <w:rPr>
          <w:highlight w:val="yellow"/>
        </w:rPr>
      </w:pPr>
    </w:p>
    <w:p w14:paraId="1477E15C" w14:textId="77777777" w:rsidR="006E35D4" w:rsidRDefault="006E35D4" w:rsidP="00FA4942">
      <w:pPr>
        <w:rPr>
          <w:highlight w:val="yellow"/>
        </w:rPr>
      </w:pPr>
    </w:p>
    <w:p w14:paraId="562DAA4F" w14:textId="77777777" w:rsidR="006E35D4" w:rsidRDefault="006E35D4" w:rsidP="00FA4942">
      <w:pPr>
        <w:rPr>
          <w:highlight w:val="yellow"/>
        </w:rPr>
      </w:pPr>
    </w:p>
    <w:p w14:paraId="56254C51" w14:textId="77777777" w:rsidR="006E35D4" w:rsidRDefault="006E35D4" w:rsidP="00FA4942">
      <w:pPr>
        <w:rPr>
          <w:highlight w:val="yellow"/>
        </w:rPr>
      </w:pPr>
    </w:p>
    <w:p w14:paraId="0BF7B688" w14:textId="77777777" w:rsidR="006E35D4" w:rsidRDefault="006E35D4" w:rsidP="00FA4942">
      <w:pPr>
        <w:rPr>
          <w:highlight w:val="yellow"/>
        </w:rPr>
      </w:pPr>
    </w:p>
    <w:p w14:paraId="6E51ED6E" w14:textId="77777777" w:rsidR="006E35D4" w:rsidRDefault="006E35D4" w:rsidP="00FA4942">
      <w:pPr>
        <w:rPr>
          <w:highlight w:val="yellow"/>
        </w:rPr>
      </w:pPr>
    </w:p>
    <w:p w14:paraId="3E8F2B45" w14:textId="77777777" w:rsidR="006E35D4" w:rsidRDefault="006E35D4" w:rsidP="00FA4942">
      <w:pPr>
        <w:rPr>
          <w:highlight w:val="yellow"/>
        </w:rPr>
      </w:pPr>
    </w:p>
    <w:p w14:paraId="488DB858" w14:textId="77777777" w:rsidR="006E35D4" w:rsidRPr="00FA4942" w:rsidRDefault="006E35D4" w:rsidP="00FA4942">
      <w:pPr>
        <w:rPr>
          <w:highlight w:val="yellow"/>
        </w:rPr>
      </w:pPr>
    </w:p>
    <w:p w14:paraId="1F0E4BD2" w14:textId="77777777" w:rsidR="00FA4942" w:rsidRDefault="00FA4942" w:rsidP="00196083">
      <w:pPr>
        <w:pStyle w:val="Caption"/>
        <w:jc w:val="both"/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096CF9D8" w14:textId="4C9C30F0" w:rsidR="00DF1363" w:rsidRPr="00D72B11" w:rsidRDefault="00DF1363" w:rsidP="00196083">
      <w:pPr>
        <w:pStyle w:val="Caption"/>
        <w:jc w:val="both"/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  <w:r w:rsidRPr="00D72B11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  <w:highlight w:val="yellow"/>
        </w:rPr>
        <w:lastRenderedPageBreak/>
        <w:t xml:space="preserve">Table </w:t>
      </w:r>
      <w:r w:rsidR="00196083" w:rsidRPr="00D72B11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  <w:highlight w:val="yellow"/>
        </w:rPr>
        <w:t>S1</w:t>
      </w:r>
      <w:r w:rsidRPr="00D72B11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  <w:highlight w:val="yellow"/>
        </w:rPr>
        <w:t>.</w:t>
      </w:r>
    </w:p>
    <w:p w14:paraId="34B9860C" w14:textId="77777777" w:rsidR="00D72B11" w:rsidRPr="006E35D4" w:rsidRDefault="00D72B11" w:rsidP="00D72B11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6E35D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</w:rPr>
        <w:t xml:space="preserve">Calculated each </w:t>
      </w:r>
      <w:proofErr w:type="spellStart"/>
      <w:r w:rsidRPr="006E35D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</w:rPr>
        <w:t>R</w:t>
      </w:r>
      <w:r w:rsidRPr="006E35D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  <w:vertAlign w:val="subscript"/>
        </w:rPr>
        <w:t>int</w:t>
      </w:r>
      <w:proofErr w:type="spellEnd"/>
      <w:r w:rsidRPr="006E35D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</w:rPr>
        <w:t xml:space="preserve"> and R</w:t>
      </w:r>
      <w:r w:rsidRPr="006E35D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  <w:vertAlign w:val="subscript"/>
        </w:rPr>
        <w:t>ct</w:t>
      </w:r>
      <w:r w:rsidRPr="006E35D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</w:rPr>
        <w:t xml:space="preserve"> (R</w:t>
      </w:r>
      <w:r w:rsidRPr="006E35D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  <w:vertAlign w:val="subscript"/>
        </w:rPr>
        <w:t>S</w:t>
      </w:r>
      <w:r w:rsidRPr="006E35D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</w:rPr>
        <w:t xml:space="preserve"> and R</w:t>
      </w:r>
      <w:r w:rsidRPr="006E35D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  <w:vertAlign w:val="subscript"/>
        </w:rPr>
        <w:t>ct</w:t>
      </w:r>
      <w:r w:rsidRPr="006E35D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</w:rPr>
        <w:t xml:space="preserve"> of anode and cathode EIS) to whole </w:t>
      </w:r>
      <w:proofErr w:type="spellStart"/>
      <w:r w:rsidRPr="006E35D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</w:rPr>
        <w:t>Rint</w:t>
      </w:r>
      <w:proofErr w:type="spellEnd"/>
      <w:r w:rsidRPr="006E35D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</w:rPr>
        <w:t xml:space="preserve"> at </w:t>
      </w:r>
      <w:r w:rsidRPr="006E35D4">
        <w:rPr>
          <w:rFonts w:asciiTheme="majorBidi" w:hAnsiTheme="majorBidi" w:cstheme="majorBidi"/>
          <w:b/>
          <w:bCs/>
          <w:sz w:val="24"/>
          <w:szCs w:val="24"/>
          <w:highlight w:val="yellow"/>
        </w:rPr>
        <w:t xml:space="preserve">steady state OCV condition </w:t>
      </w:r>
      <w:r w:rsidRPr="006E35D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</w:rPr>
        <w:t>in SCMFC and Equivalent circuit.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6"/>
        <w:gridCol w:w="1586"/>
        <w:gridCol w:w="1552"/>
        <w:gridCol w:w="4356"/>
      </w:tblGrid>
      <w:tr w:rsidR="00DF1363" w:rsidRPr="00C160D6" w14:paraId="345C0D0C" w14:textId="77777777" w:rsidTr="001F0B20">
        <w:trPr>
          <w:trHeight w:val="430"/>
          <w:jc w:val="center"/>
        </w:trPr>
        <w:tc>
          <w:tcPr>
            <w:tcW w:w="1866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1613431" w14:textId="77777777" w:rsidR="00DF1363" w:rsidRPr="00C160D6" w:rsidRDefault="00DF1363" w:rsidP="001F0B2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60D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EIS parameter</w:t>
            </w:r>
          </w:p>
        </w:tc>
        <w:tc>
          <w:tcPr>
            <w:tcW w:w="1586" w:type="dxa"/>
            <w:tcBorders>
              <w:top w:val="single" w:sz="12" w:space="0" w:color="auto"/>
              <w:bottom w:val="single" w:sz="12" w:space="0" w:color="auto"/>
            </w:tcBorders>
          </w:tcPr>
          <w:p w14:paraId="391C2BE5" w14:textId="77777777" w:rsidR="00DF1363" w:rsidRPr="00C160D6" w:rsidRDefault="00DF1363" w:rsidP="001F0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</w:pPr>
            <w:r w:rsidRPr="00C160D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</w:t>
            </w:r>
            <w:r w:rsidRPr="00C160D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ct</w:t>
            </w:r>
            <w:r w:rsidRPr="00C160D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(Ω)</w:t>
            </w:r>
          </w:p>
          <w:p w14:paraId="08CCBFD8" w14:textId="77777777" w:rsidR="00DF1363" w:rsidRPr="00C160D6" w:rsidRDefault="00DF1363" w:rsidP="001F0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12" w:space="0" w:color="auto"/>
              <w:bottom w:val="single" w:sz="12" w:space="0" w:color="auto"/>
            </w:tcBorders>
          </w:tcPr>
          <w:p w14:paraId="31E8782B" w14:textId="77777777" w:rsidR="00DF1363" w:rsidRPr="00C160D6" w:rsidRDefault="00DF1363" w:rsidP="001F0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</w:pPr>
            <w:proofErr w:type="spellStart"/>
            <w:r w:rsidRPr="00C160D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</w:t>
            </w:r>
            <w:r w:rsidRPr="00C160D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int</w:t>
            </w:r>
            <w:proofErr w:type="spellEnd"/>
            <w:r w:rsidRPr="00C160D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 xml:space="preserve"> </w:t>
            </w:r>
            <w:r w:rsidRPr="00C160D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(Ω)</w:t>
            </w:r>
          </w:p>
          <w:p w14:paraId="3E56D406" w14:textId="77777777" w:rsidR="00DF1363" w:rsidRPr="00C160D6" w:rsidRDefault="00DF1363" w:rsidP="001F0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356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410D22F" w14:textId="77777777" w:rsidR="00DF1363" w:rsidRPr="00C160D6" w:rsidRDefault="00DF1363" w:rsidP="001F0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60D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Equivalent circuit</w:t>
            </w:r>
          </w:p>
        </w:tc>
      </w:tr>
      <w:tr w:rsidR="00DF1363" w:rsidRPr="00C160D6" w14:paraId="35E07749" w14:textId="77777777" w:rsidTr="001F0B20">
        <w:trPr>
          <w:trHeight w:val="871"/>
          <w:jc w:val="center"/>
        </w:trPr>
        <w:tc>
          <w:tcPr>
            <w:tcW w:w="1866" w:type="dxa"/>
            <w:tcBorders>
              <w:top w:val="single" w:sz="12" w:space="0" w:color="auto"/>
              <w:bottom w:val="single" w:sz="12" w:space="0" w:color="auto"/>
            </w:tcBorders>
          </w:tcPr>
          <w:p w14:paraId="4A6D5322" w14:textId="77777777" w:rsidR="00DF1363" w:rsidRPr="00C160D6" w:rsidRDefault="00DF1363" w:rsidP="001F0B2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60D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Anode</w:t>
            </w:r>
          </w:p>
          <w:p w14:paraId="5F1B2E05" w14:textId="77777777" w:rsidR="00DF1363" w:rsidRPr="00C160D6" w:rsidRDefault="00DF1363" w:rsidP="001F0B2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30C15A85" w14:textId="77777777" w:rsidR="00DF1363" w:rsidRPr="00C160D6" w:rsidRDefault="00DF1363" w:rsidP="001F0B2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160D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38.45</w:t>
            </w:r>
            <w:r w:rsidRPr="00C160D6">
              <w:rPr>
                <w:rFonts w:asciiTheme="majorBidi" w:eastAsia="LILCM K+ Doulos SIL" w:hAnsiTheme="majorBidi" w:cstheme="majorBidi"/>
                <w:sz w:val="24"/>
                <w:szCs w:val="24"/>
              </w:rPr>
              <w:t xml:space="preserve"> ± </w:t>
            </w:r>
            <w:r w:rsidRPr="00C160D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3.60</w:t>
            </w:r>
          </w:p>
        </w:tc>
        <w:tc>
          <w:tcPr>
            <w:tcW w:w="1552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4BA7EF4" w14:textId="77777777" w:rsidR="00DF1363" w:rsidRPr="00C160D6" w:rsidRDefault="00DF1363" w:rsidP="001F0B2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160D6">
              <w:rPr>
                <w:rFonts w:asciiTheme="majorBidi" w:hAnsiTheme="majorBidi" w:cstheme="majorBidi"/>
                <w:sz w:val="24"/>
                <w:szCs w:val="24"/>
              </w:rPr>
              <w:t>47.08 ±0.22</w:t>
            </w:r>
          </w:p>
        </w:tc>
        <w:tc>
          <w:tcPr>
            <w:tcW w:w="4356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1A519EE" w14:textId="77777777" w:rsidR="00DF1363" w:rsidRPr="00C160D6" w:rsidRDefault="00DF1363" w:rsidP="001F0B2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160D6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5C8BFE0" wp14:editId="7C887C63">
                  <wp:extent cx="2466975" cy="1400175"/>
                  <wp:effectExtent l="0" t="0" r="9525" b="9525"/>
                  <wp:docPr id="3" name="Picture 3" descr="anode circuit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node circuit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363" w:rsidRPr="00C160D6" w14:paraId="0175B4F1" w14:textId="77777777" w:rsidTr="001F0B20">
        <w:trPr>
          <w:jc w:val="center"/>
        </w:trPr>
        <w:tc>
          <w:tcPr>
            <w:tcW w:w="1866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F4CEB5B" w14:textId="77777777" w:rsidR="00DF1363" w:rsidRPr="00C160D6" w:rsidRDefault="00DF1363" w:rsidP="001F0B2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60D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Cathode</w:t>
            </w:r>
          </w:p>
        </w:tc>
        <w:tc>
          <w:tcPr>
            <w:tcW w:w="1586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44EE046F" w14:textId="77777777" w:rsidR="00DF1363" w:rsidRPr="00C160D6" w:rsidRDefault="00DF1363" w:rsidP="001F0B2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160D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317.24</w:t>
            </w:r>
            <w:r w:rsidRPr="00C160D6">
              <w:rPr>
                <w:rFonts w:asciiTheme="majorBidi" w:eastAsia="LILCM K+ Doulos SIL" w:hAnsiTheme="majorBidi" w:cstheme="majorBidi"/>
                <w:sz w:val="24"/>
                <w:szCs w:val="24"/>
              </w:rPr>
              <w:t>± 12.81</w:t>
            </w:r>
          </w:p>
        </w:tc>
        <w:tc>
          <w:tcPr>
            <w:tcW w:w="1552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A2CF242" w14:textId="77777777" w:rsidR="00DF1363" w:rsidRPr="00C160D6" w:rsidRDefault="00DF1363" w:rsidP="001F0B2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160D6">
              <w:rPr>
                <w:rFonts w:asciiTheme="majorBidi" w:hAnsiTheme="majorBidi" w:cstheme="majorBidi"/>
                <w:sz w:val="24"/>
                <w:szCs w:val="24"/>
              </w:rPr>
              <w:t>323.71</w:t>
            </w:r>
            <w:r w:rsidRPr="00C160D6">
              <w:rPr>
                <w:rFonts w:asciiTheme="majorBidi" w:eastAsia="LILCM K+ Doulos SIL" w:hAnsiTheme="majorBidi" w:cstheme="majorBidi"/>
                <w:sz w:val="24"/>
                <w:szCs w:val="24"/>
              </w:rPr>
              <w:t>±</w:t>
            </w:r>
            <w:r w:rsidRPr="00C160D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21.97</w:t>
            </w:r>
          </w:p>
        </w:tc>
        <w:tc>
          <w:tcPr>
            <w:tcW w:w="4356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956C94F" w14:textId="77777777" w:rsidR="00DF1363" w:rsidRPr="00C160D6" w:rsidRDefault="00DF1363" w:rsidP="001F0B2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160D6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D138111" wp14:editId="504B603C">
                  <wp:extent cx="2505075" cy="1535502"/>
                  <wp:effectExtent l="0" t="0" r="0" b="7620"/>
                  <wp:docPr id="4" name="Picture 4" descr="Cathode circu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athode circu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7516" cy="1536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363" w:rsidRPr="00C160D6" w14:paraId="1E21688D" w14:textId="77777777" w:rsidTr="001F0B20">
        <w:trPr>
          <w:jc w:val="center"/>
        </w:trPr>
        <w:tc>
          <w:tcPr>
            <w:tcW w:w="1866" w:type="dxa"/>
            <w:tcBorders>
              <w:top w:val="single" w:sz="12" w:space="0" w:color="auto"/>
            </w:tcBorders>
            <w:hideMark/>
          </w:tcPr>
          <w:p w14:paraId="1BAB41D8" w14:textId="77777777" w:rsidR="00DF1363" w:rsidRPr="00C160D6" w:rsidRDefault="00DF1363" w:rsidP="001F0B2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60D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Whole SCMFC</w:t>
            </w:r>
          </w:p>
        </w:tc>
        <w:tc>
          <w:tcPr>
            <w:tcW w:w="1586" w:type="dxa"/>
            <w:tcBorders>
              <w:top w:val="single" w:sz="12" w:space="0" w:color="auto"/>
            </w:tcBorders>
          </w:tcPr>
          <w:p w14:paraId="1409A91B" w14:textId="77777777" w:rsidR="00DF1363" w:rsidRPr="00C160D6" w:rsidRDefault="00DF1363" w:rsidP="001F0B20">
            <w:pPr>
              <w:pStyle w:val="Caption"/>
              <w:jc w:val="center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 w:rsidRPr="00C160D6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</w:rPr>
              <w:t>23.24</w:t>
            </w:r>
            <w:r w:rsidRPr="00C160D6">
              <w:rPr>
                <w:rFonts w:asciiTheme="majorBidi" w:eastAsia="LILCM K+ Doulos SIL" w:hAnsiTheme="majorBidi" w:cstheme="majorBidi"/>
                <w:i w:val="0"/>
                <w:iCs w:val="0"/>
                <w:sz w:val="24"/>
                <w:szCs w:val="24"/>
              </w:rPr>
              <w:t>±</w:t>
            </w:r>
            <w:r w:rsidRPr="00C160D6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</w:rPr>
              <w:t>0.27</w:t>
            </w:r>
          </w:p>
          <w:p w14:paraId="51A9212D" w14:textId="77777777" w:rsidR="00DF1363" w:rsidRPr="00C160D6" w:rsidRDefault="00DF1363" w:rsidP="001F0B2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12" w:space="0" w:color="auto"/>
            </w:tcBorders>
            <w:hideMark/>
          </w:tcPr>
          <w:p w14:paraId="606A8B8F" w14:textId="77777777" w:rsidR="00DF1363" w:rsidRPr="00C160D6" w:rsidRDefault="00DF1363" w:rsidP="001F0B2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160D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370. 79</w:t>
            </w:r>
            <w:r w:rsidRPr="00C160D6">
              <w:rPr>
                <w:rFonts w:asciiTheme="majorBidi" w:eastAsia="LILCM K+ Doulos SIL" w:hAnsiTheme="majorBidi" w:cstheme="majorBidi"/>
                <w:sz w:val="24"/>
                <w:szCs w:val="24"/>
              </w:rPr>
              <w:t>±</w:t>
            </w:r>
            <w:r w:rsidRPr="00C160D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4356" w:type="dxa"/>
            <w:tcBorders>
              <w:top w:val="single" w:sz="12" w:space="0" w:color="auto"/>
            </w:tcBorders>
            <w:hideMark/>
          </w:tcPr>
          <w:p w14:paraId="7278C4C3" w14:textId="77777777" w:rsidR="00DF1363" w:rsidRPr="00C160D6" w:rsidRDefault="00DF1363" w:rsidP="001F0B20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160D6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6B7CFAF" wp14:editId="04A77061">
                  <wp:extent cx="2621915" cy="1682151"/>
                  <wp:effectExtent l="0" t="0" r="6985" b="0"/>
                  <wp:docPr id="5" name="Picture 5" descr="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1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4495" cy="1683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B49882" w14:textId="77777777" w:rsidR="00DF1363" w:rsidRDefault="00DF1363" w:rsidP="00DF1363">
      <w:pPr>
        <w:spacing w:after="0" w:line="240" w:lineRule="auto"/>
        <w:rPr>
          <w:rFonts w:asciiTheme="majorBidi" w:hAnsiTheme="majorBidi" w:cstheme="majorBidi"/>
        </w:rPr>
      </w:pPr>
      <w:r w:rsidRPr="0024681E">
        <w:rPr>
          <w:rFonts w:asciiTheme="majorBidi" w:hAnsiTheme="majorBidi" w:cstheme="majorBidi"/>
          <w:highlight w:val="yellow"/>
        </w:rPr>
        <w:t>EIS; Electrochemical Impedance Spectroscopy</w:t>
      </w:r>
    </w:p>
    <w:p w14:paraId="654B57F1" w14:textId="77777777" w:rsidR="00DF1363" w:rsidRPr="0006560E" w:rsidRDefault="00DF1363" w:rsidP="00DF1363">
      <w:pPr>
        <w:spacing w:after="0" w:line="240" w:lineRule="auto"/>
        <w:rPr>
          <w:rFonts w:asciiTheme="majorBidi" w:eastAsia="STIX-Regular" w:hAnsiTheme="majorBidi" w:cstheme="majorBidi"/>
        </w:rPr>
      </w:pPr>
      <w:r>
        <w:rPr>
          <w:rFonts w:asciiTheme="majorBidi" w:hAnsiTheme="majorBidi" w:cstheme="majorBidi"/>
        </w:rPr>
        <w:t>R</w:t>
      </w:r>
      <w:r>
        <w:rPr>
          <w:rFonts w:asciiTheme="majorBidi" w:hAnsiTheme="majorBidi" w:cstheme="majorBidi"/>
          <w:vertAlign w:val="subscript"/>
        </w:rPr>
        <w:t>ct</w:t>
      </w:r>
      <w:r w:rsidRPr="0006560E">
        <w:rPr>
          <w:rFonts w:asciiTheme="majorBidi" w:hAnsiTheme="majorBidi" w:cstheme="majorBidi"/>
        </w:rPr>
        <w:t>;</w:t>
      </w:r>
      <w:r w:rsidRPr="0006560E">
        <w:rPr>
          <w:rFonts w:asciiTheme="majorBidi" w:eastAsia="STIX-Regular" w:hAnsiTheme="majorBidi" w:cstheme="majorBidi"/>
        </w:rPr>
        <w:t xml:space="preserve"> electron transfer resistance</w:t>
      </w:r>
    </w:p>
    <w:p w14:paraId="1679928B" w14:textId="77777777" w:rsidR="00DF1363" w:rsidRPr="0006560E" w:rsidRDefault="00DF1363" w:rsidP="00DF1363">
      <w:pPr>
        <w:spacing w:after="0" w:line="240" w:lineRule="auto"/>
        <w:rPr>
          <w:rFonts w:asciiTheme="majorBidi" w:eastAsia="STIX-Regular" w:hAnsiTheme="majorBidi" w:cstheme="majorBidi"/>
        </w:rPr>
      </w:pPr>
      <w:proofErr w:type="spellStart"/>
      <w:r w:rsidRPr="0006560E">
        <w:rPr>
          <w:rFonts w:asciiTheme="majorBidi" w:hAnsiTheme="majorBidi" w:cstheme="majorBidi"/>
        </w:rPr>
        <w:t>R</w:t>
      </w:r>
      <w:r w:rsidRPr="0006560E">
        <w:rPr>
          <w:rFonts w:asciiTheme="majorBidi" w:hAnsiTheme="majorBidi" w:cstheme="majorBidi"/>
          <w:vertAlign w:val="subscript"/>
        </w:rPr>
        <w:t>int</w:t>
      </w:r>
      <w:proofErr w:type="spellEnd"/>
      <w:r w:rsidRPr="0006560E">
        <w:rPr>
          <w:rFonts w:asciiTheme="majorBidi" w:hAnsiTheme="majorBidi" w:cstheme="majorBidi"/>
        </w:rPr>
        <w:t>;</w:t>
      </w:r>
      <w:r w:rsidRPr="0006560E">
        <w:rPr>
          <w:rFonts w:asciiTheme="majorBidi" w:eastAsia="STIX-Regular" w:hAnsiTheme="majorBidi" w:cstheme="majorBidi"/>
        </w:rPr>
        <w:t xml:space="preserve"> internal resistance.</w:t>
      </w:r>
    </w:p>
    <w:p w14:paraId="50F7AEBE" w14:textId="77777777" w:rsidR="00DF1363" w:rsidRPr="009501E3" w:rsidRDefault="00DF1363" w:rsidP="00DF1363">
      <w:pPr>
        <w:spacing w:after="0" w:line="240" w:lineRule="auto"/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</w:pPr>
      <w:r w:rsidRPr="0006560E">
        <w:rPr>
          <w:rFonts w:asciiTheme="majorBidi" w:hAnsiTheme="majorBidi" w:cstheme="majorBidi"/>
          <w:color w:val="000000" w:themeColor="text1"/>
          <w:highlight w:val="yellow"/>
        </w:rPr>
        <w:t xml:space="preserve">SCMFC; </w:t>
      </w:r>
      <w:r w:rsidRPr="009501E3">
        <w:rPr>
          <w:rFonts w:asciiTheme="majorBidi" w:eastAsia="Times New Roman" w:hAnsiTheme="majorBidi" w:cstheme="majorBidi"/>
          <w:color w:val="000000" w:themeColor="text1"/>
          <w:highlight w:val="yellow"/>
          <w:shd w:val="clear" w:color="auto" w:fill="FFFFFF"/>
        </w:rPr>
        <w:t>single-chamber</w:t>
      </w:r>
      <w:r w:rsidRPr="0006560E">
        <w:rPr>
          <w:rFonts w:asciiTheme="majorBidi" w:eastAsia="Times New Roman" w:hAnsiTheme="majorBidi" w:cstheme="majorBidi"/>
          <w:color w:val="000000" w:themeColor="text1"/>
          <w:highlight w:val="yellow"/>
          <w:shd w:val="clear" w:color="auto" w:fill="FFFFFF"/>
        </w:rPr>
        <w:t xml:space="preserve"> </w:t>
      </w:r>
      <w:r w:rsidRPr="009501E3">
        <w:rPr>
          <w:rFonts w:asciiTheme="majorBidi" w:eastAsia="Times New Roman" w:hAnsiTheme="majorBidi" w:cstheme="majorBidi"/>
          <w:color w:val="000000" w:themeColor="text1"/>
          <w:highlight w:val="yellow"/>
          <w:shd w:val="clear" w:color="auto" w:fill="FFFFFF"/>
        </w:rPr>
        <w:t>microbial fuel cell</w:t>
      </w:r>
      <w:r w:rsidRPr="009501E3"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  <w:t xml:space="preserve"> </w:t>
      </w:r>
    </w:p>
    <w:p w14:paraId="48F79D78" w14:textId="77777777" w:rsidR="00DF1363" w:rsidRPr="009501E3" w:rsidRDefault="00DF1363" w:rsidP="00DF1363">
      <w:pPr>
        <w:spacing w:after="0" w:line="240" w:lineRule="auto"/>
        <w:rPr>
          <w:rFonts w:ascii="Times New Roman" w:eastAsia="Times New Roman" w:hAnsi="Times New Roman" w:cs="Times New Roman"/>
          <w:color w:val="1A0DAB"/>
          <w:sz w:val="24"/>
          <w:szCs w:val="24"/>
        </w:rPr>
      </w:pPr>
      <w:r w:rsidRPr="009501E3">
        <w:rPr>
          <w:rFonts w:ascii="Arial" w:eastAsia="Times New Roman" w:hAnsi="Arial" w:cs="Arial"/>
          <w:color w:val="1A0DAB"/>
          <w:shd w:val="clear" w:color="auto" w:fill="FFFFFF"/>
        </w:rPr>
        <w:br/>
      </w:r>
    </w:p>
    <w:p w14:paraId="5E60D464" w14:textId="77777777" w:rsidR="00DF1363" w:rsidRDefault="00DF1363" w:rsidP="00DF1363">
      <w:pPr>
        <w:rPr>
          <w:rFonts w:ascii="Times New Roman" w:eastAsia="Times New Roman" w:hAnsi="Times New Roman" w:cs="Times New Roman"/>
        </w:rPr>
      </w:pPr>
    </w:p>
    <w:p w14:paraId="15129CF6" w14:textId="77777777" w:rsidR="00311EBB" w:rsidRDefault="00311EBB" w:rsidP="00DF1363">
      <w:pPr>
        <w:rPr>
          <w:rFonts w:ascii="Times New Roman" w:eastAsia="Times New Roman" w:hAnsi="Times New Roman" w:cs="Times New Roman"/>
        </w:rPr>
      </w:pPr>
    </w:p>
    <w:p w14:paraId="43C0EB53" w14:textId="77777777" w:rsidR="00DF1363" w:rsidRDefault="00DF1363" w:rsidP="00DF1363"/>
    <w:p w14:paraId="5B10B7AD" w14:textId="77777777" w:rsidR="0004514E" w:rsidRDefault="0004514E" w:rsidP="00DF1363"/>
    <w:p w14:paraId="2B635099" w14:textId="77777777" w:rsidR="0004514E" w:rsidRPr="00C22C8F" w:rsidRDefault="0004514E" w:rsidP="0004514E">
      <w:pPr>
        <w:spacing w:before="120" w:after="120"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</w:rPr>
      </w:pPr>
      <w:r w:rsidRPr="00C22C8F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</w:rPr>
        <w:t xml:space="preserve">Table S2. </w:t>
      </w:r>
    </w:p>
    <w:p w14:paraId="1C17D4E0" w14:textId="77777777" w:rsidR="003E2A16" w:rsidRPr="006E35D4" w:rsidRDefault="00C22C8F" w:rsidP="0004514E">
      <w:pPr>
        <w:spacing w:before="120" w:after="120"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6E35D4">
        <w:rPr>
          <w:rFonts w:asciiTheme="majorBidi" w:hAnsiTheme="majorBidi" w:cstheme="majorBidi"/>
          <w:b/>
          <w:bCs/>
          <w:sz w:val="24"/>
          <w:szCs w:val="24"/>
          <w:highlight w:val="yellow"/>
        </w:rPr>
        <w:t>GC-MS data for the UMO biodegradation</w:t>
      </w:r>
      <w:r w:rsidR="006E16FD" w:rsidRPr="006E35D4">
        <w:rPr>
          <w:rFonts w:asciiTheme="majorBidi" w:hAnsiTheme="majorBidi" w:cstheme="majorBidi"/>
          <w:b/>
          <w:bCs/>
          <w:sz w:val="24"/>
          <w:szCs w:val="24"/>
        </w:rPr>
        <w:t>.</w:t>
      </w:r>
    </w:p>
    <w:tbl>
      <w:tblPr>
        <w:tblW w:w="9732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876"/>
        <w:gridCol w:w="756"/>
        <w:gridCol w:w="1083"/>
        <w:gridCol w:w="723"/>
        <w:gridCol w:w="756"/>
        <w:gridCol w:w="1269"/>
        <w:gridCol w:w="1269"/>
      </w:tblGrid>
      <w:tr w:rsidR="0004514E" w:rsidRPr="004D7C3A" w14:paraId="7301DA5E" w14:textId="77777777" w:rsidTr="001F0B20">
        <w:trPr>
          <w:trHeight w:hRule="exact" w:val="739"/>
        </w:trPr>
        <w:tc>
          <w:tcPr>
            <w:tcW w:w="3876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94E604D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Compound Name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ED15C64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RT</w:t>
            </w:r>
          </w:p>
        </w:tc>
        <w:tc>
          <w:tcPr>
            <w:tcW w:w="1083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0D229D1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C</w:t>
            </w: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ontrol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-</w:t>
            </w: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Area %</w:t>
            </w:r>
          </w:p>
        </w:tc>
        <w:tc>
          <w:tcPr>
            <w:tcW w:w="723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99B0754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B1-Area %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B74D12C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B2-Area %</w:t>
            </w:r>
          </w:p>
        </w:tc>
        <w:tc>
          <w:tcPr>
            <w:tcW w:w="1269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B894C8A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Molecular Weight</w:t>
            </w:r>
          </w:p>
        </w:tc>
        <w:tc>
          <w:tcPr>
            <w:tcW w:w="1269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D4A35E2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Molecular Formula</w:t>
            </w:r>
          </w:p>
        </w:tc>
      </w:tr>
      <w:tr w:rsidR="0004514E" w:rsidRPr="004D7C3A" w14:paraId="4937EEC9" w14:textId="77777777" w:rsidTr="001F0B20">
        <w:trPr>
          <w:trHeight w:hRule="exact" w:val="361"/>
        </w:trPr>
        <w:tc>
          <w:tcPr>
            <w:tcW w:w="3876" w:type="dxa"/>
            <w:tcBorders>
              <w:top w:val="single" w:sz="12" w:space="0" w:color="auto"/>
            </w:tcBorders>
            <w:vAlign w:val="center"/>
            <w:hideMark/>
          </w:tcPr>
          <w:p w14:paraId="29233BFD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Methyl-Cyclopentane</w:t>
            </w:r>
          </w:p>
        </w:tc>
        <w:tc>
          <w:tcPr>
            <w:tcW w:w="756" w:type="dxa"/>
            <w:tcBorders>
              <w:top w:val="single" w:sz="12" w:space="0" w:color="auto"/>
            </w:tcBorders>
            <w:vAlign w:val="center"/>
            <w:hideMark/>
          </w:tcPr>
          <w:p w14:paraId="47C12BDB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3.08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vAlign w:val="center"/>
            <w:hideMark/>
          </w:tcPr>
          <w:p w14:paraId="58BC4D52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11.37</w:t>
            </w:r>
          </w:p>
        </w:tc>
        <w:tc>
          <w:tcPr>
            <w:tcW w:w="723" w:type="dxa"/>
            <w:tcBorders>
              <w:top w:val="single" w:sz="12" w:space="0" w:color="auto"/>
            </w:tcBorders>
            <w:vAlign w:val="center"/>
            <w:hideMark/>
          </w:tcPr>
          <w:p w14:paraId="4AEF17AF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―</w:t>
            </w:r>
          </w:p>
        </w:tc>
        <w:tc>
          <w:tcPr>
            <w:tcW w:w="756" w:type="dxa"/>
            <w:tcBorders>
              <w:top w:val="single" w:sz="12" w:space="0" w:color="auto"/>
            </w:tcBorders>
            <w:vAlign w:val="center"/>
            <w:hideMark/>
          </w:tcPr>
          <w:p w14:paraId="516C66B2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7.42</w:t>
            </w:r>
          </w:p>
        </w:tc>
        <w:tc>
          <w:tcPr>
            <w:tcW w:w="1269" w:type="dxa"/>
            <w:tcBorders>
              <w:top w:val="single" w:sz="12" w:space="0" w:color="auto"/>
            </w:tcBorders>
            <w:vAlign w:val="center"/>
            <w:hideMark/>
          </w:tcPr>
          <w:p w14:paraId="46AC9780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84</w:t>
            </w:r>
          </w:p>
        </w:tc>
        <w:tc>
          <w:tcPr>
            <w:tcW w:w="1269" w:type="dxa"/>
            <w:tcBorders>
              <w:top w:val="single" w:sz="12" w:space="0" w:color="auto"/>
            </w:tcBorders>
            <w:vAlign w:val="center"/>
            <w:hideMark/>
          </w:tcPr>
          <w:p w14:paraId="663CE55C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C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6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H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12</w:t>
            </w:r>
          </w:p>
        </w:tc>
      </w:tr>
      <w:tr w:rsidR="0004514E" w:rsidRPr="004D7C3A" w14:paraId="0F293F2B" w14:textId="77777777" w:rsidTr="001F0B20">
        <w:trPr>
          <w:trHeight w:hRule="exact" w:val="288"/>
        </w:trPr>
        <w:tc>
          <w:tcPr>
            <w:tcW w:w="3876" w:type="dxa"/>
            <w:vAlign w:val="center"/>
            <w:hideMark/>
          </w:tcPr>
          <w:p w14:paraId="01D0723C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3-Methyl-Pentane</w:t>
            </w:r>
          </w:p>
        </w:tc>
        <w:tc>
          <w:tcPr>
            <w:tcW w:w="756" w:type="dxa"/>
            <w:vAlign w:val="center"/>
            <w:hideMark/>
          </w:tcPr>
          <w:p w14:paraId="34BB19C6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3.09</w:t>
            </w:r>
          </w:p>
        </w:tc>
        <w:tc>
          <w:tcPr>
            <w:tcW w:w="1083" w:type="dxa"/>
            <w:vAlign w:val="center"/>
            <w:hideMark/>
          </w:tcPr>
          <w:p w14:paraId="08D8A0B2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―</w:t>
            </w:r>
          </w:p>
        </w:tc>
        <w:tc>
          <w:tcPr>
            <w:tcW w:w="723" w:type="dxa"/>
            <w:vAlign w:val="center"/>
            <w:hideMark/>
          </w:tcPr>
          <w:p w14:paraId="79997605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5.78</w:t>
            </w:r>
          </w:p>
        </w:tc>
        <w:tc>
          <w:tcPr>
            <w:tcW w:w="756" w:type="dxa"/>
            <w:vAlign w:val="center"/>
            <w:hideMark/>
          </w:tcPr>
          <w:p w14:paraId="0F51A836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―</w:t>
            </w:r>
          </w:p>
        </w:tc>
        <w:tc>
          <w:tcPr>
            <w:tcW w:w="1269" w:type="dxa"/>
            <w:vAlign w:val="center"/>
            <w:hideMark/>
          </w:tcPr>
          <w:p w14:paraId="4AAEE5F9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86</w:t>
            </w:r>
          </w:p>
        </w:tc>
        <w:tc>
          <w:tcPr>
            <w:tcW w:w="1269" w:type="dxa"/>
            <w:vAlign w:val="center"/>
            <w:hideMark/>
          </w:tcPr>
          <w:p w14:paraId="32B970CD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C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6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H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14</w:t>
            </w:r>
          </w:p>
        </w:tc>
      </w:tr>
      <w:tr w:rsidR="0004514E" w:rsidRPr="004D7C3A" w14:paraId="0583453B" w14:textId="77777777" w:rsidTr="001F0B20">
        <w:trPr>
          <w:trHeight w:hRule="exact" w:val="288"/>
        </w:trPr>
        <w:tc>
          <w:tcPr>
            <w:tcW w:w="3876" w:type="dxa"/>
            <w:vAlign w:val="center"/>
            <w:hideMark/>
          </w:tcPr>
          <w:p w14:paraId="3C690E2B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2,6,11,15-Tetramethyl-Hexadecane</w:t>
            </w:r>
          </w:p>
        </w:tc>
        <w:tc>
          <w:tcPr>
            <w:tcW w:w="756" w:type="dxa"/>
            <w:vAlign w:val="center"/>
            <w:hideMark/>
          </w:tcPr>
          <w:p w14:paraId="25514E48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9.25</w:t>
            </w:r>
          </w:p>
        </w:tc>
        <w:tc>
          <w:tcPr>
            <w:tcW w:w="1083" w:type="dxa"/>
            <w:vAlign w:val="center"/>
            <w:hideMark/>
          </w:tcPr>
          <w:p w14:paraId="3B34DEA6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1.8</w:t>
            </w:r>
          </w:p>
        </w:tc>
        <w:tc>
          <w:tcPr>
            <w:tcW w:w="723" w:type="dxa"/>
            <w:vAlign w:val="center"/>
            <w:hideMark/>
          </w:tcPr>
          <w:p w14:paraId="764E4C82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0.8</w:t>
            </w:r>
          </w:p>
        </w:tc>
        <w:tc>
          <w:tcPr>
            <w:tcW w:w="756" w:type="dxa"/>
            <w:vAlign w:val="center"/>
            <w:hideMark/>
          </w:tcPr>
          <w:p w14:paraId="34DA1EFF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0.95</w:t>
            </w:r>
          </w:p>
        </w:tc>
        <w:tc>
          <w:tcPr>
            <w:tcW w:w="1269" w:type="dxa"/>
            <w:vAlign w:val="center"/>
            <w:hideMark/>
          </w:tcPr>
          <w:p w14:paraId="2EE3FB92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282</w:t>
            </w:r>
          </w:p>
        </w:tc>
        <w:tc>
          <w:tcPr>
            <w:tcW w:w="1269" w:type="dxa"/>
            <w:vAlign w:val="center"/>
            <w:hideMark/>
          </w:tcPr>
          <w:p w14:paraId="7B36EF32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C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20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H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42</w:t>
            </w:r>
          </w:p>
        </w:tc>
      </w:tr>
      <w:tr w:rsidR="0004514E" w:rsidRPr="004D7C3A" w14:paraId="2C82EC1C" w14:textId="77777777" w:rsidTr="001F0B20">
        <w:trPr>
          <w:trHeight w:hRule="exact" w:val="288"/>
        </w:trPr>
        <w:tc>
          <w:tcPr>
            <w:tcW w:w="3876" w:type="dxa"/>
            <w:vAlign w:val="center"/>
            <w:hideMark/>
          </w:tcPr>
          <w:p w14:paraId="1803A9D9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Piperazine</w:t>
            </w:r>
          </w:p>
        </w:tc>
        <w:tc>
          <w:tcPr>
            <w:tcW w:w="756" w:type="dxa"/>
            <w:vAlign w:val="center"/>
            <w:hideMark/>
          </w:tcPr>
          <w:p w14:paraId="5F97B343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9.33</w:t>
            </w:r>
          </w:p>
        </w:tc>
        <w:tc>
          <w:tcPr>
            <w:tcW w:w="1083" w:type="dxa"/>
            <w:vAlign w:val="center"/>
            <w:hideMark/>
          </w:tcPr>
          <w:p w14:paraId="59C4EB7A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0.43</w:t>
            </w:r>
          </w:p>
        </w:tc>
        <w:tc>
          <w:tcPr>
            <w:tcW w:w="723" w:type="dxa"/>
            <w:vAlign w:val="center"/>
            <w:hideMark/>
          </w:tcPr>
          <w:p w14:paraId="728A94DD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―</w:t>
            </w:r>
          </w:p>
        </w:tc>
        <w:tc>
          <w:tcPr>
            <w:tcW w:w="756" w:type="dxa"/>
            <w:vAlign w:val="center"/>
            <w:hideMark/>
          </w:tcPr>
          <w:p w14:paraId="497DD18E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0.39</w:t>
            </w:r>
          </w:p>
        </w:tc>
        <w:tc>
          <w:tcPr>
            <w:tcW w:w="1269" w:type="dxa"/>
            <w:vAlign w:val="center"/>
            <w:hideMark/>
          </w:tcPr>
          <w:p w14:paraId="7ADD0462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86</w:t>
            </w:r>
          </w:p>
        </w:tc>
        <w:tc>
          <w:tcPr>
            <w:tcW w:w="1269" w:type="dxa"/>
            <w:vAlign w:val="center"/>
            <w:hideMark/>
          </w:tcPr>
          <w:p w14:paraId="0BFE0E9A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C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4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H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10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N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2</w:t>
            </w:r>
          </w:p>
        </w:tc>
      </w:tr>
      <w:tr w:rsidR="0004514E" w:rsidRPr="004D7C3A" w14:paraId="0CD715B9" w14:textId="77777777" w:rsidTr="001F0B20">
        <w:trPr>
          <w:trHeight w:hRule="exact" w:val="288"/>
        </w:trPr>
        <w:tc>
          <w:tcPr>
            <w:tcW w:w="3876" w:type="dxa"/>
            <w:vAlign w:val="center"/>
            <w:hideMark/>
          </w:tcPr>
          <w:p w14:paraId="35A8B08F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Pentanal</w:t>
            </w:r>
          </w:p>
        </w:tc>
        <w:tc>
          <w:tcPr>
            <w:tcW w:w="756" w:type="dxa"/>
            <w:vAlign w:val="center"/>
            <w:hideMark/>
          </w:tcPr>
          <w:p w14:paraId="238A353E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9.34</w:t>
            </w:r>
          </w:p>
        </w:tc>
        <w:tc>
          <w:tcPr>
            <w:tcW w:w="1083" w:type="dxa"/>
            <w:vAlign w:val="center"/>
            <w:hideMark/>
          </w:tcPr>
          <w:p w14:paraId="08295675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―</w:t>
            </w:r>
          </w:p>
        </w:tc>
        <w:tc>
          <w:tcPr>
            <w:tcW w:w="723" w:type="dxa"/>
            <w:vAlign w:val="center"/>
            <w:hideMark/>
          </w:tcPr>
          <w:p w14:paraId="34E66C32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0.31</w:t>
            </w:r>
          </w:p>
        </w:tc>
        <w:tc>
          <w:tcPr>
            <w:tcW w:w="756" w:type="dxa"/>
            <w:vAlign w:val="center"/>
            <w:hideMark/>
          </w:tcPr>
          <w:p w14:paraId="06D17BA8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―</w:t>
            </w:r>
          </w:p>
        </w:tc>
        <w:tc>
          <w:tcPr>
            <w:tcW w:w="1269" w:type="dxa"/>
            <w:vAlign w:val="center"/>
            <w:hideMark/>
          </w:tcPr>
          <w:p w14:paraId="2D818611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86</w:t>
            </w:r>
          </w:p>
        </w:tc>
        <w:tc>
          <w:tcPr>
            <w:tcW w:w="1269" w:type="dxa"/>
            <w:vAlign w:val="center"/>
            <w:hideMark/>
          </w:tcPr>
          <w:p w14:paraId="5D011031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C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5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H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10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O</w:t>
            </w:r>
          </w:p>
        </w:tc>
      </w:tr>
      <w:tr w:rsidR="0004514E" w:rsidRPr="004D7C3A" w14:paraId="3676922B" w14:textId="77777777" w:rsidTr="001F0B20">
        <w:trPr>
          <w:trHeight w:hRule="exact" w:val="288"/>
        </w:trPr>
        <w:tc>
          <w:tcPr>
            <w:tcW w:w="3876" w:type="dxa"/>
            <w:vAlign w:val="center"/>
            <w:hideMark/>
          </w:tcPr>
          <w:p w14:paraId="32691F97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Dodecane</w:t>
            </w:r>
          </w:p>
        </w:tc>
        <w:tc>
          <w:tcPr>
            <w:tcW w:w="756" w:type="dxa"/>
            <w:vAlign w:val="center"/>
            <w:hideMark/>
          </w:tcPr>
          <w:p w14:paraId="05EDC557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9.96</w:t>
            </w:r>
          </w:p>
        </w:tc>
        <w:tc>
          <w:tcPr>
            <w:tcW w:w="1083" w:type="dxa"/>
            <w:vAlign w:val="center"/>
            <w:hideMark/>
          </w:tcPr>
          <w:p w14:paraId="0DB85A26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1.68</w:t>
            </w:r>
          </w:p>
        </w:tc>
        <w:tc>
          <w:tcPr>
            <w:tcW w:w="723" w:type="dxa"/>
            <w:vAlign w:val="center"/>
            <w:hideMark/>
          </w:tcPr>
          <w:p w14:paraId="7467187A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0.87</w:t>
            </w:r>
          </w:p>
        </w:tc>
        <w:tc>
          <w:tcPr>
            <w:tcW w:w="756" w:type="dxa"/>
            <w:vAlign w:val="center"/>
            <w:hideMark/>
          </w:tcPr>
          <w:p w14:paraId="3222F4C3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1.15</w:t>
            </w:r>
          </w:p>
        </w:tc>
        <w:tc>
          <w:tcPr>
            <w:tcW w:w="1269" w:type="dxa"/>
            <w:vAlign w:val="center"/>
            <w:hideMark/>
          </w:tcPr>
          <w:p w14:paraId="02149ACF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170</w:t>
            </w:r>
          </w:p>
        </w:tc>
        <w:tc>
          <w:tcPr>
            <w:tcW w:w="1269" w:type="dxa"/>
            <w:vAlign w:val="center"/>
            <w:hideMark/>
          </w:tcPr>
          <w:p w14:paraId="6B83B2FD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C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12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H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26</w:t>
            </w:r>
          </w:p>
        </w:tc>
      </w:tr>
      <w:tr w:rsidR="0004514E" w:rsidRPr="004D7C3A" w14:paraId="57D4F120" w14:textId="77777777" w:rsidTr="001F0B20">
        <w:trPr>
          <w:trHeight w:hRule="exact" w:val="288"/>
        </w:trPr>
        <w:tc>
          <w:tcPr>
            <w:tcW w:w="3876" w:type="dxa"/>
            <w:vAlign w:val="center"/>
            <w:hideMark/>
          </w:tcPr>
          <w:p w14:paraId="7DD24892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1-Iodo-2-methylundecane</w:t>
            </w:r>
          </w:p>
        </w:tc>
        <w:tc>
          <w:tcPr>
            <w:tcW w:w="756" w:type="dxa"/>
            <w:vAlign w:val="center"/>
            <w:hideMark/>
          </w:tcPr>
          <w:p w14:paraId="0736F7C9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12.61</w:t>
            </w:r>
          </w:p>
        </w:tc>
        <w:tc>
          <w:tcPr>
            <w:tcW w:w="1083" w:type="dxa"/>
            <w:vAlign w:val="center"/>
            <w:hideMark/>
          </w:tcPr>
          <w:p w14:paraId="62CC9F7A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0.88</w:t>
            </w:r>
          </w:p>
        </w:tc>
        <w:tc>
          <w:tcPr>
            <w:tcW w:w="723" w:type="dxa"/>
            <w:vAlign w:val="center"/>
            <w:hideMark/>
          </w:tcPr>
          <w:p w14:paraId="5F0EF3C5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0.45</w:t>
            </w:r>
          </w:p>
        </w:tc>
        <w:tc>
          <w:tcPr>
            <w:tcW w:w="756" w:type="dxa"/>
            <w:vAlign w:val="center"/>
            <w:hideMark/>
          </w:tcPr>
          <w:p w14:paraId="5BAAAE59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0.67</w:t>
            </w:r>
          </w:p>
        </w:tc>
        <w:tc>
          <w:tcPr>
            <w:tcW w:w="1269" w:type="dxa"/>
            <w:vAlign w:val="center"/>
            <w:hideMark/>
          </w:tcPr>
          <w:p w14:paraId="3DEF67BF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296</w:t>
            </w:r>
          </w:p>
        </w:tc>
        <w:tc>
          <w:tcPr>
            <w:tcW w:w="1269" w:type="dxa"/>
            <w:vAlign w:val="center"/>
            <w:hideMark/>
          </w:tcPr>
          <w:p w14:paraId="246BD4F1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C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12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H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25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04514E" w:rsidRPr="004D7C3A" w14:paraId="456CADE7" w14:textId="77777777" w:rsidTr="001F0B20">
        <w:trPr>
          <w:trHeight w:hRule="exact" w:val="433"/>
        </w:trPr>
        <w:tc>
          <w:tcPr>
            <w:tcW w:w="3876" w:type="dxa"/>
            <w:vAlign w:val="center"/>
            <w:hideMark/>
          </w:tcPr>
          <w:p w14:paraId="1F332EB8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Bis(1,1-Dimethylethyl)-Phenol</w:t>
            </w:r>
          </w:p>
        </w:tc>
        <w:tc>
          <w:tcPr>
            <w:tcW w:w="756" w:type="dxa"/>
            <w:vAlign w:val="center"/>
            <w:hideMark/>
          </w:tcPr>
          <w:p w14:paraId="0994175F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15.67</w:t>
            </w:r>
          </w:p>
        </w:tc>
        <w:tc>
          <w:tcPr>
            <w:tcW w:w="1083" w:type="dxa"/>
            <w:vAlign w:val="center"/>
            <w:hideMark/>
          </w:tcPr>
          <w:p w14:paraId="115158C7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0.99</w:t>
            </w:r>
          </w:p>
        </w:tc>
        <w:tc>
          <w:tcPr>
            <w:tcW w:w="723" w:type="dxa"/>
            <w:vAlign w:val="center"/>
            <w:hideMark/>
          </w:tcPr>
          <w:p w14:paraId="78C785C8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―</w:t>
            </w:r>
          </w:p>
        </w:tc>
        <w:tc>
          <w:tcPr>
            <w:tcW w:w="756" w:type="dxa"/>
            <w:vAlign w:val="center"/>
            <w:hideMark/>
          </w:tcPr>
          <w:p w14:paraId="19645267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0.53</w:t>
            </w:r>
          </w:p>
        </w:tc>
        <w:tc>
          <w:tcPr>
            <w:tcW w:w="1269" w:type="dxa"/>
            <w:vAlign w:val="center"/>
            <w:hideMark/>
          </w:tcPr>
          <w:p w14:paraId="38B9FFED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206</w:t>
            </w:r>
          </w:p>
        </w:tc>
        <w:tc>
          <w:tcPr>
            <w:tcW w:w="1269" w:type="dxa"/>
            <w:vAlign w:val="center"/>
            <w:hideMark/>
          </w:tcPr>
          <w:p w14:paraId="529BFE03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C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14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H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22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O</w:t>
            </w:r>
          </w:p>
        </w:tc>
      </w:tr>
      <w:tr w:rsidR="0004514E" w:rsidRPr="004D7C3A" w14:paraId="1359D01F" w14:textId="77777777" w:rsidTr="001F0B20">
        <w:trPr>
          <w:trHeight w:hRule="exact" w:val="685"/>
        </w:trPr>
        <w:tc>
          <w:tcPr>
            <w:tcW w:w="3876" w:type="dxa"/>
            <w:vAlign w:val="center"/>
            <w:hideMark/>
          </w:tcPr>
          <w:p w14:paraId="75585793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2-(1,1-Dimethylethyl)-5-(2-Propenyl)-1,4-Benzenediol</w:t>
            </w:r>
          </w:p>
        </w:tc>
        <w:tc>
          <w:tcPr>
            <w:tcW w:w="756" w:type="dxa"/>
            <w:vAlign w:val="center"/>
            <w:hideMark/>
          </w:tcPr>
          <w:p w14:paraId="59248861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15.68</w:t>
            </w:r>
          </w:p>
        </w:tc>
        <w:tc>
          <w:tcPr>
            <w:tcW w:w="1083" w:type="dxa"/>
            <w:vAlign w:val="center"/>
            <w:hideMark/>
          </w:tcPr>
          <w:p w14:paraId="6990D351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―</w:t>
            </w:r>
          </w:p>
        </w:tc>
        <w:tc>
          <w:tcPr>
            <w:tcW w:w="723" w:type="dxa"/>
            <w:vAlign w:val="center"/>
            <w:hideMark/>
          </w:tcPr>
          <w:p w14:paraId="7407C1B5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0.5</w:t>
            </w:r>
          </w:p>
        </w:tc>
        <w:tc>
          <w:tcPr>
            <w:tcW w:w="756" w:type="dxa"/>
            <w:vAlign w:val="center"/>
            <w:hideMark/>
          </w:tcPr>
          <w:p w14:paraId="689F438C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―</w:t>
            </w:r>
          </w:p>
        </w:tc>
        <w:tc>
          <w:tcPr>
            <w:tcW w:w="1269" w:type="dxa"/>
            <w:vAlign w:val="center"/>
            <w:hideMark/>
          </w:tcPr>
          <w:p w14:paraId="40EF495F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206</w:t>
            </w:r>
          </w:p>
        </w:tc>
        <w:tc>
          <w:tcPr>
            <w:tcW w:w="1269" w:type="dxa"/>
            <w:vAlign w:val="center"/>
            <w:hideMark/>
          </w:tcPr>
          <w:p w14:paraId="36DE907D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C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13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H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18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O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2</w:t>
            </w:r>
          </w:p>
        </w:tc>
      </w:tr>
      <w:tr w:rsidR="0004514E" w:rsidRPr="004D7C3A" w14:paraId="58531198" w14:textId="77777777" w:rsidTr="001F0B20">
        <w:trPr>
          <w:trHeight w:hRule="exact" w:val="397"/>
        </w:trPr>
        <w:tc>
          <w:tcPr>
            <w:tcW w:w="3876" w:type="dxa"/>
            <w:vAlign w:val="center"/>
            <w:hideMark/>
          </w:tcPr>
          <w:p w14:paraId="7791FE63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2,6,10-Trimethyl-Tetradecane</w:t>
            </w:r>
          </w:p>
        </w:tc>
        <w:tc>
          <w:tcPr>
            <w:tcW w:w="756" w:type="dxa"/>
            <w:vAlign w:val="center"/>
            <w:hideMark/>
          </w:tcPr>
          <w:p w14:paraId="36D926F5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16</w:t>
            </w:r>
          </w:p>
        </w:tc>
        <w:tc>
          <w:tcPr>
            <w:tcW w:w="1083" w:type="dxa"/>
            <w:vAlign w:val="center"/>
            <w:hideMark/>
          </w:tcPr>
          <w:p w14:paraId="43B85CBF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0.56</w:t>
            </w:r>
          </w:p>
        </w:tc>
        <w:tc>
          <w:tcPr>
            <w:tcW w:w="723" w:type="dxa"/>
            <w:vAlign w:val="center"/>
            <w:hideMark/>
          </w:tcPr>
          <w:p w14:paraId="12CAD9C4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0.27</w:t>
            </w:r>
          </w:p>
        </w:tc>
        <w:tc>
          <w:tcPr>
            <w:tcW w:w="756" w:type="dxa"/>
            <w:vAlign w:val="center"/>
            <w:hideMark/>
          </w:tcPr>
          <w:p w14:paraId="0B10E788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0.37</w:t>
            </w:r>
          </w:p>
        </w:tc>
        <w:tc>
          <w:tcPr>
            <w:tcW w:w="1269" w:type="dxa"/>
            <w:vAlign w:val="center"/>
            <w:hideMark/>
          </w:tcPr>
          <w:p w14:paraId="228F1025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240</w:t>
            </w:r>
          </w:p>
        </w:tc>
        <w:tc>
          <w:tcPr>
            <w:tcW w:w="1269" w:type="dxa"/>
            <w:vAlign w:val="center"/>
            <w:hideMark/>
          </w:tcPr>
          <w:p w14:paraId="656B16B5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C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17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H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36</w:t>
            </w:r>
          </w:p>
        </w:tc>
      </w:tr>
      <w:tr w:rsidR="0004514E" w:rsidRPr="004D7C3A" w14:paraId="7CE436DC" w14:textId="77777777" w:rsidTr="001F0B20">
        <w:trPr>
          <w:trHeight w:hRule="exact" w:val="352"/>
        </w:trPr>
        <w:tc>
          <w:tcPr>
            <w:tcW w:w="3876" w:type="dxa"/>
            <w:vAlign w:val="center"/>
            <w:hideMark/>
          </w:tcPr>
          <w:p w14:paraId="05D6C705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Di(2-ethylhexyl) phthalate</w:t>
            </w:r>
          </w:p>
        </w:tc>
        <w:tc>
          <w:tcPr>
            <w:tcW w:w="756" w:type="dxa"/>
            <w:vAlign w:val="center"/>
            <w:hideMark/>
          </w:tcPr>
          <w:p w14:paraId="1B9DB348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25.65</w:t>
            </w:r>
          </w:p>
        </w:tc>
        <w:tc>
          <w:tcPr>
            <w:tcW w:w="1083" w:type="dxa"/>
            <w:vAlign w:val="center"/>
            <w:hideMark/>
          </w:tcPr>
          <w:p w14:paraId="0BF387EF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14.91</w:t>
            </w:r>
          </w:p>
        </w:tc>
        <w:tc>
          <w:tcPr>
            <w:tcW w:w="723" w:type="dxa"/>
            <w:vAlign w:val="center"/>
            <w:hideMark/>
          </w:tcPr>
          <w:p w14:paraId="18B286D6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12</w:t>
            </w:r>
          </w:p>
        </w:tc>
        <w:tc>
          <w:tcPr>
            <w:tcW w:w="756" w:type="dxa"/>
            <w:vAlign w:val="center"/>
            <w:hideMark/>
          </w:tcPr>
          <w:p w14:paraId="13EB7D43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―</w:t>
            </w:r>
          </w:p>
        </w:tc>
        <w:tc>
          <w:tcPr>
            <w:tcW w:w="1269" w:type="dxa"/>
            <w:vAlign w:val="center"/>
            <w:hideMark/>
          </w:tcPr>
          <w:p w14:paraId="4C312BAF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390</w:t>
            </w:r>
          </w:p>
        </w:tc>
        <w:tc>
          <w:tcPr>
            <w:tcW w:w="1269" w:type="dxa"/>
            <w:vAlign w:val="center"/>
            <w:hideMark/>
          </w:tcPr>
          <w:p w14:paraId="1565C932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C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24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H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38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O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4</w:t>
            </w:r>
          </w:p>
        </w:tc>
      </w:tr>
      <w:tr w:rsidR="0004514E" w:rsidRPr="004D7C3A" w14:paraId="0367C6E6" w14:textId="77777777" w:rsidTr="001F0B20">
        <w:trPr>
          <w:trHeight w:hRule="exact" w:val="288"/>
        </w:trPr>
        <w:tc>
          <w:tcPr>
            <w:tcW w:w="3876" w:type="dxa"/>
            <w:vAlign w:val="center"/>
            <w:hideMark/>
          </w:tcPr>
          <w:p w14:paraId="5A19A2DC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3,7,11-trimethyl-1-Dodecanol</w:t>
            </w:r>
          </w:p>
        </w:tc>
        <w:tc>
          <w:tcPr>
            <w:tcW w:w="756" w:type="dxa"/>
            <w:vAlign w:val="center"/>
            <w:hideMark/>
          </w:tcPr>
          <w:p w14:paraId="2489C563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25.66</w:t>
            </w:r>
          </w:p>
        </w:tc>
        <w:tc>
          <w:tcPr>
            <w:tcW w:w="1083" w:type="dxa"/>
            <w:vAlign w:val="center"/>
            <w:hideMark/>
          </w:tcPr>
          <w:p w14:paraId="54663D48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―</w:t>
            </w:r>
          </w:p>
        </w:tc>
        <w:tc>
          <w:tcPr>
            <w:tcW w:w="723" w:type="dxa"/>
            <w:vAlign w:val="center"/>
            <w:hideMark/>
          </w:tcPr>
          <w:p w14:paraId="7149D695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―</w:t>
            </w:r>
          </w:p>
        </w:tc>
        <w:tc>
          <w:tcPr>
            <w:tcW w:w="756" w:type="dxa"/>
            <w:vAlign w:val="center"/>
            <w:hideMark/>
          </w:tcPr>
          <w:p w14:paraId="38BA13C1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11.32</w:t>
            </w:r>
          </w:p>
        </w:tc>
        <w:tc>
          <w:tcPr>
            <w:tcW w:w="1269" w:type="dxa"/>
            <w:vAlign w:val="center"/>
            <w:hideMark/>
          </w:tcPr>
          <w:p w14:paraId="5594B63E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228</w:t>
            </w:r>
          </w:p>
        </w:tc>
        <w:tc>
          <w:tcPr>
            <w:tcW w:w="1269" w:type="dxa"/>
            <w:vAlign w:val="center"/>
            <w:hideMark/>
          </w:tcPr>
          <w:p w14:paraId="45204E47" w14:textId="77777777" w:rsidR="0004514E" w:rsidRPr="004D7C3A" w:rsidRDefault="0004514E" w:rsidP="001F0B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D7C3A">
              <w:rPr>
                <w:rFonts w:asciiTheme="majorBidi" w:eastAsia="Times New Roman" w:hAnsiTheme="majorBidi" w:cstheme="majorBidi"/>
                <w:color w:val="000000"/>
              </w:rPr>
              <w:t>C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15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H</w:t>
            </w:r>
            <w:r w:rsidRPr="004D7C3A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32</w:t>
            </w:r>
            <w:r w:rsidRPr="004D7C3A">
              <w:rPr>
                <w:rFonts w:asciiTheme="majorBidi" w:eastAsia="Times New Roman" w:hAnsiTheme="majorBidi" w:cstheme="majorBidi"/>
                <w:color w:val="000000"/>
              </w:rPr>
              <w:t>O</w:t>
            </w:r>
          </w:p>
        </w:tc>
      </w:tr>
    </w:tbl>
    <w:p w14:paraId="3F461582" w14:textId="45967A2A" w:rsidR="0004514E" w:rsidRPr="008A6C49" w:rsidRDefault="0004514E" w:rsidP="0004514E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  <w:highlight w:val="yellow"/>
        </w:rPr>
      </w:pPr>
      <w:r w:rsidRPr="008A6C49">
        <w:rPr>
          <w:rFonts w:asciiTheme="majorBidi" w:hAnsiTheme="majorBidi" w:cstheme="majorBidi"/>
          <w:color w:val="000000" w:themeColor="text1"/>
          <w:highlight w:val="yellow"/>
        </w:rPr>
        <w:t xml:space="preserve">RT; </w:t>
      </w:r>
      <w:r w:rsidR="000301D2" w:rsidRPr="008A6C49">
        <w:rPr>
          <w:rFonts w:asciiTheme="majorBidi" w:hAnsiTheme="majorBidi" w:cstheme="majorBidi"/>
          <w:color w:val="000000" w:themeColor="text1"/>
          <w:highlight w:val="yellow"/>
        </w:rPr>
        <w:t>Retention time</w:t>
      </w:r>
      <w:r w:rsidRPr="008A6C49">
        <w:rPr>
          <w:rFonts w:asciiTheme="majorBidi" w:hAnsiTheme="majorBidi" w:cstheme="majorBidi"/>
          <w:color w:val="000000" w:themeColor="text1"/>
          <w:highlight w:val="yellow"/>
        </w:rPr>
        <w:tab/>
      </w:r>
    </w:p>
    <w:p w14:paraId="7EB3FFA7" w14:textId="71087C21" w:rsidR="0004514E" w:rsidRPr="008A6C49" w:rsidRDefault="0004514E" w:rsidP="0004514E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  <w:highlight w:val="yellow"/>
        </w:rPr>
      </w:pPr>
      <w:r w:rsidRPr="008A6C49">
        <w:rPr>
          <w:rFonts w:asciiTheme="majorBidi" w:hAnsiTheme="majorBidi" w:cstheme="majorBidi"/>
          <w:color w:val="000000" w:themeColor="text1"/>
          <w:highlight w:val="yellow"/>
        </w:rPr>
        <w:t xml:space="preserve">Control-Area %; </w:t>
      </w:r>
      <w:r w:rsidR="000301D2" w:rsidRPr="008A6C49">
        <w:rPr>
          <w:rFonts w:asciiTheme="majorBidi" w:hAnsiTheme="majorBidi" w:cstheme="majorBidi"/>
          <w:color w:val="000000" w:themeColor="text1"/>
          <w:highlight w:val="yellow"/>
        </w:rPr>
        <w:t>before treatment</w:t>
      </w:r>
    </w:p>
    <w:p w14:paraId="36496787" w14:textId="5AB74A03" w:rsidR="000301D2" w:rsidRPr="006B38E3" w:rsidRDefault="0004514E" w:rsidP="000301D2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  <w:rtl/>
          <w:lang w:bidi="ar-EG"/>
        </w:rPr>
      </w:pPr>
      <w:r w:rsidRPr="008A6C49">
        <w:rPr>
          <w:rFonts w:asciiTheme="majorBidi" w:hAnsiTheme="majorBidi" w:cstheme="majorBidi"/>
          <w:color w:val="000000" w:themeColor="text1"/>
          <w:highlight w:val="yellow"/>
        </w:rPr>
        <w:t>B1-Area %;</w:t>
      </w:r>
      <w:r w:rsidR="000301D2" w:rsidRPr="008A6C49">
        <w:rPr>
          <w:rFonts w:asciiTheme="majorBidi" w:hAnsiTheme="majorBidi" w:cstheme="majorBidi"/>
          <w:color w:val="000000" w:themeColor="text1"/>
          <w:highlight w:val="yellow"/>
        </w:rPr>
        <w:t xml:space="preserve"> after </w:t>
      </w:r>
      <w:r w:rsidR="000301D2" w:rsidRPr="008A6C49">
        <w:rPr>
          <w:rFonts w:asciiTheme="majorBidi" w:hAnsiTheme="majorBidi" w:cstheme="majorBidi"/>
          <w:color w:val="000000" w:themeColor="text1"/>
          <w:sz w:val="24"/>
          <w:szCs w:val="24"/>
          <w:highlight w:val="yellow"/>
        </w:rPr>
        <w:t xml:space="preserve">48 </w:t>
      </w:r>
      <w:proofErr w:type="gramStart"/>
      <w:r w:rsidR="000301D2" w:rsidRPr="008A6C49">
        <w:rPr>
          <w:rFonts w:asciiTheme="majorBidi" w:hAnsiTheme="majorBidi" w:cstheme="majorBidi"/>
          <w:color w:val="000000" w:themeColor="text1"/>
          <w:sz w:val="24"/>
          <w:szCs w:val="24"/>
          <w:highlight w:val="yellow"/>
        </w:rPr>
        <w:t>days</w:t>
      </w:r>
      <w:proofErr w:type="gramEnd"/>
      <w:r w:rsidR="000301D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treatment of SCMFC with 2% optimized UMO</w:t>
      </w:r>
    </w:p>
    <w:p w14:paraId="3CAF3F60" w14:textId="02C94103" w:rsidR="0004514E" w:rsidRPr="008A6C49" w:rsidRDefault="0004514E" w:rsidP="008A6C49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  <w:highlight w:val="yellow"/>
          <w:rtl/>
        </w:rPr>
      </w:pPr>
      <w:r w:rsidRPr="008A6C49">
        <w:rPr>
          <w:rFonts w:asciiTheme="majorBidi" w:hAnsiTheme="majorBidi" w:cstheme="majorBidi"/>
          <w:color w:val="000000" w:themeColor="text1"/>
          <w:highlight w:val="yellow"/>
        </w:rPr>
        <w:t>B2-Area %;</w:t>
      </w:r>
      <w:r w:rsidR="000301D2" w:rsidRPr="008A6C49">
        <w:rPr>
          <w:rFonts w:asciiTheme="majorBidi" w:hAnsiTheme="majorBidi" w:cstheme="majorBidi"/>
          <w:color w:val="000000" w:themeColor="text1"/>
          <w:highlight w:val="yellow"/>
        </w:rPr>
        <w:t xml:space="preserve"> after </w:t>
      </w:r>
      <w:r w:rsidR="000301D2" w:rsidRPr="008A6C49">
        <w:rPr>
          <w:rFonts w:asciiTheme="majorBidi" w:hAnsiTheme="majorBidi" w:cstheme="majorBidi"/>
          <w:color w:val="000000" w:themeColor="text1"/>
          <w:sz w:val="24"/>
          <w:szCs w:val="24"/>
          <w:highlight w:val="yellow"/>
        </w:rPr>
        <w:t>56</w:t>
      </w:r>
      <w:r w:rsidR="000301D2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 xml:space="preserve"> </w:t>
      </w:r>
      <w:proofErr w:type="gramStart"/>
      <w:r w:rsidR="000301D2" w:rsidRPr="000301D2">
        <w:rPr>
          <w:rFonts w:asciiTheme="majorBidi" w:hAnsiTheme="majorBidi" w:cstheme="majorBidi"/>
          <w:color w:val="000000" w:themeColor="text1"/>
          <w:sz w:val="24"/>
          <w:szCs w:val="24"/>
        </w:rPr>
        <w:t>day</w:t>
      </w:r>
      <w:r w:rsidR="000301D2">
        <w:rPr>
          <w:rFonts w:asciiTheme="majorBidi" w:hAnsiTheme="majorBidi" w:cstheme="majorBidi"/>
          <w:color w:val="000000" w:themeColor="text1"/>
          <w:sz w:val="24"/>
          <w:szCs w:val="24"/>
        </w:rPr>
        <w:t>s</w:t>
      </w:r>
      <w:proofErr w:type="gramEnd"/>
      <w:r w:rsidR="000301D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treatment of SCMFC with 2% optimized UMO</w:t>
      </w:r>
    </w:p>
    <w:p w14:paraId="2A1F2BA1" w14:textId="77777777" w:rsidR="0004514E" w:rsidRDefault="0004514E" w:rsidP="00DF1363"/>
    <w:p w14:paraId="08D98C98" w14:textId="77777777" w:rsidR="0004514E" w:rsidRDefault="0004514E" w:rsidP="00DF1363"/>
    <w:p w14:paraId="529829AD" w14:textId="77777777" w:rsidR="00783CDA" w:rsidRPr="00A7491D" w:rsidRDefault="00783CDA" w:rsidP="007C1C74">
      <w:pPr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  <w:r w:rsidRPr="00A7491D">
        <w:rPr>
          <w:noProof/>
          <w:highlight w:val="yellow"/>
        </w:rPr>
        <w:drawing>
          <wp:inline distT="0" distB="0" distL="0" distR="0" wp14:anchorId="268ED9D5" wp14:editId="51479ABE">
            <wp:extent cx="5943600" cy="3342699"/>
            <wp:effectExtent l="0" t="0" r="0" b="0"/>
            <wp:docPr id="27" name="Picture 27" descr="E:\ابحاث ما بعد الدكتوراه\د.كامل الخطيب\Research 3\hydrocabon\hydrocarbon removal\Manscript\Journal\New folder\ED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ابحاث ما بعد الدكتوراه\د.كامل الخطيب\Research 3\hydrocabon\hydrocarbon removal\Manscript\Journal\New folder\EDX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2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1D85E" w14:textId="5A74189F" w:rsidR="00783CDA" w:rsidRPr="001033A1" w:rsidRDefault="00A7491D" w:rsidP="001033A1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A7491D">
        <w:rPr>
          <w:rFonts w:asciiTheme="majorBidi" w:hAnsiTheme="majorBidi" w:cstheme="majorBidi"/>
          <w:b/>
          <w:bCs/>
          <w:sz w:val="24"/>
          <w:szCs w:val="24"/>
          <w:highlight w:val="yellow"/>
        </w:rPr>
        <w:t>Fig. S1</w:t>
      </w:r>
      <w:r w:rsidR="001033A1">
        <w:rPr>
          <w:rFonts w:asciiTheme="majorBidi" w:hAnsiTheme="majorBidi" w:cstheme="majorBidi"/>
          <w:b/>
          <w:bCs/>
          <w:sz w:val="24"/>
          <w:szCs w:val="24"/>
          <w:highlight w:val="yellow"/>
        </w:rPr>
        <w:t xml:space="preserve">. </w:t>
      </w:r>
      <w:r w:rsidRPr="001033A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</w:rPr>
        <w:t>Molecular Structure of hydrocarbons detected in UMO samples; control, B1, and B2, respectively</w:t>
      </w:r>
      <w:r w:rsidR="001033A1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.</w:t>
      </w:r>
    </w:p>
    <w:p w14:paraId="64C6789F" w14:textId="77777777" w:rsidR="00783CDA" w:rsidRPr="001033A1" w:rsidRDefault="00783CDA" w:rsidP="00A7491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D0E49F3" w14:textId="77777777" w:rsidR="00783CDA" w:rsidRDefault="00783CDA" w:rsidP="007C1C74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837AF1E" w14:textId="77777777" w:rsidR="00783CDA" w:rsidRDefault="00783CDA" w:rsidP="007C1C74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B45E273" w14:textId="77777777" w:rsidR="00783CDA" w:rsidRDefault="00783CDA" w:rsidP="007C1C74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30D135F" w14:textId="77777777" w:rsidR="00783CDA" w:rsidRDefault="00783CDA" w:rsidP="007C1C74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7ACE2D4" w14:textId="77777777" w:rsidR="00783CDA" w:rsidRDefault="00783CDA" w:rsidP="007C1C74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E86A526" w14:textId="77777777" w:rsidR="00783CDA" w:rsidRDefault="00783CDA" w:rsidP="007C1C74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pPr w:leftFromText="180" w:rightFromText="180" w:horzAnchor="margin" w:tblpY="7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DF1363" w:rsidRPr="00962124" w14:paraId="6C239694" w14:textId="77777777" w:rsidTr="001F0B20">
        <w:tc>
          <w:tcPr>
            <w:tcW w:w="9360" w:type="dxa"/>
          </w:tcPr>
          <w:p w14:paraId="6E7A7D3E" w14:textId="77777777" w:rsidR="00DF1363" w:rsidRPr="00962124" w:rsidRDefault="00DF1363" w:rsidP="001F0B2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6212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(a)</w:t>
            </w:r>
          </w:p>
        </w:tc>
      </w:tr>
      <w:tr w:rsidR="00DF1363" w:rsidRPr="00962124" w14:paraId="4259D443" w14:textId="77777777" w:rsidTr="001F0B20">
        <w:tc>
          <w:tcPr>
            <w:tcW w:w="9360" w:type="dxa"/>
          </w:tcPr>
          <w:p w14:paraId="2C548AB4" w14:textId="77777777" w:rsidR="00DF1363" w:rsidRPr="00962124" w:rsidRDefault="00DF1363" w:rsidP="001F0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62124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308471C" wp14:editId="2F9CE014">
                  <wp:extent cx="5029200" cy="2478678"/>
                  <wp:effectExtent l="0" t="0" r="0" b="0"/>
                  <wp:docPr id="6" name="Picture 6" descr="E:\ابحاث ما بعد الدكتوراه\د.كامل الخطيب\Research 3\hydrocabon\hydrocarbon removal\Manscript\Journal\EDX\Slid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ابحاث ما بعد الدكتوراه\د.كامل الخطيب\Research 3\hydrocabon\hydrocarbon removal\Manscript\Journal\EDX\Slide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56" t="2244" r="23127" b="46133"/>
                          <a:stretch/>
                        </pic:blipFill>
                        <pic:spPr bwMode="auto">
                          <a:xfrm>
                            <a:off x="0" y="0"/>
                            <a:ext cx="5035241" cy="2481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363" w:rsidRPr="00962124" w14:paraId="6D81A74E" w14:textId="77777777" w:rsidTr="001F0B20">
        <w:tc>
          <w:tcPr>
            <w:tcW w:w="9360" w:type="dxa"/>
          </w:tcPr>
          <w:p w14:paraId="0B30E303" w14:textId="77777777" w:rsidR="00DF1363" w:rsidRPr="00962124" w:rsidRDefault="00DF1363" w:rsidP="001F0B2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6212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(b)</w:t>
            </w:r>
          </w:p>
        </w:tc>
      </w:tr>
      <w:tr w:rsidR="00DF1363" w:rsidRPr="00962124" w14:paraId="65DE1681" w14:textId="77777777" w:rsidTr="001F0B20">
        <w:tc>
          <w:tcPr>
            <w:tcW w:w="9360" w:type="dxa"/>
          </w:tcPr>
          <w:p w14:paraId="21FC448A" w14:textId="77777777" w:rsidR="00DF1363" w:rsidRPr="00962124" w:rsidRDefault="00DF1363" w:rsidP="001F0B2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62124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04D301D" wp14:editId="1C3BA201">
                  <wp:extent cx="6038850" cy="3068565"/>
                  <wp:effectExtent l="0" t="0" r="0" b="0"/>
                  <wp:docPr id="7" name="Picture 7" descr="E:\ابحاث ما بعد الدكتوراه\د.كامل الخطيب\Research 3\hydrocabon\hydrocarbon removal\Manscript\Journal\EDX\Slid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ابحاث ما بعد الدكتوراه\د.كامل الخطيب\Research 3\hydrocabon\hydrocarbon removal\Manscript\Journal\EDX\Slide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4" t="4972" r="8553" b="12866"/>
                          <a:stretch/>
                        </pic:blipFill>
                        <pic:spPr bwMode="auto">
                          <a:xfrm>
                            <a:off x="0" y="0"/>
                            <a:ext cx="6051489" cy="3074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5FCF7D" w14:textId="77777777" w:rsidR="00DF1363" w:rsidRDefault="00DF1363" w:rsidP="007C1C74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4A7A94D" w14:textId="77777777" w:rsidR="00DF1363" w:rsidRDefault="00DF1363" w:rsidP="007C1C74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C8F325C" w14:textId="7DD8255C" w:rsidR="00854277" w:rsidRPr="001033A1" w:rsidRDefault="00FC431C" w:rsidP="001033A1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033A1">
        <w:rPr>
          <w:rFonts w:asciiTheme="majorBidi" w:hAnsiTheme="majorBidi" w:cstheme="majorBidi"/>
          <w:b/>
          <w:bCs/>
          <w:sz w:val="24"/>
          <w:szCs w:val="24"/>
        </w:rPr>
        <w:t>Fig</w:t>
      </w:r>
      <w:r w:rsidR="00A7491D" w:rsidRPr="001033A1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1033A1">
        <w:rPr>
          <w:rFonts w:asciiTheme="majorBidi" w:hAnsiTheme="majorBidi" w:cstheme="majorBidi"/>
          <w:b/>
          <w:bCs/>
          <w:sz w:val="24"/>
          <w:szCs w:val="24"/>
        </w:rPr>
        <w:t xml:space="preserve"> S</w:t>
      </w:r>
      <w:r w:rsidR="00A7491D" w:rsidRPr="001033A1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1033A1" w:rsidRPr="001033A1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Pr="001033A1">
        <w:rPr>
          <w:rFonts w:asciiTheme="majorBidi" w:hAnsiTheme="majorBidi" w:cstheme="majorBidi"/>
          <w:b/>
          <w:bCs/>
          <w:sz w:val="24"/>
          <w:szCs w:val="24"/>
        </w:rPr>
        <w:t>EDX (a), and mapping (b) of anodic biofilm.</w:t>
      </w:r>
    </w:p>
    <w:p w14:paraId="6C8BA0FA" w14:textId="77777777" w:rsidR="0078586C" w:rsidRDefault="0078586C" w:rsidP="00FC431C">
      <w:pPr>
        <w:rPr>
          <w:rFonts w:asciiTheme="majorBidi" w:hAnsiTheme="majorBidi" w:cstheme="majorBidi"/>
          <w:sz w:val="24"/>
          <w:szCs w:val="24"/>
        </w:rPr>
      </w:pPr>
    </w:p>
    <w:p w14:paraId="551C2889" w14:textId="77777777" w:rsidR="00D77BA6" w:rsidRDefault="00D77BA6" w:rsidP="001033A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25E9409" w14:textId="77777777" w:rsidR="00D77BA6" w:rsidRDefault="00D77BA6" w:rsidP="001033A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A203301" w14:textId="77777777" w:rsidR="00D77BA6" w:rsidRDefault="00D77BA6" w:rsidP="001033A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04723E3" w14:textId="77777777" w:rsidR="00D77BA6" w:rsidRDefault="00D77BA6" w:rsidP="001033A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5704BFF" w14:textId="105176CC" w:rsidR="001033A1" w:rsidRDefault="001033A1" w:rsidP="001033A1">
      <w:pPr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sz w:val="24"/>
          <w:szCs w:val="24"/>
        </w:rPr>
        <w:t>Material and methods</w:t>
      </w:r>
    </w:p>
    <w:p w14:paraId="00203E3F" w14:textId="77777777" w:rsidR="001033A1" w:rsidRPr="004F1E28" w:rsidRDefault="001033A1" w:rsidP="001033A1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Fourier Transform Infrared Spectroscopy (FTIR) Analysis</w:t>
      </w:r>
    </w:p>
    <w:p w14:paraId="7000AABC" w14:textId="77777777" w:rsidR="001033A1" w:rsidRPr="004F1E28" w:rsidRDefault="001033A1" w:rsidP="001033A1">
      <w:pPr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E28">
        <w:rPr>
          <w:rFonts w:ascii="Times New Roman" w:hAnsi="Times New Roman" w:cs="Times New Roman"/>
          <w:sz w:val="24"/>
          <w:szCs w:val="24"/>
        </w:rPr>
        <w:t xml:space="preserve">    UMO samples, before (control) and after biodegradation (B1, B2), were analyzed by ATR-FTIR spectroscopy to determine the functional groups and the nature of the chemical bonds by using a Bruker Vertex 80 instrument (Germany). A certain quantity of the UMO sample was mixed and ground with KBr in an agate mortar. The translucent discs were prepared by pressing the ground material with pressure from a bench press. The tablet was immediately analyzed with a spectrophotometer in the range of 4000-400 cm</w:t>
      </w:r>
      <w:r w:rsidRPr="004F1E28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4F1E28">
        <w:rPr>
          <w:rFonts w:ascii="Times New Roman" w:hAnsi="Times New Roman" w:cs="Times New Roman"/>
          <w:sz w:val="24"/>
          <w:szCs w:val="24"/>
        </w:rPr>
        <w:t xml:space="preserve"> with a resolution of 4 cm</w:t>
      </w:r>
      <w:r w:rsidRPr="004F1E28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4F1E28">
        <w:rPr>
          <w:rFonts w:ascii="Times New Roman" w:hAnsi="Times New Roman" w:cs="Times New Roman"/>
          <w:sz w:val="24"/>
          <w:szCs w:val="24"/>
        </w:rPr>
        <w:t>.</w:t>
      </w:r>
    </w:p>
    <w:p w14:paraId="64A2E2CF" w14:textId="77777777" w:rsidR="001033A1" w:rsidRPr="004F1E28" w:rsidRDefault="001033A1" w:rsidP="001033A1">
      <w:pPr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E418CF" w14:textId="77777777" w:rsidR="001033A1" w:rsidRPr="004F1E28" w:rsidRDefault="001033A1" w:rsidP="001033A1">
      <w:pPr>
        <w:spacing w:before="120" w:after="120" w:line="48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F1E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Gas Chromatography-Mass Spectroscopy (GC–MS) Analysis</w:t>
      </w:r>
    </w:p>
    <w:p w14:paraId="64988F78" w14:textId="77777777" w:rsidR="001033A1" w:rsidRPr="004F1E28" w:rsidRDefault="001033A1" w:rsidP="001033A1">
      <w:pPr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E28">
        <w:rPr>
          <w:rFonts w:ascii="Times New Roman" w:hAnsi="Times New Roman" w:cs="Times New Roman"/>
          <w:color w:val="000000"/>
          <w:sz w:val="24"/>
          <w:szCs w:val="24"/>
        </w:rPr>
        <w:t xml:space="preserve">     The chemical composition of UMO samples was determined by GC</w:t>
      </w:r>
      <w:r w:rsidRPr="004F1E28">
        <w:rPr>
          <w:rFonts w:ascii="Times New Roman" w:hAnsi="Times New Roman" w:cs="Times New Roman"/>
          <w:sz w:val="24"/>
          <w:szCs w:val="24"/>
        </w:rPr>
        <w:t>–</w:t>
      </w:r>
      <w:r w:rsidRPr="004F1E28">
        <w:rPr>
          <w:rFonts w:ascii="Times New Roman" w:hAnsi="Times New Roman" w:cs="Times New Roman"/>
          <w:color w:val="000000"/>
          <w:sz w:val="24"/>
          <w:szCs w:val="24"/>
        </w:rPr>
        <w:t xml:space="preserve">MS. </w:t>
      </w:r>
      <w:r w:rsidRPr="004F1E28">
        <w:rPr>
          <w:rFonts w:ascii="Times New Roman" w:hAnsi="Times New Roman" w:cs="Times New Roman"/>
          <w:sz w:val="24"/>
          <w:szCs w:val="24"/>
        </w:rPr>
        <w:t xml:space="preserve">The GC–MS analysis was performed for UMO before (control) and after biodegradation (B1, B2) on a Thermo Scientific Trace 1300 </w:t>
      </w:r>
      <w:r w:rsidRPr="004F1E28">
        <w:rPr>
          <w:rFonts w:ascii="Times New Roman" w:hAnsi="Times New Roman" w:cs="Times New Roman"/>
          <w:color w:val="000000"/>
          <w:sz w:val="24"/>
          <w:szCs w:val="24"/>
        </w:rPr>
        <w:t xml:space="preserve">series gas chromatography coupled with an ISQ 7000 single quadrupole mass spectrometer with an electron capture detector (ECD). A 1 μL sample volume was injected by a CTC A200S autosampler with splitless mode into the DB 1 capillary separation column (60 m × 0.32 mm </w:t>
      </w:r>
      <w:proofErr w:type="spellStart"/>
      <w:r w:rsidRPr="004F1E28">
        <w:rPr>
          <w:rFonts w:ascii="Times New Roman" w:hAnsi="Times New Roman" w:cs="Times New Roman"/>
          <w:color w:val="000000"/>
          <w:sz w:val="24"/>
          <w:szCs w:val="24"/>
        </w:rPr>
        <w:t>i.d.</w:t>
      </w:r>
      <w:proofErr w:type="spellEnd"/>
      <w:r w:rsidRPr="004F1E28">
        <w:rPr>
          <w:rFonts w:ascii="Times New Roman" w:hAnsi="Times New Roman" w:cs="Times New Roman"/>
          <w:color w:val="000000"/>
          <w:sz w:val="24"/>
          <w:szCs w:val="24"/>
        </w:rPr>
        <w:t xml:space="preserve"> × 0.25 μm film thickness). For the chromatographic analysis, the initial temperature was 40 </w:t>
      </w:r>
      <w:r w:rsidRPr="004F1E2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°</w:t>
      </w:r>
      <w:r w:rsidRPr="004F1E28">
        <w:rPr>
          <w:rFonts w:ascii="Times New Roman" w:hAnsi="Times New Roman" w:cs="Times New Roman"/>
          <w:color w:val="000000"/>
          <w:sz w:val="24"/>
          <w:szCs w:val="24"/>
        </w:rPr>
        <w:t xml:space="preserve">C and held for 2 min, followed by an increase at a rate of 10 </w:t>
      </w:r>
      <w:r w:rsidRPr="004F1E2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°</w:t>
      </w:r>
      <w:r w:rsidRPr="004F1E28">
        <w:rPr>
          <w:rFonts w:ascii="Times New Roman" w:hAnsi="Times New Roman" w:cs="Times New Roman"/>
          <w:color w:val="000000"/>
          <w:sz w:val="24"/>
          <w:szCs w:val="24"/>
        </w:rPr>
        <w:t xml:space="preserve">C/min to the injection temperature of 290 </w:t>
      </w:r>
      <w:r w:rsidRPr="004F1E2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°</w:t>
      </w:r>
      <w:r w:rsidRPr="004F1E28">
        <w:rPr>
          <w:rFonts w:ascii="Times New Roman" w:hAnsi="Times New Roman" w:cs="Times New Roman"/>
          <w:color w:val="000000"/>
          <w:sz w:val="24"/>
          <w:szCs w:val="24"/>
        </w:rPr>
        <w:t xml:space="preserve">C and was held for 20 min. The carrier gas was helium, with a constant flow rate of 1 mL/min. Mass spectrometry conditions were as follows: electron bombardment ion source, electron beam energy 70 eV, ion source temperature 210 </w:t>
      </w:r>
      <w:r w:rsidRPr="004F1E2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°</w:t>
      </w:r>
      <w:r w:rsidRPr="004F1E28">
        <w:rPr>
          <w:rFonts w:ascii="Times New Roman" w:hAnsi="Times New Roman" w:cs="Times New Roman"/>
          <w:color w:val="000000"/>
          <w:sz w:val="24"/>
          <w:szCs w:val="24"/>
        </w:rPr>
        <w:t xml:space="preserve">C, transmission line temperature 280 </w:t>
      </w:r>
      <w:r w:rsidRPr="004F1E2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°</w:t>
      </w:r>
      <w:r w:rsidRPr="004F1E28">
        <w:rPr>
          <w:rFonts w:ascii="Times New Roman" w:hAnsi="Times New Roman" w:cs="Times New Roman"/>
          <w:color w:val="000000"/>
          <w:sz w:val="24"/>
          <w:szCs w:val="24"/>
        </w:rPr>
        <w:t xml:space="preserve">C, mass scan range was m/z 50-650, with a scan rate was 100 </w:t>
      </w:r>
      <w:proofErr w:type="spellStart"/>
      <w:r w:rsidRPr="004F1E28">
        <w:rPr>
          <w:rFonts w:ascii="Times New Roman" w:hAnsi="Times New Roman" w:cs="Times New Roman"/>
          <w:color w:val="000000"/>
          <w:sz w:val="24"/>
          <w:szCs w:val="24"/>
        </w:rPr>
        <w:t>ms.</w:t>
      </w:r>
      <w:proofErr w:type="spellEnd"/>
      <w:r w:rsidRPr="004F1E28">
        <w:rPr>
          <w:rFonts w:ascii="Times New Roman" w:hAnsi="Times New Roman" w:cs="Times New Roman"/>
          <w:color w:val="000000"/>
          <w:sz w:val="24"/>
          <w:szCs w:val="24"/>
        </w:rPr>
        <w:t xml:space="preserve"> Data were collected on a Windows-based personal computer. The relative abundance of the components </w:t>
      </w:r>
      <w:r w:rsidRPr="004F1E28">
        <w:rPr>
          <w:rFonts w:ascii="Times New Roman" w:hAnsi="Times New Roman" w:cs="Times New Roman"/>
          <w:sz w:val="24"/>
          <w:szCs w:val="24"/>
        </w:rPr>
        <w:t>was obtained by integrating the peak area of each component in the chromatogram, and the absolute content of each component was determined by the acquisition general method.</w:t>
      </w:r>
    </w:p>
    <w:p w14:paraId="4BC4D95E" w14:textId="77777777" w:rsidR="001033A1" w:rsidRDefault="001033A1" w:rsidP="001033A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9D3BEC4" w14:textId="77777777" w:rsidR="001033A1" w:rsidRDefault="001033A1" w:rsidP="001033A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3AB8172" w14:textId="77777777" w:rsidR="0078586C" w:rsidRDefault="0078586C" w:rsidP="00FC431C">
      <w:pPr>
        <w:rPr>
          <w:rFonts w:asciiTheme="majorBidi" w:hAnsiTheme="majorBidi" w:cstheme="majorBidi"/>
          <w:sz w:val="24"/>
          <w:szCs w:val="24"/>
        </w:rPr>
      </w:pPr>
    </w:p>
    <w:p w14:paraId="2591B82D" w14:textId="77777777" w:rsidR="0078586C" w:rsidRDefault="0078586C" w:rsidP="00FC431C">
      <w:pPr>
        <w:rPr>
          <w:rFonts w:asciiTheme="majorBidi" w:hAnsiTheme="majorBidi" w:cstheme="majorBidi"/>
          <w:sz w:val="24"/>
          <w:szCs w:val="24"/>
        </w:rPr>
      </w:pPr>
    </w:p>
    <w:p w14:paraId="62534DF1" w14:textId="77777777" w:rsidR="0078586C" w:rsidRPr="00FC431C" w:rsidRDefault="0078586C" w:rsidP="0078586C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0E20E36" w14:textId="77777777" w:rsidR="0078586C" w:rsidRDefault="0078586C" w:rsidP="00FC431C">
      <w:pPr>
        <w:rPr>
          <w:rFonts w:asciiTheme="majorBidi" w:hAnsiTheme="majorBidi" w:cstheme="majorBidi"/>
          <w:sz w:val="24"/>
          <w:szCs w:val="24"/>
        </w:rPr>
      </w:pPr>
    </w:p>
    <w:p w14:paraId="6B480A87" w14:textId="77777777" w:rsidR="0078586C" w:rsidRDefault="0078586C" w:rsidP="00FC431C"/>
    <w:sectPr w:rsidR="007858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LCM K+ Doulos SIL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STIX-Regular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90B"/>
    <w:rsid w:val="000301D2"/>
    <w:rsid w:val="0004514E"/>
    <w:rsid w:val="001033A1"/>
    <w:rsid w:val="00196083"/>
    <w:rsid w:val="002F790B"/>
    <w:rsid w:val="00311EBB"/>
    <w:rsid w:val="003E2A16"/>
    <w:rsid w:val="005568DD"/>
    <w:rsid w:val="005E4F6C"/>
    <w:rsid w:val="00664594"/>
    <w:rsid w:val="006E16FD"/>
    <w:rsid w:val="006E35D4"/>
    <w:rsid w:val="00783CDA"/>
    <w:rsid w:val="0078586C"/>
    <w:rsid w:val="007C1C74"/>
    <w:rsid w:val="00854277"/>
    <w:rsid w:val="008A6C49"/>
    <w:rsid w:val="00962124"/>
    <w:rsid w:val="00A7491D"/>
    <w:rsid w:val="00A851A6"/>
    <w:rsid w:val="00AE3082"/>
    <w:rsid w:val="00C22C8F"/>
    <w:rsid w:val="00C31FD5"/>
    <w:rsid w:val="00C74785"/>
    <w:rsid w:val="00D72B11"/>
    <w:rsid w:val="00D77BA6"/>
    <w:rsid w:val="00D84D1A"/>
    <w:rsid w:val="00D85FFC"/>
    <w:rsid w:val="00DF1363"/>
    <w:rsid w:val="00E00F11"/>
    <w:rsid w:val="00EE3313"/>
    <w:rsid w:val="00FA4942"/>
    <w:rsid w:val="00FC431C"/>
    <w:rsid w:val="00FC714E"/>
    <w:rsid w:val="00FE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A1BEAB"/>
  <w15:chartTrackingRefBased/>
  <w15:docId w15:val="{FC415FBD-12B0-4324-9D54-6B0D773B5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1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F1363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7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Ebtehag Abdelfattah Elsebaiey sakr</dc:creator>
  <cp:keywords/>
  <dc:description/>
  <cp:lastModifiedBy>Ebtehag Abdelfattah Elsebaiey sakr</cp:lastModifiedBy>
  <cp:revision>33</cp:revision>
  <dcterms:created xsi:type="dcterms:W3CDTF">2025-05-25T20:31:00Z</dcterms:created>
  <dcterms:modified xsi:type="dcterms:W3CDTF">2025-11-01T09:37:00Z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2fbf9e01-c41f-403b-95a5-247be1576886</vt:lpwstr>
  </property>
</Properties>
</file>