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408" w:rsidRDefault="00A32BA2">
      <w:pPr>
        <w:spacing w:after="600"/>
        <w:ind w:firstLine="0"/>
        <w:rPr>
          <w:rFonts w:ascii="Arial" w:hAnsi="Arial" w:cs="Arial"/>
          <w:b/>
          <w:bCs/>
          <w:szCs w:val="28"/>
          <w:lang w:eastAsia="en-GB"/>
        </w:rPr>
      </w:pPr>
      <w:bookmarkStart w:id="0" w:name="_Hlk195024125"/>
      <w:bookmarkStart w:id="1" w:name="_Hlk171285892"/>
      <w:bookmarkStart w:id="2" w:name="_GoBack"/>
      <w:bookmarkEnd w:id="2"/>
      <w:r>
        <w:rPr>
          <w:rFonts w:ascii="Arial" w:hAnsi="Arial" w:cs="Arial"/>
          <w:b/>
          <w:bCs/>
          <w:szCs w:val="28"/>
          <w:lang w:eastAsia="en-GB"/>
        </w:rPr>
        <w:t xml:space="preserve">Endocytosis of the </w:t>
      </w:r>
      <w:r>
        <w:rPr>
          <w:rFonts w:ascii="Arial" w:hAnsi="Arial" w:cs="Arial"/>
          <w:b/>
          <w:bCs/>
          <w:i/>
          <w:iCs/>
          <w:szCs w:val="28"/>
          <w:lang w:eastAsia="en-GB"/>
        </w:rPr>
        <w:t>Saccharomyces cerevisiae</w:t>
      </w:r>
      <w:r>
        <w:rPr>
          <w:rFonts w:ascii="Arial" w:hAnsi="Arial" w:cs="Arial"/>
          <w:b/>
          <w:bCs/>
          <w:szCs w:val="28"/>
          <w:lang w:eastAsia="en-GB"/>
        </w:rPr>
        <w:t xml:space="preserve"> Jen1 monocarboxylate-proton symporter under mildly alkaline conditions:  a mechanism to prevent metabolite loss?</w:t>
      </w:r>
      <w:bookmarkEnd w:id="0"/>
    </w:p>
    <w:p w:rsidR="00095408" w:rsidRDefault="00A32BA2">
      <w:pPr>
        <w:spacing w:after="600"/>
        <w:ind w:firstLine="0"/>
        <w:rPr>
          <w:rFonts w:ascii="Arial" w:eastAsiaTheme="minorEastAsia" w:hAnsi="Arial" w:cs="Arial"/>
          <w:sz w:val="22"/>
          <w:vertAlign w:val="superscript"/>
          <w:lang w:val="pt-PT" w:eastAsia="en-GB"/>
        </w:rPr>
      </w:pPr>
      <w:r>
        <w:rPr>
          <w:rFonts w:ascii="Arial" w:eastAsiaTheme="minorEastAsia" w:hAnsi="Arial" w:cs="Arial"/>
          <w:sz w:val="22"/>
          <w:lang w:val="pt-PT" w:eastAsia="en-GB"/>
        </w:rPr>
        <w:t>Cláudia Barata-Antunes</w:t>
      </w:r>
      <w:r>
        <w:rPr>
          <w:rFonts w:ascii="Arial" w:eastAsiaTheme="minorEastAsia" w:hAnsi="Arial" w:cs="Arial"/>
          <w:sz w:val="22"/>
          <w:vertAlign w:val="superscript"/>
          <w:lang w:val="pt-PT" w:eastAsia="en-GB"/>
        </w:rPr>
        <w:t>1,2</w:t>
      </w:r>
      <w:r>
        <w:rPr>
          <w:rFonts w:ascii="Arial" w:eastAsiaTheme="minorEastAsia" w:hAnsi="Arial" w:cs="Arial"/>
          <w:sz w:val="22"/>
          <w:lang w:val="pt-PT" w:eastAsia="en-GB"/>
        </w:rPr>
        <w:t>, Marieke Warmerdam</w:t>
      </w:r>
      <w:r>
        <w:rPr>
          <w:rFonts w:ascii="Arial" w:eastAsiaTheme="minorEastAsia" w:hAnsi="Arial" w:cs="Arial"/>
          <w:sz w:val="22"/>
          <w:vertAlign w:val="superscript"/>
          <w:lang w:val="pt-PT" w:eastAsia="en-GB"/>
        </w:rPr>
        <w:t>3</w:t>
      </w:r>
      <w:r>
        <w:rPr>
          <w:rFonts w:ascii="Arial" w:eastAsiaTheme="minorEastAsia" w:hAnsi="Arial" w:cs="Arial"/>
          <w:sz w:val="22"/>
          <w:lang w:val="pt-PT" w:eastAsia="en-GB"/>
        </w:rPr>
        <w:t>, Erik de Hulster</w:t>
      </w:r>
      <w:r>
        <w:rPr>
          <w:rFonts w:ascii="Arial" w:eastAsiaTheme="minorEastAsia" w:hAnsi="Arial" w:cs="Arial"/>
          <w:sz w:val="22"/>
          <w:vertAlign w:val="superscript"/>
          <w:lang w:val="pt-PT" w:eastAsia="en-GB"/>
        </w:rPr>
        <w:t>3</w:t>
      </w:r>
      <w:r>
        <w:rPr>
          <w:rFonts w:ascii="Arial" w:eastAsiaTheme="minorEastAsia" w:hAnsi="Arial" w:cs="Arial"/>
          <w:sz w:val="22"/>
          <w:lang w:val="pt-PT" w:eastAsia="en-GB"/>
        </w:rPr>
        <w:t>,</w:t>
      </w:r>
      <w:r>
        <w:rPr>
          <w:rFonts w:ascii="Arial" w:eastAsia="Arial" w:hAnsi="Arial" w:cs="Arial"/>
          <w:iCs/>
          <w:sz w:val="22"/>
          <w:lang w:val="pt-PT"/>
        </w:rPr>
        <w:t xml:space="preserve"> Inês P. Ribeiro</w:t>
      </w:r>
      <w:r>
        <w:rPr>
          <w:rFonts w:ascii="Arial" w:eastAsia="Arial" w:hAnsi="Arial" w:cs="Arial"/>
          <w:iCs/>
          <w:sz w:val="22"/>
          <w:vertAlign w:val="superscript"/>
          <w:lang w:val="pt-PT"/>
        </w:rPr>
        <w:t>1,4</w:t>
      </w:r>
      <w:r>
        <w:rPr>
          <w:rFonts w:ascii="Arial" w:eastAsia="Arial" w:hAnsi="Arial" w:cs="Arial"/>
          <w:iCs/>
          <w:sz w:val="22"/>
          <w:lang w:val="pt-PT"/>
        </w:rPr>
        <w:t>,</w:t>
      </w:r>
      <w:r>
        <w:rPr>
          <w:rFonts w:ascii="Arial" w:eastAsiaTheme="minorEastAsia" w:hAnsi="Arial" w:cs="Arial"/>
          <w:sz w:val="22"/>
          <w:lang w:val="pt-PT" w:eastAsia="en-GB"/>
        </w:rPr>
        <w:t xml:space="preserve"> Clara Cardoso</w:t>
      </w:r>
      <w:r>
        <w:rPr>
          <w:rFonts w:ascii="Arial" w:eastAsiaTheme="minorEastAsia" w:hAnsi="Arial" w:cs="Arial"/>
          <w:sz w:val="22"/>
          <w:vertAlign w:val="superscript"/>
          <w:lang w:val="pt-PT" w:eastAsia="en-GB"/>
        </w:rPr>
        <w:t>3</w:t>
      </w:r>
      <w:r>
        <w:rPr>
          <w:rFonts w:ascii="Arial" w:eastAsiaTheme="minorEastAsia" w:hAnsi="Arial" w:cs="Arial"/>
          <w:sz w:val="22"/>
          <w:lang w:val="pt-PT" w:eastAsia="en-GB"/>
        </w:rPr>
        <w:t>,</w:t>
      </w:r>
      <w:r>
        <w:rPr>
          <w:rFonts w:ascii="Arial Narrow" w:eastAsia="Arial" w:hAnsi="Arial Narrow" w:cstheme="minorHAnsi"/>
          <w:i/>
          <w:sz w:val="22"/>
          <w:lang w:val="pt-PT"/>
        </w:rPr>
        <w:t xml:space="preserve"> </w:t>
      </w:r>
      <w:r>
        <w:rPr>
          <w:rFonts w:ascii="Arial" w:eastAsiaTheme="minorEastAsia" w:hAnsi="Arial" w:cs="Arial"/>
          <w:sz w:val="22"/>
          <w:lang w:val="pt-PT" w:eastAsia="en-GB"/>
        </w:rPr>
        <w:t>Beatriz Leite</w:t>
      </w:r>
      <w:r>
        <w:rPr>
          <w:rFonts w:ascii="Arial" w:eastAsiaTheme="minorEastAsia" w:hAnsi="Arial" w:cs="Arial"/>
          <w:sz w:val="22"/>
          <w:vertAlign w:val="superscript"/>
          <w:lang w:val="pt-PT" w:eastAsia="en-GB"/>
        </w:rPr>
        <w:t>1,2</w:t>
      </w:r>
      <w:r>
        <w:rPr>
          <w:rFonts w:ascii="Arial" w:eastAsiaTheme="minorEastAsia" w:hAnsi="Arial" w:cs="Arial"/>
          <w:sz w:val="22"/>
          <w:lang w:val="pt-PT" w:eastAsia="en-GB"/>
        </w:rPr>
        <w:t>, Margarida Casal</w:t>
      </w:r>
      <w:r>
        <w:rPr>
          <w:rFonts w:ascii="Arial" w:eastAsiaTheme="minorEastAsia" w:hAnsi="Arial" w:cs="Arial"/>
          <w:sz w:val="22"/>
          <w:vertAlign w:val="superscript"/>
          <w:lang w:val="pt-PT" w:eastAsia="en-GB"/>
        </w:rPr>
        <w:t>1,2</w:t>
      </w:r>
      <w:r>
        <w:rPr>
          <w:rFonts w:ascii="Arial" w:eastAsiaTheme="minorEastAsia" w:hAnsi="Arial" w:cs="Arial"/>
          <w:sz w:val="22"/>
          <w:lang w:val="pt-PT" w:eastAsia="en-GB"/>
        </w:rPr>
        <w:t>, Hernâni-Gerós</w:t>
      </w:r>
      <w:r>
        <w:rPr>
          <w:rFonts w:ascii="Arial" w:eastAsiaTheme="minorEastAsia" w:hAnsi="Arial" w:cs="Arial"/>
          <w:sz w:val="22"/>
          <w:vertAlign w:val="superscript"/>
          <w:lang w:val="pt-PT" w:eastAsia="en-GB"/>
        </w:rPr>
        <w:t>1,5,6</w:t>
      </w:r>
      <w:r>
        <w:rPr>
          <w:rFonts w:ascii="Arial" w:eastAsiaTheme="minorEastAsia" w:hAnsi="Arial" w:cs="Arial"/>
          <w:sz w:val="22"/>
          <w:lang w:val="pt-PT" w:eastAsia="en-GB"/>
        </w:rPr>
        <w:t>, Jack Pronk</w:t>
      </w:r>
      <w:r>
        <w:rPr>
          <w:rFonts w:ascii="Arial" w:eastAsiaTheme="minorEastAsia" w:hAnsi="Arial" w:cs="Arial"/>
          <w:sz w:val="22"/>
          <w:vertAlign w:val="superscript"/>
          <w:lang w:val="pt-PT" w:eastAsia="en-GB"/>
        </w:rPr>
        <w:t>3</w:t>
      </w:r>
      <w:r>
        <w:rPr>
          <w:rFonts w:ascii="Arial" w:eastAsiaTheme="minorEastAsia" w:hAnsi="Arial" w:cs="Arial"/>
          <w:sz w:val="22"/>
          <w:lang w:val="pt-PT" w:eastAsia="en-GB"/>
        </w:rPr>
        <w:t>, Joaquín Ariño</w:t>
      </w:r>
      <w:r>
        <w:rPr>
          <w:rFonts w:ascii="Arial" w:eastAsiaTheme="minorEastAsia" w:hAnsi="Arial" w:cs="Arial"/>
          <w:sz w:val="22"/>
          <w:vertAlign w:val="superscript"/>
          <w:lang w:val="pt-PT" w:eastAsia="en-GB"/>
        </w:rPr>
        <w:t>7</w:t>
      </w:r>
      <w:r>
        <w:rPr>
          <w:rFonts w:ascii="Arial" w:eastAsiaTheme="minorEastAsia" w:hAnsi="Arial" w:cs="Arial"/>
          <w:sz w:val="22"/>
          <w:lang w:val="pt-PT" w:eastAsia="en-GB"/>
        </w:rPr>
        <w:t>, Robert Mans</w:t>
      </w:r>
      <w:r>
        <w:rPr>
          <w:rFonts w:ascii="Arial" w:eastAsiaTheme="minorEastAsia" w:hAnsi="Arial" w:cs="Arial"/>
          <w:sz w:val="22"/>
          <w:vertAlign w:val="superscript"/>
          <w:lang w:val="pt-PT" w:eastAsia="en-GB"/>
        </w:rPr>
        <w:t>3</w:t>
      </w:r>
      <w:r>
        <w:rPr>
          <w:rFonts w:ascii="Arial" w:eastAsiaTheme="minorEastAsia" w:hAnsi="Arial" w:cs="Arial"/>
          <w:sz w:val="22"/>
          <w:lang w:val="pt-PT" w:eastAsia="en-GB"/>
        </w:rPr>
        <w:t>, Sandra Paiva</w:t>
      </w:r>
      <w:r>
        <w:rPr>
          <w:rFonts w:ascii="Arial" w:eastAsiaTheme="minorEastAsia" w:hAnsi="Arial" w:cs="Arial"/>
          <w:sz w:val="22"/>
          <w:vertAlign w:val="superscript"/>
          <w:lang w:val="pt-PT" w:eastAsia="en-GB"/>
        </w:rPr>
        <w:t>1,2</w:t>
      </w:r>
      <w:bookmarkEnd w:id="1"/>
    </w:p>
    <w:p w:rsidR="00095408" w:rsidRDefault="00A32BA2">
      <w:pPr>
        <w:pStyle w:val="Title"/>
        <w:ind w:firstLine="0"/>
        <w:outlineLvl w:val="0"/>
        <w:rPr>
          <w:rFonts w:ascii="Arial" w:hAnsi="Arial" w:cs="Arial"/>
          <w:b/>
          <w:bCs/>
          <w:sz w:val="24"/>
          <w:szCs w:val="72"/>
        </w:rPr>
      </w:pPr>
      <w:r>
        <w:rPr>
          <w:rFonts w:ascii="Arial" w:hAnsi="Arial" w:cs="Arial"/>
          <w:b/>
          <w:bCs/>
          <w:sz w:val="24"/>
          <w:szCs w:val="72"/>
        </w:rPr>
        <w:t>Supporting Information 1</w:t>
      </w:r>
    </w:p>
    <w:p w:rsidR="00095408" w:rsidRDefault="00A32BA2">
      <w:pPr>
        <w:spacing w:before="240"/>
        <w:ind w:firstLine="0"/>
        <w:rPr>
          <w:rFonts w:ascii="Arial" w:hAnsi="Arial" w:cs="Arial"/>
          <w:szCs w:val="24"/>
        </w:rPr>
      </w:pPr>
      <w:r>
        <w:rPr>
          <w:rFonts w:ascii="Arial" w:hAnsi="Arial" w:cs="Arial"/>
          <w:szCs w:val="24"/>
        </w:rPr>
        <w:t>Tables S1, S2, S3, S4, S5, S6, S7, S8, S9</w:t>
      </w:r>
    </w:p>
    <w:p w:rsidR="00095408" w:rsidRDefault="00A32BA2">
      <w:pPr>
        <w:ind w:firstLine="0"/>
        <w:rPr>
          <w:rFonts w:ascii="Arial" w:hAnsi="Arial" w:cs="Arial"/>
        </w:rPr>
      </w:pPr>
      <w:r>
        <w:rPr>
          <w:rFonts w:ascii="Arial" w:hAnsi="Arial" w:cs="Arial"/>
          <w:szCs w:val="24"/>
        </w:rPr>
        <w:t>Figures S1, S2, S3, S4, S5</w:t>
      </w:r>
    </w:p>
    <w:p w:rsidR="00095408" w:rsidRDefault="00A32BA2">
      <w:pPr>
        <w:spacing w:after="160" w:line="259" w:lineRule="auto"/>
        <w:ind w:firstLine="0"/>
        <w:jc w:val="left"/>
        <w:rPr>
          <w:rFonts w:ascii="Arial" w:eastAsia="Times New Roman" w:hAnsi="Arial" w:cs="Arial"/>
          <w:b/>
          <w:bCs/>
          <w:sz w:val="20"/>
          <w:szCs w:val="24"/>
          <w:lang w:val="en-US"/>
        </w:rPr>
      </w:pPr>
      <w:r>
        <w:br w:type="page"/>
      </w:r>
    </w:p>
    <w:p w:rsidR="00095408" w:rsidRDefault="00A32BA2">
      <w:pPr>
        <w:pStyle w:val="Caption"/>
        <w:spacing w:after="120"/>
        <w:rPr>
          <w:rFonts w:ascii="Arial" w:hAnsi="Arial" w:cs="Arial"/>
          <w:b w:val="0"/>
          <w:bCs w:val="0"/>
          <w:sz w:val="22"/>
          <w:szCs w:val="22"/>
        </w:rPr>
      </w:pPr>
      <w:r>
        <w:rPr>
          <w:rFonts w:ascii="Arial" w:hAnsi="Arial" w:cs="Arial"/>
          <w:sz w:val="22"/>
          <w:szCs w:val="22"/>
        </w:rPr>
        <w:lastRenderedPageBreak/>
        <w:t xml:space="preserve">Table S1 - Detailed composition of the synthetic medium (SM) for carbon limited-, aerobic- continuous culture of </w:t>
      </w:r>
      <w:r>
        <w:rPr>
          <w:rFonts w:ascii="Arial" w:hAnsi="Arial" w:cs="Arial"/>
          <w:i/>
          <w:iCs/>
          <w:sz w:val="22"/>
          <w:szCs w:val="22"/>
        </w:rPr>
        <w:t xml:space="preserve">S. cerevisiae </w:t>
      </w:r>
      <w:r>
        <w:rPr>
          <w:rFonts w:ascii="Arial" w:hAnsi="Arial" w:cs="Arial"/>
          <w:sz w:val="22"/>
          <w:szCs w:val="22"/>
        </w:rPr>
        <w:t>(final volume: 20 L)</w:t>
      </w:r>
    </w:p>
    <w:tbl>
      <w:tblPr>
        <w:tblStyle w:val="GridTable1Light-Accent61"/>
        <w:tblW w:w="9016" w:type="dxa"/>
        <w:tblLayout w:type="fixed"/>
        <w:tblLook w:val="04A0" w:firstRow="1" w:lastRow="0" w:firstColumn="1" w:lastColumn="0" w:noHBand="0" w:noVBand="1"/>
      </w:tblPr>
      <w:tblGrid>
        <w:gridCol w:w="1288"/>
        <w:gridCol w:w="1287"/>
        <w:gridCol w:w="1289"/>
        <w:gridCol w:w="1287"/>
        <w:gridCol w:w="1289"/>
        <w:gridCol w:w="1287"/>
        <w:gridCol w:w="1289"/>
      </w:tblGrid>
      <w:tr w:rsidR="00095408" w:rsidTr="00095408">
        <w:trPr>
          <w:cnfStyle w:val="100000000000" w:firstRow="1" w:lastRow="0" w:firstColumn="0" w:lastColumn="0" w:oddVBand="0" w:evenVBand="0" w:oddHBand="0"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1288" w:type="dxa"/>
            <w:tcBorders>
              <w:bottom w:val="single" w:sz="12" w:space="0" w:color="8DD873"/>
            </w:tcBorders>
            <w:vAlign w:val="center"/>
          </w:tcPr>
          <w:p w:rsidR="00095408" w:rsidRDefault="00A32BA2">
            <w:pPr>
              <w:spacing w:line="240" w:lineRule="auto"/>
              <w:ind w:firstLine="0"/>
              <w:jc w:val="center"/>
              <w:rPr>
                <w:rFonts w:ascii="Arial" w:hAnsi="Arial" w:cs="Arial"/>
                <w:sz w:val="18"/>
                <w:szCs w:val="18"/>
              </w:rPr>
            </w:pPr>
            <w:r>
              <w:rPr>
                <w:rFonts w:ascii="Arial" w:hAnsi="Arial" w:cs="Arial"/>
                <w:sz w:val="18"/>
                <w:szCs w:val="18"/>
              </w:rPr>
              <w:t>Component</w:t>
            </w:r>
          </w:p>
        </w:tc>
        <w:tc>
          <w:tcPr>
            <w:tcW w:w="1287" w:type="dxa"/>
            <w:tcBorders>
              <w:bottom w:val="single" w:sz="12" w:space="0" w:color="8DD873"/>
            </w:tcBorders>
            <w:vAlign w:val="center"/>
          </w:tcPr>
          <w:p w:rsidR="00095408" w:rsidRDefault="00A32BA2">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Formula</w:t>
            </w:r>
          </w:p>
        </w:tc>
        <w:tc>
          <w:tcPr>
            <w:tcW w:w="1289" w:type="dxa"/>
            <w:tcBorders>
              <w:bottom w:val="single" w:sz="12" w:space="0" w:color="8DD873"/>
            </w:tcBorders>
            <w:vAlign w:val="center"/>
          </w:tcPr>
          <w:p w:rsidR="00095408" w:rsidRDefault="00A32BA2">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Product code</w:t>
            </w:r>
          </w:p>
        </w:tc>
        <w:tc>
          <w:tcPr>
            <w:tcW w:w="1287" w:type="dxa"/>
            <w:tcBorders>
              <w:bottom w:val="single" w:sz="12" w:space="0" w:color="8DD873"/>
            </w:tcBorders>
            <w:vAlign w:val="center"/>
          </w:tcPr>
          <w:p w:rsidR="00095408" w:rsidRDefault="00A32BA2">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MW</w:t>
            </w:r>
          </w:p>
          <w:p w:rsidR="00095408" w:rsidRDefault="00A32BA2">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(g.mol</w:t>
            </w:r>
            <w:r>
              <w:rPr>
                <w:rFonts w:ascii="Arial" w:hAnsi="Arial" w:cs="Arial"/>
                <w:sz w:val="18"/>
                <w:szCs w:val="18"/>
                <w:vertAlign w:val="superscript"/>
              </w:rPr>
              <w:t>-1</w:t>
            </w:r>
            <w:r>
              <w:rPr>
                <w:rFonts w:ascii="Arial" w:hAnsi="Arial" w:cs="Arial"/>
                <w:sz w:val="18"/>
                <w:szCs w:val="18"/>
              </w:rPr>
              <w:t>)</w:t>
            </w:r>
          </w:p>
        </w:tc>
        <w:tc>
          <w:tcPr>
            <w:tcW w:w="1289" w:type="dxa"/>
            <w:tcBorders>
              <w:bottom w:val="single" w:sz="12" w:space="0" w:color="8DD873"/>
            </w:tcBorders>
            <w:vAlign w:val="center"/>
          </w:tcPr>
          <w:p w:rsidR="00095408" w:rsidRDefault="00A32BA2">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Weight</w:t>
            </w:r>
          </w:p>
          <w:p w:rsidR="00095408" w:rsidRDefault="00A32BA2">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(g)</w:t>
            </w:r>
          </w:p>
        </w:tc>
        <w:tc>
          <w:tcPr>
            <w:tcW w:w="1287" w:type="dxa"/>
            <w:tcBorders>
              <w:bottom w:val="single" w:sz="12" w:space="0" w:color="8DD873"/>
            </w:tcBorders>
            <w:vAlign w:val="center"/>
          </w:tcPr>
          <w:p w:rsidR="00095408" w:rsidRDefault="00A32BA2">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Volume (mL)</w:t>
            </w:r>
          </w:p>
        </w:tc>
        <w:tc>
          <w:tcPr>
            <w:tcW w:w="1289" w:type="dxa"/>
            <w:tcBorders>
              <w:bottom w:val="single" w:sz="12" w:space="0" w:color="8DD873"/>
            </w:tcBorders>
            <w:vAlign w:val="center"/>
          </w:tcPr>
          <w:p w:rsidR="00095408" w:rsidRDefault="00A32BA2">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Comment</w:t>
            </w:r>
          </w:p>
        </w:tc>
      </w:tr>
      <w:tr w:rsidR="00095408" w:rsidTr="00095408">
        <w:trPr>
          <w:trHeight w:val="716"/>
        </w:trPr>
        <w:tc>
          <w:tcPr>
            <w:cnfStyle w:val="001000000000" w:firstRow="0" w:lastRow="0" w:firstColumn="1" w:lastColumn="0" w:oddVBand="0" w:evenVBand="0" w:oddHBand="0" w:evenHBand="0" w:firstRowFirstColumn="0" w:firstRowLastColumn="0" w:lastRowFirstColumn="0" w:lastRowLastColumn="0"/>
            <w:tcW w:w="1288" w:type="dxa"/>
            <w:vAlign w:val="center"/>
          </w:tcPr>
          <w:p w:rsidR="00095408" w:rsidRDefault="00A32BA2">
            <w:pPr>
              <w:spacing w:line="240" w:lineRule="auto"/>
              <w:ind w:firstLine="0"/>
              <w:jc w:val="center"/>
              <w:rPr>
                <w:rFonts w:ascii="Arial" w:hAnsi="Arial" w:cs="Arial"/>
                <w:sz w:val="18"/>
                <w:szCs w:val="18"/>
              </w:rPr>
            </w:pPr>
            <w:r>
              <w:rPr>
                <w:rFonts w:ascii="Arial" w:hAnsi="Arial" w:cs="Arial"/>
                <w:sz w:val="18"/>
                <w:szCs w:val="18"/>
              </w:rPr>
              <w:t>Ammonium Sulphate</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(NH</w:t>
            </w:r>
            <w:r>
              <w:rPr>
                <w:rFonts w:ascii="Arial" w:hAnsi="Arial" w:cs="Arial"/>
                <w:sz w:val="20"/>
                <w:szCs w:val="20"/>
                <w:vertAlign w:val="subscript"/>
              </w:rPr>
              <w:t>4</w:t>
            </w:r>
            <w:r>
              <w:rPr>
                <w:rFonts w:ascii="Arial" w:hAnsi="Arial" w:cs="Arial"/>
                <w:sz w:val="20"/>
                <w:szCs w:val="20"/>
              </w:rPr>
              <w:t>)</w:t>
            </w:r>
            <w:r>
              <w:rPr>
                <w:rFonts w:ascii="Arial" w:hAnsi="Arial" w:cs="Arial"/>
                <w:sz w:val="20"/>
                <w:szCs w:val="20"/>
                <w:vertAlign w:val="subscript"/>
              </w:rPr>
              <w:t>2</w:t>
            </w:r>
            <w:r>
              <w:rPr>
                <w:rFonts w:ascii="Arial" w:hAnsi="Arial" w:cs="Arial"/>
                <w:sz w:val="20"/>
                <w:szCs w:val="20"/>
              </w:rPr>
              <w:t>SO</w:t>
            </w:r>
            <w:r>
              <w:rPr>
                <w:rFonts w:ascii="Arial" w:hAnsi="Arial" w:cs="Arial"/>
                <w:sz w:val="20"/>
                <w:szCs w:val="20"/>
                <w:vertAlign w:val="subscript"/>
              </w:rPr>
              <w:t>4</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Merck 1211</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132.14</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100.00</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w:t>
            </w:r>
          </w:p>
        </w:tc>
      </w:tr>
      <w:tr w:rsidR="00095408" w:rsidTr="00095408">
        <w:trPr>
          <w:trHeight w:val="716"/>
        </w:trPr>
        <w:tc>
          <w:tcPr>
            <w:cnfStyle w:val="001000000000" w:firstRow="0" w:lastRow="0" w:firstColumn="1" w:lastColumn="0" w:oddVBand="0" w:evenVBand="0" w:oddHBand="0" w:evenHBand="0" w:firstRowFirstColumn="0" w:firstRowLastColumn="0" w:lastRowFirstColumn="0" w:lastRowLastColumn="0"/>
            <w:tcW w:w="1288" w:type="dxa"/>
            <w:vAlign w:val="center"/>
          </w:tcPr>
          <w:p w:rsidR="00095408" w:rsidRDefault="00A32BA2">
            <w:pPr>
              <w:spacing w:line="240" w:lineRule="auto"/>
              <w:ind w:firstLine="0"/>
              <w:jc w:val="center"/>
              <w:rPr>
                <w:rFonts w:ascii="Arial" w:hAnsi="Arial" w:cs="Arial"/>
                <w:sz w:val="18"/>
                <w:szCs w:val="18"/>
              </w:rPr>
            </w:pPr>
            <w:r>
              <w:rPr>
                <w:rFonts w:ascii="Arial" w:hAnsi="Arial" w:cs="Arial"/>
                <w:sz w:val="18"/>
                <w:szCs w:val="18"/>
              </w:rPr>
              <w:t>Potassium dihydrogen phosphate</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KH</w:t>
            </w:r>
            <w:r>
              <w:rPr>
                <w:rFonts w:ascii="Arial" w:hAnsi="Arial" w:cs="Arial"/>
                <w:sz w:val="20"/>
                <w:szCs w:val="20"/>
                <w:vertAlign w:val="subscript"/>
              </w:rPr>
              <w:t>2</w:t>
            </w:r>
            <w:r>
              <w:rPr>
                <w:rFonts w:ascii="Arial" w:hAnsi="Arial" w:cs="Arial"/>
                <w:sz w:val="20"/>
                <w:szCs w:val="20"/>
              </w:rPr>
              <w:t>PO</w:t>
            </w:r>
            <w:r>
              <w:rPr>
                <w:rFonts w:ascii="Arial" w:hAnsi="Arial" w:cs="Arial"/>
                <w:sz w:val="20"/>
                <w:szCs w:val="20"/>
                <w:vertAlign w:val="subscript"/>
              </w:rPr>
              <w:t>4</w:t>
            </w:r>
          </w:p>
        </w:tc>
        <w:tc>
          <w:tcPr>
            <w:tcW w:w="1289" w:type="dxa"/>
            <w:vAlign w:val="center"/>
          </w:tcPr>
          <w:p w:rsidR="00095408" w:rsidRDefault="00A32BA2">
            <w:pPr>
              <w:pStyle w:val="Default"/>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Merck</w:t>
            </w:r>
          </w:p>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4877</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136.09</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60.00</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w:t>
            </w:r>
          </w:p>
        </w:tc>
      </w:tr>
      <w:tr w:rsidR="00095408" w:rsidTr="00095408">
        <w:trPr>
          <w:trHeight w:val="716"/>
        </w:trPr>
        <w:tc>
          <w:tcPr>
            <w:cnfStyle w:val="001000000000" w:firstRow="0" w:lastRow="0" w:firstColumn="1" w:lastColumn="0" w:oddVBand="0" w:evenVBand="0" w:oddHBand="0" w:evenHBand="0" w:firstRowFirstColumn="0" w:firstRowLastColumn="0" w:lastRowFirstColumn="0" w:lastRowLastColumn="0"/>
            <w:tcW w:w="1288" w:type="dxa"/>
            <w:vAlign w:val="center"/>
          </w:tcPr>
          <w:p w:rsidR="00095408" w:rsidRDefault="00A32BA2">
            <w:pPr>
              <w:spacing w:line="240" w:lineRule="auto"/>
              <w:ind w:firstLine="0"/>
              <w:jc w:val="center"/>
              <w:rPr>
                <w:rFonts w:ascii="Arial" w:hAnsi="Arial" w:cs="Arial"/>
                <w:sz w:val="18"/>
                <w:szCs w:val="18"/>
              </w:rPr>
            </w:pPr>
            <w:r>
              <w:rPr>
                <w:rFonts w:ascii="Arial" w:hAnsi="Arial" w:cs="Arial"/>
                <w:sz w:val="18"/>
                <w:szCs w:val="18"/>
              </w:rPr>
              <w:t>Magnesium sulphate. 7H</w:t>
            </w:r>
            <w:r>
              <w:rPr>
                <w:rFonts w:ascii="Arial" w:hAnsi="Arial" w:cs="Arial"/>
                <w:sz w:val="18"/>
                <w:szCs w:val="18"/>
                <w:vertAlign w:val="subscript"/>
              </w:rPr>
              <w:t>2</w:t>
            </w:r>
            <w:r>
              <w:rPr>
                <w:rFonts w:ascii="Arial" w:hAnsi="Arial" w:cs="Arial"/>
                <w:sz w:val="18"/>
                <w:szCs w:val="18"/>
              </w:rPr>
              <w:t>O</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MgSO</w:t>
            </w:r>
            <w:r>
              <w:rPr>
                <w:rFonts w:ascii="Arial" w:hAnsi="Arial" w:cs="Arial"/>
                <w:sz w:val="20"/>
                <w:szCs w:val="20"/>
                <w:vertAlign w:val="subscript"/>
              </w:rPr>
              <w:t>4</w:t>
            </w:r>
            <w:r>
              <w:rPr>
                <w:rFonts w:ascii="Arial" w:hAnsi="Arial" w:cs="Arial"/>
                <w:sz w:val="20"/>
                <w:szCs w:val="20"/>
              </w:rPr>
              <w:t>.7H</w:t>
            </w:r>
            <w:r>
              <w:rPr>
                <w:rFonts w:ascii="Arial" w:hAnsi="Arial" w:cs="Arial"/>
                <w:sz w:val="20"/>
                <w:szCs w:val="20"/>
                <w:vertAlign w:val="subscript"/>
              </w:rPr>
              <w:t>2</w:t>
            </w:r>
            <w:r>
              <w:rPr>
                <w:rFonts w:ascii="Arial" w:hAnsi="Arial" w:cs="Arial"/>
                <w:sz w:val="20"/>
                <w:szCs w:val="20"/>
              </w:rPr>
              <w:t>O</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Baker 0168</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246.47</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10.00</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w:t>
            </w:r>
          </w:p>
        </w:tc>
      </w:tr>
      <w:tr w:rsidR="00095408" w:rsidTr="00095408">
        <w:trPr>
          <w:trHeight w:val="716"/>
        </w:trPr>
        <w:tc>
          <w:tcPr>
            <w:cnfStyle w:val="001000000000" w:firstRow="0" w:lastRow="0" w:firstColumn="1" w:lastColumn="0" w:oddVBand="0" w:evenVBand="0" w:oddHBand="0" w:evenHBand="0" w:firstRowFirstColumn="0" w:firstRowLastColumn="0" w:lastRowFirstColumn="0" w:lastRowLastColumn="0"/>
            <w:tcW w:w="1288" w:type="dxa"/>
            <w:vAlign w:val="center"/>
          </w:tcPr>
          <w:p w:rsidR="00095408" w:rsidRDefault="00A32BA2">
            <w:pPr>
              <w:spacing w:line="240" w:lineRule="auto"/>
              <w:ind w:firstLine="0"/>
              <w:jc w:val="center"/>
              <w:rPr>
                <w:rFonts w:ascii="Arial" w:hAnsi="Arial" w:cs="Arial"/>
                <w:sz w:val="18"/>
                <w:szCs w:val="18"/>
              </w:rPr>
            </w:pPr>
            <w:r>
              <w:rPr>
                <w:rFonts w:ascii="Arial" w:hAnsi="Arial" w:cs="Arial"/>
                <w:sz w:val="18"/>
                <w:szCs w:val="18"/>
              </w:rPr>
              <w:t>Pluronic PE6100</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BASF 50073570</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8.00</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w:t>
            </w:r>
          </w:p>
        </w:tc>
      </w:tr>
      <w:tr w:rsidR="00095408" w:rsidTr="00095408">
        <w:trPr>
          <w:trHeight w:val="716"/>
        </w:trPr>
        <w:tc>
          <w:tcPr>
            <w:cnfStyle w:val="001000000000" w:firstRow="0" w:lastRow="0" w:firstColumn="1" w:lastColumn="0" w:oddVBand="0" w:evenVBand="0" w:oddHBand="0" w:evenHBand="0" w:firstRowFirstColumn="0" w:firstRowLastColumn="0" w:lastRowFirstColumn="0" w:lastRowLastColumn="0"/>
            <w:tcW w:w="1288" w:type="dxa"/>
            <w:vAlign w:val="center"/>
          </w:tcPr>
          <w:p w:rsidR="00095408" w:rsidRDefault="00A32BA2">
            <w:pPr>
              <w:spacing w:line="240" w:lineRule="auto"/>
              <w:ind w:firstLine="0"/>
              <w:jc w:val="center"/>
              <w:rPr>
                <w:rFonts w:ascii="Arial" w:hAnsi="Arial" w:cs="Arial"/>
                <w:sz w:val="18"/>
                <w:szCs w:val="18"/>
              </w:rPr>
            </w:pPr>
            <w:r>
              <w:rPr>
                <w:rFonts w:ascii="Arial" w:hAnsi="Arial" w:cs="Arial"/>
                <w:sz w:val="18"/>
                <w:szCs w:val="18"/>
              </w:rPr>
              <w:t>Trace metals solution</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*Stock solution</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20.00</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pt-BR"/>
              </w:rPr>
            </w:pPr>
            <w:r>
              <w:rPr>
                <w:rFonts w:ascii="Arial" w:hAnsi="Arial" w:cs="Arial"/>
                <w:sz w:val="18"/>
                <w:szCs w:val="18"/>
              </w:rPr>
              <w:t>-</w:t>
            </w:r>
          </w:p>
        </w:tc>
      </w:tr>
      <w:tr w:rsidR="00095408" w:rsidTr="00095408">
        <w:trPr>
          <w:trHeight w:val="716"/>
        </w:trPr>
        <w:tc>
          <w:tcPr>
            <w:cnfStyle w:val="001000000000" w:firstRow="0" w:lastRow="0" w:firstColumn="1" w:lastColumn="0" w:oddVBand="0" w:evenVBand="0" w:oddHBand="0" w:evenHBand="0" w:firstRowFirstColumn="0" w:firstRowLastColumn="0" w:lastRowFirstColumn="0" w:lastRowLastColumn="0"/>
            <w:tcW w:w="1288" w:type="dxa"/>
            <w:vAlign w:val="center"/>
          </w:tcPr>
          <w:p w:rsidR="00095408" w:rsidRDefault="00A32BA2">
            <w:pPr>
              <w:spacing w:line="240" w:lineRule="auto"/>
              <w:ind w:firstLine="0"/>
              <w:jc w:val="center"/>
              <w:rPr>
                <w:rFonts w:ascii="Arial" w:hAnsi="Arial" w:cs="Arial"/>
                <w:sz w:val="18"/>
                <w:szCs w:val="18"/>
              </w:rPr>
            </w:pPr>
            <w:r>
              <w:rPr>
                <w:rFonts w:ascii="Arial" w:hAnsi="Arial" w:cs="Arial"/>
                <w:sz w:val="18"/>
                <w:szCs w:val="18"/>
              </w:rPr>
              <w:t>L-(+)-Lactic acid</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C</w:t>
            </w:r>
            <w:r>
              <w:rPr>
                <w:rFonts w:ascii="Arial" w:hAnsi="Arial" w:cs="Arial"/>
                <w:sz w:val="20"/>
                <w:szCs w:val="20"/>
                <w:vertAlign w:val="subscript"/>
              </w:rPr>
              <w:t>3</w:t>
            </w:r>
            <w:r>
              <w:rPr>
                <w:rFonts w:ascii="Arial" w:hAnsi="Arial" w:cs="Arial"/>
                <w:sz w:val="20"/>
                <w:szCs w:val="20"/>
              </w:rPr>
              <w:t>H</w:t>
            </w:r>
            <w:r>
              <w:rPr>
                <w:rFonts w:ascii="Arial" w:hAnsi="Arial" w:cs="Arial"/>
                <w:sz w:val="20"/>
                <w:szCs w:val="20"/>
                <w:vertAlign w:val="subscript"/>
              </w:rPr>
              <w:t>6</w:t>
            </w:r>
            <w:r>
              <w:rPr>
                <w:rFonts w:ascii="Arial" w:hAnsi="Arial" w:cs="Arial"/>
                <w:sz w:val="20"/>
                <w:szCs w:val="20"/>
              </w:rPr>
              <w:t>O</w:t>
            </w:r>
            <w:r>
              <w:rPr>
                <w:rFonts w:ascii="Arial" w:hAnsi="Arial" w:cs="Arial"/>
                <w:sz w:val="20"/>
                <w:szCs w:val="20"/>
                <w:vertAlign w:val="subscript"/>
              </w:rPr>
              <w:t>3</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90.08</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61.93</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w:t>
            </w:r>
          </w:p>
        </w:tc>
      </w:tr>
      <w:tr w:rsidR="00095408" w:rsidTr="00095408">
        <w:trPr>
          <w:trHeight w:val="716"/>
        </w:trPr>
        <w:tc>
          <w:tcPr>
            <w:cnfStyle w:val="001000000000" w:firstRow="0" w:lastRow="0" w:firstColumn="1" w:lastColumn="0" w:oddVBand="0" w:evenVBand="0" w:oddHBand="0" w:evenHBand="0" w:firstRowFirstColumn="0" w:firstRowLastColumn="0" w:lastRowFirstColumn="0" w:lastRowLastColumn="0"/>
            <w:tcW w:w="1288" w:type="dxa"/>
            <w:vAlign w:val="center"/>
          </w:tcPr>
          <w:p w:rsidR="00095408" w:rsidRDefault="00A32BA2">
            <w:pPr>
              <w:spacing w:line="240" w:lineRule="auto"/>
              <w:ind w:firstLine="0"/>
              <w:jc w:val="center"/>
              <w:rPr>
                <w:rFonts w:ascii="Arial" w:hAnsi="Arial" w:cs="Arial"/>
                <w:sz w:val="18"/>
                <w:szCs w:val="18"/>
              </w:rPr>
            </w:pPr>
            <w:r>
              <w:rPr>
                <w:rFonts w:ascii="Arial" w:hAnsi="Arial" w:cs="Arial"/>
                <w:sz w:val="18"/>
                <w:szCs w:val="18"/>
              </w:rPr>
              <w:t>RO water (total weight)</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H</w:t>
            </w:r>
            <w:r>
              <w:rPr>
                <w:rFonts w:ascii="Arial" w:hAnsi="Arial" w:cs="Arial"/>
                <w:sz w:val="20"/>
                <w:szCs w:val="20"/>
                <w:vertAlign w:val="subscript"/>
              </w:rPr>
              <w:t>2</w:t>
            </w:r>
            <w:r>
              <w:rPr>
                <w:rFonts w:ascii="Arial" w:hAnsi="Arial" w:cs="Arial"/>
                <w:sz w:val="20"/>
                <w:szCs w:val="20"/>
              </w:rPr>
              <w:t>O</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19422</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w:t>
            </w:r>
          </w:p>
        </w:tc>
      </w:tr>
      <w:tr w:rsidR="00095408" w:rsidTr="00095408">
        <w:trPr>
          <w:trHeight w:val="716"/>
        </w:trPr>
        <w:tc>
          <w:tcPr>
            <w:cnfStyle w:val="001000000000" w:firstRow="0" w:lastRow="0" w:firstColumn="1" w:lastColumn="0" w:oddVBand="0" w:evenVBand="0" w:oddHBand="0" w:evenHBand="0" w:firstRowFirstColumn="0" w:firstRowLastColumn="0" w:lastRowFirstColumn="0" w:lastRowLastColumn="0"/>
            <w:tcW w:w="1288" w:type="dxa"/>
            <w:vAlign w:val="center"/>
          </w:tcPr>
          <w:p w:rsidR="00095408" w:rsidRDefault="00A32BA2">
            <w:pPr>
              <w:spacing w:line="240" w:lineRule="auto"/>
              <w:ind w:firstLine="0"/>
              <w:jc w:val="center"/>
              <w:rPr>
                <w:rFonts w:ascii="Arial" w:hAnsi="Arial" w:cs="Arial"/>
                <w:sz w:val="18"/>
                <w:szCs w:val="18"/>
              </w:rPr>
            </w:pPr>
            <w:r>
              <w:rPr>
                <w:rFonts w:ascii="Arial" w:hAnsi="Arial" w:cs="Arial"/>
                <w:sz w:val="18"/>
                <w:szCs w:val="18"/>
              </w:rPr>
              <w:t>Ethanol</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CH</w:t>
            </w:r>
            <w:r>
              <w:rPr>
                <w:rFonts w:ascii="Arial" w:hAnsi="Arial" w:cs="Arial"/>
                <w:sz w:val="20"/>
                <w:szCs w:val="20"/>
                <w:vertAlign w:val="subscript"/>
              </w:rPr>
              <w:t>3</w:t>
            </w:r>
            <w:r>
              <w:rPr>
                <w:rFonts w:ascii="Arial" w:hAnsi="Arial" w:cs="Arial"/>
                <w:sz w:val="20"/>
                <w:szCs w:val="20"/>
              </w:rPr>
              <w:t>CH</w:t>
            </w:r>
            <w:r>
              <w:rPr>
                <w:rFonts w:ascii="Arial" w:hAnsi="Arial" w:cs="Arial"/>
                <w:sz w:val="20"/>
                <w:szCs w:val="20"/>
                <w:vertAlign w:val="subscript"/>
              </w:rPr>
              <w:t>2</w:t>
            </w:r>
            <w:r>
              <w:rPr>
                <w:rFonts w:ascii="Arial" w:hAnsi="Arial" w:cs="Arial"/>
                <w:sz w:val="20"/>
                <w:szCs w:val="20"/>
              </w:rPr>
              <w:t>OH</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46.07</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58.20</w:t>
            </w:r>
          </w:p>
        </w:tc>
        <w:tc>
          <w:tcPr>
            <w:tcW w:w="1289" w:type="dxa"/>
            <w:vMerge w:val="restart"/>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Ethanol and vitamins were added after autoclaving the above components</w:t>
            </w:r>
          </w:p>
        </w:tc>
      </w:tr>
      <w:tr w:rsidR="00095408" w:rsidTr="00095408">
        <w:trPr>
          <w:trHeight w:val="716"/>
        </w:trPr>
        <w:tc>
          <w:tcPr>
            <w:cnfStyle w:val="001000000000" w:firstRow="0" w:lastRow="0" w:firstColumn="1" w:lastColumn="0" w:oddVBand="0" w:evenVBand="0" w:oddHBand="0" w:evenHBand="0" w:firstRowFirstColumn="0" w:firstRowLastColumn="0" w:lastRowFirstColumn="0" w:lastRowLastColumn="0"/>
            <w:tcW w:w="1288" w:type="dxa"/>
            <w:vAlign w:val="center"/>
          </w:tcPr>
          <w:p w:rsidR="00095408" w:rsidRDefault="00A32BA2">
            <w:pPr>
              <w:spacing w:line="240" w:lineRule="auto"/>
              <w:ind w:firstLine="0"/>
              <w:jc w:val="center"/>
              <w:rPr>
                <w:rFonts w:ascii="Arial" w:hAnsi="Arial" w:cs="Arial"/>
                <w:sz w:val="18"/>
                <w:szCs w:val="18"/>
              </w:rPr>
            </w:pPr>
            <w:r>
              <w:rPr>
                <w:rFonts w:ascii="Arial" w:hAnsi="Arial" w:cs="Arial"/>
                <w:sz w:val="18"/>
                <w:szCs w:val="18"/>
              </w:rPr>
              <w:t>Vitamins</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**Stock solution</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9"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8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20.00</w:t>
            </w:r>
          </w:p>
        </w:tc>
        <w:tc>
          <w:tcPr>
            <w:tcW w:w="1289" w:type="dxa"/>
            <w:vMerge/>
            <w:vAlign w:val="center"/>
          </w:tcPr>
          <w:p w:rsidR="00095408" w:rsidRDefault="00095408">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bl>
    <w:p w:rsidR="00095408" w:rsidRDefault="00095408">
      <w:pPr>
        <w:spacing w:line="240" w:lineRule="auto"/>
        <w:ind w:firstLine="0"/>
        <w:rPr>
          <w:rFonts w:ascii="Arial" w:hAnsi="Arial" w:cs="Arial"/>
          <w:sz w:val="20"/>
          <w:szCs w:val="20"/>
        </w:rPr>
      </w:pPr>
    </w:p>
    <w:p w:rsidR="00095408" w:rsidRDefault="00A32BA2">
      <w:pPr>
        <w:spacing w:line="240" w:lineRule="auto"/>
        <w:ind w:firstLine="0"/>
        <w:rPr>
          <w:rFonts w:ascii="Arial" w:hAnsi="Arial" w:cs="Arial"/>
          <w:sz w:val="20"/>
          <w:szCs w:val="20"/>
        </w:rPr>
      </w:pPr>
      <w:r>
        <w:rPr>
          <w:rFonts w:ascii="Arial" w:hAnsi="Arial" w:cs="Arial"/>
          <w:sz w:val="20"/>
          <w:szCs w:val="20"/>
        </w:rPr>
        <w:t xml:space="preserve">*The </w:t>
      </w:r>
      <w:r>
        <w:rPr>
          <w:rFonts w:ascii="Arial" w:hAnsi="Arial" w:cs="Arial"/>
          <w:b/>
          <w:sz w:val="20"/>
          <w:szCs w:val="20"/>
        </w:rPr>
        <w:t xml:space="preserve">trace metals stock solution </w:t>
      </w:r>
      <w:r>
        <w:rPr>
          <w:rFonts w:ascii="Arial" w:hAnsi="Arial" w:cs="Arial"/>
          <w:bCs/>
          <w:sz w:val="20"/>
          <w:szCs w:val="20"/>
        </w:rPr>
        <w:t>contained (L</w:t>
      </w:r>
      <w:r>
        <w:rPr>
          <w:rFonts w:ascii="Arial" w:hAnsi="Arial" w:cs="Arial"/>
          <w:bCs/>
          <w:sz w:val="20"/>
          <w:szCs w:val="20"/>
          <w:vertAlign w:val="superscript"/>
        </w:rPr>
        <w:t>-1</w:t>
      </w:r>
      <w:r>
        <w:rPr>
          <w:rFonts w:ascii="Arial" w:hAnsi="Arial" w:cs="Arial"/>
          <w:bCs/>
          <w:sz w:val="20"/>
          <w:szCs w:val="20"/>
        </w:rPr>
        <w:t>):</w:t>
      </w:r>
      <w:r>
        <w:rPr>
          <w:rFonts w:ascii="Arial" w:hAnsi="Arial" w:cs="Arial"/>
          <w:sz w:val="20"/>
          <w:szCs w:val="20"/>
        </w:rPr>
        <w:t xml:space="preserve"> </w:t>
      </w:r>
    </w:p>
    <w:p w:rsidR="00095408" w:rsidRDefault="00A32BA2">
      <w:pPr>
        <w:pStyle w:val="ListParagraph"/>
        <w:numPr>
          <w:ilvl w:val="0"/>
          <w:numId w:val="1"/>
        </w:numPr>
        <w:spacing w:after="160" w:line="240" w:lineRule="auto"/>
        <w:ind w:firstLine="0"/>
        <w:rPr>
          <w:rFonts w:ascii="Arial" w:hAnsi="Arial" w:cs="Arial"/>
          <w:sz w:val="20"/>
          <w:szCs w:val="20"/>
          <w:lang w:val="pt-PT"/>
        </w:rPr>
      </w:pPr>
      <w:r>
        <w:rPr>
          <w:rFonts w:ascii="Arial" w:hAnsi="Arial" w:cs="Arial"/>
          <w:sz w:val="20"/>
          <w:szCs w:val="20"/>
          <w:lang w:val="pt-PT"/>
        </w:rPr>
        <w:t>4.5 g CaCl</w:t>
      </w:r>
      <w:r>
        <w:rPr>
          <w:rFonts w:ascii="Arial" w:hAnsi="Arial" w:cs="Arial"/>
          <w:sz w:val="20"/>
          <w:szCs w:val="20"/>
          <w:vertAlign w:val="subscript"/>
          <w:lang w:val="pt-PT"/>
        </w:rPr>
        <w:t>2</w:t>
      </w:r>
      <w:r>
        <w:rPr>
          <w:rFonts w:ascii="Arial" w:hAnsi="Arial" w:cs="Arial"/>
          <w:sz w:val="20"/>
          <w:szCs w:val="20"/>
          <w:lang w:val="pt-PT"/>
        </w:rPr>
        <w:t>.2H</w:t>
      </w:r>
      <w:r>
        <w:rPr>
          <w:rFonts w:ascii="Arial" w:hAnsi="Arial" w:cs="Arial"/>
          <w:sz w:val="20"/>
          <w:szCs w:val="20"/>
          <w:vertAlign w:val="subscript"/>
          <w:lang w:val="pt-PT"/>
        </w:rPr>
        <w:t>2</w:t>
      </w:r>
      <w:r>
        <w:rPr>
          <w:rFonts w:ascii="Arial" w:hAnsi="Arial" w:cs="Arial"/>
          <w:sz w:val="20"/>
          <w:szCs w:val="20"/>
          <w:lang w:val="pt-PT"/>
        </w:rPr>
        <w:t>O</w:t>
      </w:r>
    </w:p>
    <w:p w:rsidR="00095408" w:rsidRDefault="00A32BA2">
      <w:pPr>
        <w:pStyle w:val="ListParagraph"/>
        <w:numPr>
          <w:ilvl w:val="0"/>
          <w:numId w:val="1"/>
        </w:numPr>
        <w:spacing w:after="160" w:line="240" w:lineRule="auto"/>
        <w:ind w:firstLine="0"/>
        <w:rPr>
          <w:rFonts w:ascii="Arial" w:hAnsi="Arial" w:cs="Arial"/>
          <w:sz w:val="20"/>
          <w:szCs w:val="20"/>
          <w:lang w:val="pt-PT"/>
        </w:rPr>
      </w:pPr>
      <w:r>
        <w:rPr>
          <w:rFonts w:ascii="Arial" w:hAnsi="Arial" w:cs="Arial"/>
          <w:sz w:val="20"/>
          <w:szCs w:val="20"/>
          <w:lang w:val="pt-PT"/>
        </w:rPr>
        <w:t>4.5 g ZnSO</w:t>
      </w:r>
      <w:r>
        <w:rPr>
          <w:rFonts w:ascii="Arial" w:hAnsi="Arial" w:cs="Arial"/>
          <w:sz w:val="20"/>
          <w:szCs w:val="20"/>
          <w:vertAlign w:val="subscript"/>
          <w:lang w:val="pt-PT"/>
        </w:rPr>
        <w:t>4</w:t>
      </w:r>
      <w:r>
        <w:rPr>
          <w:rFonts w:ascii="Arial" w:hAnsi="Arial" w:cs="Arial"/>
          <w:sz w:val="20"/>
          <w:szCs w:val="20"/>
          <w:lang w:val="pt-PT"/>
        </w:rPr>
        <w:t>.7H</w:t>
      </w:r>
      <w:r>
        <w:rPr>
          <w:rFonts w:ascii="Arial" w:hAnsi="Arial" w:cs="Arial"/>
          <w:sz w:val="20"/>
          <w:szCs w:val="20"/>
          <w:vertAlign w:val="subscript"/>
          <w:lang w:val="pt-PT"/>
        </w:rPr>
        <w:t>2</w:t>
      </w:r>
      <w:r>
        <w:rPr>
          <w:rFonts w:ascii="Arial" w:hAnsi="Arial" w:cs="Arial"/>
          <w:sz w:val="20"/>
          <w:szCs w:val="20"/>
          <w:lang w:val="pt-PT"/>
        </w:rPr>
        <w:t>O</w:t>
      </w:r>
    </w:p>
    <w:p w:rsidR="00095408" w:rsidRDefault="00A32BA2">
      <w:pPr>
        <w:pStyle w:val="ListParagraph"/>
        <w:numPr>
          <w:ilvl w:val="0"/>
          <w:numId w:val="1"/>
        </w:numPr>
        <w:spacing w:after="160" w:line="240" w:lineRule="auto"/>
        <w:ind w:firstLine="0"/>
        <w:rPr>
          <w:rFonts w:ascii="Arial" w:hAnsi="Arial" w:cs="Arial"/>
          <w:sz w:val="20"/>
          <w:szCs w:val="20"/>
          <w:lang w:val="pt-PT"/>
        </w:rPr>
      </w:pPr>
      <w:r>
        <w:rPr>
          <w:rFonts w:ascii="Arial" w:hAnsi="Arial" w:cs="Arial"/>
          <w:sz w:val="20"/>
          <w:szCs w:val="20"/>
          <w:lang w:val="pt-PT"/>
        </w:rPr>
        <w:t>3 g FeSO</w:t>
      </w:r>
      <w:r>
        <w:rPr>
          <w:rFonts w:ascii="Arial" w:hAnsi="Arial" w:cs="Arial"/>
          <w:sz w:val="20"/>
          <w:szCs w:val="20"/>
          <w:vertAlign w:val="subscript"/>
          <w:lang w:val="pt-PT"/>
        </w:rPr>
        <w:t>4</w:t>
      </w:r>
      <w:r>
        <w:rPr>
          <w:rFonts w:ascii="Arial" w:hAnsi="Arial" w:cs="Arial"/>
          <w:sz w:val="20"/>
          <w:szCs w:val="20"/>
          <w:lang w:val="pt-PT"/>
        </w:rPr>
        <w:t>.7H</w:t>
      </w:r>
      <w:r>
        <w:rPr>
          <w:rFonts w:ascii="Arial" w:hAnsi="Arial" w:cs="Arial"/>
          <w:sz w:val="20"/>
          <w:szCs w:val="20"/>
          <w:vertAlign w:val="subscript"/>
          <w:lang w:val="pt-PT"/>
        </w:rPr>
        <w:t>2</w:t>
      </w:r>
      <w:r>
        <w:rPr>
          <w:rFonts w:ascii="Arial" w:hAnsi="Arial" w:cs="Arial"/>
          <w:sz w:val="20"/>
          <w:szCs w:val="20"/>
          <w:lang w:val="pt-PT"/>
        </w:rPr>
        <w:t xml:space="preserve">O, </w:t>
      </w:r>
    </w:p>
    <w:p w:rsidR="00095408" w:rsidRDefault="00A32BA2">
      <w:pPr>
        <w:pStyle w:val="ListParagraph"/>
        <w:numPr>
          <w:ilvl w:val="0"/>
          <w:numId w:val="1"/>
        </w:numPr>
        <w:spacing w:after="160" w:line="240" w:lineRule="auto"/>
        <w:ind w:firstLine="0"/>
        <w:rPr>
          <w:rFonts w:ascii="Arial" w:hAnsi="Arial" w:cs="Arial"/>
          <w:sz w:val="20"/>
          <w:szCs w:val="20"/>
          <w:lang w:val="pt-PT"/>
        </w:rPr>
      </w:pPr>
      <w:r>
        <w:rPr>
          <w:rFonts w:ascii="Arial" w:hAnsi="Arial" w:cs="Arial"/>
          <w:sz w:val="20"/>
          <w:szCs w:val="20"/>
          <w:lang w:val="pt-PT"/>
        </w:rPr>
        <w:t>1 g H</w:t>
      </w:r>
      <w:r>
        <w:rPr>
          <w:rFonts w:ascii="Arial" w:hAnsi="Arial" w:cs="Arial"/>
          <w:sz w:val="20"/>
          <w:szCs w:val="20"/>
          <w:vertAlign w:val="subscript"/>
          <w:lang w:val="pt-PT"/>
        </w:rPr>
        <w:t>3</w:t>
      </w:r>
      <w:r>
        <w:rPr>
          <w:rFonts w:ascii="Arial" w:hAnsi="Arial" w:cs="Arial"/>
          <w:sz w:val="20"/>
          <w:szCs w:val="20"/>
          <w:lang w:val="pt-PT"/>
        </w:rPr>
        <w:t>BO</w:t>
      </w:r>
      <w:r>
        <w:rPr>
          <w:rFonts w:ascii="Arial" w:hAnsi="Arial" w:cs="Arial"/>
          <w:sz w:val="20"/>
          <w:szCs w:val="20"/>
          <w:vertAlign w:val="subscript"/>
          <w:lang w:val="pt-PT"/>
        </w:rPr>
        <w:t>3</w:t>
      </w:r>
      <w:r>
        <w:rPr>
          <w:rFonts w:ascii="Arial" w:hAnsi="Arial" w:cs="Arial"/>
          <w:sz w:val="20"/>
          <w:szCs w:val="20"/>
          <w:lang w:val="pt-PT"/>
        </w:rPr>
        <w:t>,</w:t>
      </w:r>
    </w:p>
    <w:p w:rsidR="00095408" w:rsidRDefault="00A32BA2">
      <w:pPr>
        <w:pStyle w:val="ListParagraph"/>
        <w:numPr>
          <w:ilvl w:val="0"/>
          <w:numId w:val="1"/>
        </w:numPr>
        <w:spacing w:after="160" w:line="240" w:lineRule="auto"/>
        <w:ind w:firstLine="0"/>
        <w:rPr>
          <w:rFonts w:ascii="Arial" w:hAnsi="Arial" w:cs="Arial"/>
          <w:sz w:val="20"/>
          <w:szCs w:val="20"/>
          <w:lang w:val="pt-PT"/>
        </w:rPr>
      </w:pPr>
      <w:r>
        <w:rPr>
          <w:rFonts w:ascii="Arial" w:hAnsi="Arial" w:cs="Arial"/>
          <w:sz w:val="20"/>
          <w:szCs w:val="20"/>
          <w:lang w:val="pt-PT"/>
        </w:rPr>
        <w:t>1 g MnCl</w:t>
      </w:r>
      <w:r>
        <w:rPr>
          <w:rFonts w:ascii="Arial" w:hAnsi="Arial" w:cs="Arial"/>
          <w:sz w:val="20"/>
          <w:szCs w:val="20"/>
          <w:vertAlign w:val="subscript"/>
          <w:lang w:val="pt-PT"/>
        </w:rPr>
        <w:t>2</w:t>
      </w:r>
      <w:r>
        <w:rPr>
          <w:rFonts w:ascii="Arial" w:hAnsi="Arial" w:cs="Arial"/>
          <w:sz w:val="20"/>
          <w:szCs w:val="20"/>
          <w:lang w:val="pt-PT"/>
        </w:rPr>
        <w:t>.4H</w:t>
      </w:r>
      <w:r>
        <w:rPr>
          <w:rFonts w:ascii="Arial" w:hAnsi="Arial" w:cs="Arial"/>
          <w:sz w:val="20"/>
          <w:szCs w:val="20"/>
          <w:vertAlign w:val="subscript"/>
          <w:lang w:val="pt-PT"/>
        </w:rPr>
        <w:t>2</w:t>
      </w:r>
      <w:r>
        <w:rPr>
          <w:rFonts w:ascii="Arial" w:hAnsi="Arial" w:cs="Arial"/>
          <w:sz w:val="20"/>
          <w:szCs w:val="20"/>
          <w:lang w:val="pt-PT"/>
        </w:rPr>
        <w:t>O,</w:t>
      </w:r>
    </w:p>
    <w:p w:rsidR="00095408" w:rsidRDefault="00A32BA2">
      <w:pPr>
        <w:pStyle w:val="ListParagraph"/>
        <w:numPr>
          <w:ilvl w:val="0"/>
          <w:numId w:val="1"/>
        </w:numPr>
        <w:spacing w:after="160" w:line="240" w:lineRule="auto"/>
        <w:ind w:firstLine="0"/>
        <w:rPr>
          <w:rFonts w:ascii="Arial" w:hAnsi="Arial" w:cs="Arial"/>
          <w:sz w:val="20"/>
          <w:szCs w:val="20"/>
          <w:lang w:val="pt-PT"/>
        </w:rPr>
      </w:pPr>
      <w:r>
        <w:rPr>
          <w:rFonts w:ascii="Arial" w:hAnsi="Arial" w:cs="Arial"/>
          <w:sz w:val="20"/>
          <w:szCs w:val="20"/>
          <w:lang w:val="pt-PT"/>
        </w:rPr>
        <w:t>0.4 g Na</w:t>
      </w:r>
      <w:r>
        <w:rPr>
          <w:rFonts w:ascii="Arial" w:hAnsi="Arial" w:cs="Arial"/>
          <w:sz w:val="20"/>
          <w:szCs w:val="20"/>
          <w:vertAlign w:val="subscript"/>
          <w:lang w:val="pt-PT"/>
        </w:rPr>
        <w:t>2</w:t>
      </w:r>
      <w:r>
        <w:rPr>
          <w:rFonts w:ascii="Arial" w:hAnsi="Arial" w:cs="Arial"/>
          <w:sz w:val="20"/>
          <w:szCs w:val="20"/>
          <w:lang w:val="pt-PT"/>
        </w:rPr>
        <w:t>MoO</w:t>
      </w:r>
      <w:r>
        <w:rPr>
          <w:rFonts w:ascii="Arial" w:hAnsi="Arial" w:cs="Arial"/>
          <w:sz w:val="20"/>
          <w:szCs w:val="20"/>
          <w:vertAlign w:val="subscript"/>
          <w:lang w:val="pt-PT"/>
        </w:rPr>
        <w:t>4</w:t>
      </w:r>
      <w:r>
        <w:rPr>
          <w:rFonts w:ascii="Arial" w:hAnsi="Arial" w:cs="Arial"/>
          <w:sz w:val="20"/>
          <w:szCs w:val="20"/>
          <w:lang w:val="pt-PT"/>
        </w:rPr>
        <w:t>.2H</w:t>
      </w:r>
      <w:r>
        <w:rPr>
          <w:rFonts w:ascii="Arial" w:hAnsi="Arial" w:cs="Arial"/>
          <w:sz w:val="20"/>
          <w:szCs w:val="20"/>
          <w:vertAlign w:val="subscript"/>
          <w:lang w:val="pt-PT"/>
        </w:rPr>
        <w:t>2</w:t>
      </w:r>
      <w:r>
        <w:rPr>
          <w:rFonts w:ascii="Arial" w:hAnsi="Arial" w:cs="Arial"/>
          <w:sz w:val="20"/>
          <w:szCs w:val="20"/>
          <w:lang w:val="pt-PT"/>
        </w:rPr>
        <w:t>O,</w:t>
      </w:r>
    </w:p>
    <w:p w:rsidR="00095408" w:rsidRDefault="00A32BA2">
      <w:pPr>
        <w:pStyle w:val="ListParagraph"/>
        <w:numPr>
          <w:ilvl w:val="0"/>
          <w:numId w:val="1"/>
        </w:numPr>
        <w:spacing w:after="160" w:line="240" w:lineRule="auto"/>
        <w:ind w:firstLine="0"/>
        <w:rPr>
          <w:rFonts w:ascii="Arial" w:hAnsi="Arial" w:cs="Arial"/>
          <w:sz w:val="20"/>
          <w:szCs w:val="20"/>
          <w:lang w:val="pt-PT"/>
        </w:rPr>
      </w:pPr>
      <w:r>
        <w:rPr>
          <w:rFonts w:ascii="Arial" w:hAnsi="Arial" w:cs="Arial"/>
          <w:sz w:val="20"/>
          <w:szCs w:val="20"/>
          <w:lang w:val="pt-PT"/>
        </w:rPr>
        <w:t>0.3 g CoCl</w:t>
      </w:r>
      <w:r>
        <w:rPr>
          <w:rFonts w:ascii="Arial" w:hAnsi="Arial" w:cs="Arial"/>
          <w:sz w:val="20"/>
          <w:szCs w:val="20"/>
          <w:vertAlign w:val="subscript"/>
          <w:lang w:val="pt-PT"/>
        </w:rPr>
        <w:t>2</w:t>
      </w:r>
      <w:r>
        <w:rPr>
          <w:rFonts w:ascii="Arial" w:hAnsi="Arial" w:cs="Arial"/>
          <w:sz w:val="20"/>
          <w:szCs w:val="20"/>
          <w:lang w:val="pt-PT"/>
        </w:rPr>
        <w:t>.6H</w:t>
      </w:r>
      <w:r>
        <w:rPr>
          <w:rFonts w:ascii="Arial" w:hAnsi="Arial" w:cs="Arial"/>
          <w:sz w:val="20"/>
          <w:szCs w:val="20"/>
          <w:vertAlign w:val="subscript"/>
          <w:lang w:val="pt-PT"/>
        </w:rPr>
        <w:t>2</w:t>
      </w:r>
      <w:r>
        <w:rPr>
          <w:rFonts w:ascii="Arial" w:hAnsi="Arial" w:cs="Arial"/>
          <w:sz w:val="20"/>
          <w:szCs w:val="20"/>
          <w:lang w:val="pt-PT"/>
        </w:rPr>
        <w:t>O</w:t>
      </w:r>
    </w:p>
    <w:p w:rsidR="00095408" w:rsidRDefault="00A32BA2">
      <w:pPr>
        <w:pStyle w:val="ListParagraph"/>
        <w:numPr>
          <w:ilvl w:val="0"/>
          <w:numId w:val="1"/>
        </w:numPr>
        <w:spacing w:after="160" w:line="240" w:lineRule="auto"/>
        <w:ind w:firstLine="0"/>
        <w:rPr>
          <w:rFonts w:ascii="Arial" w:hAnsi="Arial" w:cs="Arial"/>
          <w:sz w:val="20"/>
          <w:szCs w:val="20"/>
          <w:lang w:val="pt-PT"/>
        </w:rPr>
      </w:pPr>
      <w:r>
        <w:rPr>
          <w:rFonts w:ascii="Arial" w:hAnsi="Arial" w:cs="Arial"/>
          <w:sz w:val="20"/>
          <w:szCs w:val="20"/>
          <w:lang w:val="pt-PT"/>
        </w:rPr>
        <w:t>0.1 g CuSO</w:t>
      </w:r>
      <w:r>
        <w:rPr>
          <w:rFonts w:ascii="Arial" w:hAnsi="Arial" w:cs="Arial"/>
          <w:sz w:val="20"/>
          <w:szCs w:val="20"/>
          <w:vertAlign w:val="subscript"/>
          <w:lang w:val="pt-PT"/>
        </w:rPr>
        <w:t>4</w:t>
      </w:r>
      <w:r>
        <w:rPr>
          <w:rFonts w:ascii="Arial" w:hAnsi="Arial" w:cs="Arial"/>
          <w:sz w:val="20"/>
          <w:szCs w:val="20"/>
          <w:lang w:val="pt-PT"/>
        </w:rPr>
        <w:t>.5H</w:t>
      </w:r>
      <w:r>
        <w:rPr>
          <w:rFonts w:ascii="Arial" w:hAnsi="Arial" w:cs="Arial"/>
          <w:sz w:val="20"/>
          <w:szCs w:val="20"/>
          <w:vertAlign w:val="subscript"/>
          <w:lang w:val="pt-PT"/>
        </w:rPr>
        <w:t>2</w:t>
      </w:r>
      <w:r>
        <w:rPr>
          <w:rFonts w:ascii="Arial" w:hAnsi="Arial" w:cs="Arial"/>
          <w:sz w:val="20"/>
          <w:szCs w:val="20"/>
          <w:lang w:val="pt-PT"/>
        </w:rPr>
        <w:t>O</w:t>
      </w:r>
    </w:p>
    <w:p w:rsidR="00095408" w:rsidRDefault="00A32BA2">
      <w:pPr>
        <w:pStyle w:val="ListParagraph"/>
        <w:numPr>
          <w:ilvl w:val="0"/>
          <w:numId w:val="1"/>
        </w:numPr>
        <w:spacing w:after="160" w:line="240" w:lineRule="auto"/>
        <w:ind w:firstLine="0"/>
        <w:rPr>
          <w:rFonts w:ascii="Arial" w:hAnsi="Arial" w:cs="Arial"/>
          <w:sz w:val="20"/>
          <w:szCs w:val="20"/>
          <w:lang w:val="pt-PT"/>
        </w:rPr>
      </w:pPr>
      <w:r>
        <w:rPr>
          <w:rFonts w:ascii="Arial" w:hAnsi="Arial" w:cs="Arial"/>
          <w:sz w:val="20"/>
          <w:szCs w:val="20"/>
          <w:lang w:val="pt-PT"/>
        </w:rPr>
        <w:t>0.1 g KI</w:t>
      </w:r>
    </w:p>
    <w:p w:rsidR="00095408" w:rsidRDefault="00A32BA2">
      <w:pPr>
        <w:pStyle w:val="ListParagraph"/>
        <w:numPr>
          <w:ilvl w:val="0"/>
          <w:numId w:val="1"/>
        </w:numPr>
        <w:spacing w:after="160" w:line="240" w:lineRule="auto"/>
        <w:ind w:firstLine="0"/>
        <w:rPr>
          <w:rFonts w:ascii="Arial" w:hAnsi="Arial" w:cs="Arial"/>
          <w:sz w:val="20"/>
          <w:szCs w:val="20"/>
          <w:lang w:val="pt-PT"/>
        </w:rPr>
      </w:pPr>
      <w:r>
        <w:rPr>
          <w:rFonts w:ascii="Arial" w:hAnsi="Arial" w:cs="Arial"/>
          <w:sz w:val="20"/>
          <w:szCs w:val="20"/>
          <w:lang w:val="pt-PT"/>
        </w:rPr>
        <w:t>15 g EDTA</w:t>
      </w:r>
    </w:p>
    <w:p w:rsidR="00095408" w:rsidRDefault="00095408">
      <w:pPr>
        <w:pStyle w:val="ListParagraph"/>
        <w:spacing w:line="240" w:lineRule="auto"/>
        <w:ind w:firstLine="0"/>
        <w:rPr>
          <w:rFonts w:ascii="Arial" w:hAnsi="Arial" w:cs="Arial"/>
          <w:sz w:val="20"/>
          <w:szCs w:val="20"/>
          <w:lang w:val="pt-PT"/>
        </w:rPr>
      </w:pPr>
    </w:p>
    <w:p w:rsidR="00095408" w:rsidRDefault="00A32BA2">
      <w:pPr>
        <w:spacing w:line="240" w:lineRule="auto"/>
        <w:ind w:firstLine="0"/>
        <w:rPr>
          <w:rFonts w:ascii="Arial" w:hAnsi="Arial" w:cs="Arial"/>
          <w:sz w:val="20"/>
          <w:szCs w:val="20"/>
        </w:rPr>
      </w:pPr>
      <w:r>
        <w:rPr>
          <w:rFonts w:ascii="Arial" w:hAnsi="Arial" w:cs="Arial"/>
          <w:sz w:val="20"/>
          <w:szCs w:val="20"/>
        </w:rPr>
        <w:t xml:space="preserve">**The </w:t>
      </w:r>
      <w:r>
        <w:rPr>
          <w:rFonts w:ascii="Arial" w:hAnsi="Arial" w:cs="Arial"/>
          <w:b/>
          <w:sz w:val="20"/>
          <w:szCs w:val="20"/>
        </w:rPr>
        <w:t xml:space="preserve">vitamins stock solution </w:t>
      </w:r>
      <w:r>
        <w:rPr>
          <w:rFonts w:ascii="Arial" w:hAnsi="Arial" w:cs="Arial"/>
          <w:bCs/>
          <w:sz w:val="20"/>
          <w:szCs w:val="20"/>
        </w:rPr>
        <w:t>contained (L</w:t>
      </w:r>
      <w:r>
        <w:rPr>
          <w:rFonts w:ascii="Arial" w:hAnsi="Arial" w:cs="Arial"/>
          <w:bCs/>
          <w:sz w:val="20"/>
          <w:szCs w:val="20"/>
          <w:vertAlign w:val="superscript"/>
        </w:rPr>
        <w:t>-1</w:t>
      </w:r>
      <w:r>
        <w:rPr>
          <w:rFonts w:ascii="Arial" w:hAnsi="Arial" w:cs="Arial"/>
          <w:bCs/>
          <w:sz w:val="20"/>
          <w:szCs w:val="20"/>
        </w:rPr>
        <w:t>):</w:t>
      </w:r>
      <w:r>
        <w:rPr>
          <w:rFonts w:ascii="Arial" w:hAnsi="Arial" w:cs="Arial"/>
          <w:sz w:val="20"/>
          <w:szCs w:val="20"/>
        </w:rPr>
        <w:t xml:space="preserve"> </w:t>
      </w:r>
    </w:p>
    <w:p w:rsidR="00095408" w:rsidRDefault="00A32BA2">
      <w:pPr>
        <w:pStyle w:val="ListParagraph"/>
        <w:numPr>
          <w:ilvl w:val="0"/>
          <w:numId w:val="2"/>
        </w:numPr>
        <w:spacing w:after="160" w:line="240" w:lineRule="auto"/>
        <w:ind w:firstLine="0"/>
        <w:rPr>
          <w:rFonts w:ascii="Arial" w:hAnsi="Arial" w:cs="Arial"/>
          <w:sz w:val="20"/>
          <w:szCs w:val="20"/>
        </w:rPr>
      </w:pPr>
      <w:r>
        <w:rPr>
          <w:rFonts w:ascii="Arial" w:hAnsi="Arial" w:cs="Arial"/>
          <w:sz w:val="20"/>
          <w:szCs w:val="20"/>
        </w:rPr>
        <w:t xml:space="preserve">50 mg </w:t>
      </w:r>
      <w:r>
        <w:rPr>
          <w:rFonts w:ascii="Arial" w:hAnsi="Arial" w:cs="Arial"/>
          <w:sz w:val="20"/>
          <w:szCs w:val="20"/>
        </w:rPr>
        <w:t>biotin</w:t>
      </w:r>
    </w:p>
    <w:p w:rsidR="00095408" w:rsidRDefault="00A32BA2">
      <w:pPr>
        <w:pStyle w:val="ListParagraph"/>
        <w:numPr>
          <w:ilvl w:val="0"/>
          <w:numId w:val="2"/>
        </w:numPr>
        <w:spacing w:after="160" w:line="240" w:lineRule="auto"/>
        <w:ind w:firstLine="0"/>
        <w:rPr>
          <w:rFonts w:ascii="Arial" w:hAnsi="Arial" w:cs="Arial"/>
          <w:sz w:val="20"/>
          <w:szCs w:val="20"/>
        </w:rPr>
      </w:pPr>
      <w:r>
        <w:rPr>
          <w:rFonts w:ascii="Arial" w:hAnsi="Arial" w:cs="Arial"/>
          <w:sz w:val="20"/>
          <w:szCs w:val="20"/>
        </w:rPr>
        <w:t>200 mg p-aminobenzoic acid</w:t>
      </w:r>
    </w:p>
    <w:p w:rsidR="00095408" w:rsidRDefault="00A32BA2">
      <w:pPr>
        <w:pStyle w:val="ListParagraph"/>
        <w:numPr>
          <w:ilvl w:val="0"/>
          <w:numId w:val="2"/>
        </w:numPr>
        <w:spacing w:after="160" w:line="240" w:lineRule="auto"/>
        <w:ind w:firstLine="0"/>
        <w:rPr>
          <w:rFonts w:ascii="Arial" w:hAnsi="Arial" w:cs="Arial"/>
          <w:sz w:val="20"/>
          <w:szCs w:val="20"/>
        </w:rPr>
      </w:pPr>
      <w:r>
        <w:rPr>
          <w:rFonts w:ascii="Arial" w:hAnsi="Arial" w:cs="Arial"/>
          <w:sz w:val="20"/>
          <w:szCs w:val="20"/>
        </w:rPr>
        <w:t>1 g nicotinic acid</w:t>
      </w:r>
    </w:p>
    <w:p w:rsidR="00095408" w:rsidRDefault="00A32BA2">
      <w:pPr>
        <w:pStyle w:val="ListParagraph"/>
        <w:numPr>
          <w:ilvl w:val="0"/>
          <w:numId w:val="2"/>
        </w:numPr>
        <w:spacing w:after="160" w:line="240" w:lineRule="auto"/>
        <w:ind w:firstLine="0"/>
        <w:rPr>
          <w:rFonts w:ascii="Arial" w:hAnsi="Arial" w:cs="Arial"/>
          <w:sz w:val="20"/>
          <w:szCs w:val="20"/>
        </w:rPr>
      </w:pPr>
      <w:r>
        <w:rPr>
          <w:rFonts w:ascii="Arial" w:hAnsi="Arial" w:cs="Arial"/>
          <w:sz w:val="20"/>
          <w:szCs w:val="20"/>
        </w:rPr>
        <w:t>1 g Ca-pantothenate</w:t>
      </w:r>
    </w:p>
    <w:p w:rsidR="00095408" w:rsidRDefault="00A32BA2">
      <w:pPr>
        <w:pStyle w:val="ListParagraph"/>
        <w:numPr>
          <w:ilvl w:val="0"/>
          <w:numId w:val="2"/>
        </w:numPr>
        <w:spacing w:after="160" w:line="240" w:lineRule="auto"/>
        <w:ind w:firstLine="0"/>
        <w:rPr>
          <w:rFonts w:ascii="Arial" w:hAnsi="Arial" w:cs="Arial"/>
          <w:sz w:val="20"/>
          <w:szCs w:val="20"/>
        </w:rPr>
      </w:pPr>
      <w:r>
        <w:rPr>
          <w:rFonts w:ascii="Arial" w:hAnsi="Arial" w:cs="Arial"/>
          <w:sz w:val="20"/>
          <w:szCs w:val="20"/>
        </w:rPr>
        <w:t>1 g pyridoxine-HCl</w:t>
      </w:r>
    </w:p>
    <w:p w:rsidR="00095408" w:rsidRDefault="00A32BA2">
      <w:pPr>
        <w:pStyle w:val="ListParagraph"/>
        <w:numPr>
          <w:ilvl w:val="0"/>
          <w:numId w:val="2"/>
        </w:numPr>
        <w:spacing w:after="160" w:line="240" w:lineRule="auto"/>
        <w:ind w:firstLine="0"/>
        <w:rPr>
          <w:rFonts w:ascii="Arial" w:hAnsi="Arial" w:cs="Arial"/>
          <w:sz w:val="20"/>
          <w:szCs w:val="20"/>
        </w:rPr>
      </w:pPr>
      <w:r>
        <w:rPr>
          <w:rFonts w:ascii="Arial" w:hAnsi="Arial" w:cs="Arial"/>
          <w:sz w:val="20"/>
          <w:szCs w:val="20"/>
        </w:rPr>
        <w:t>1 g thiamine-HCl</w:t>
      </w:r>
    </w:p>
    <w:p w:rsidR="00095408" w:rsidRDefault="00A32BA2">
      <w:pPr>
        <w:pStyle w:val="ListParagraph"/>
        <w:numPr>
          <w:ilvl w:val="0"/>
          <w:numId w:val="2"/>
        </w:numPr>
        <w:spacing w:after="160" w:line="240" w:lineRule="auto"/>
        <w:ind w:firstLine="0"/>
        <w:rPr>
          <w:rFonts w:ascii="Arial" w:hAnsi="Arial" w:cs="Arial"/>
          <w:sz w:val="20"/>
          <w:szCs w:val="20"/>
        </w:rPr>
      </w:pPr>
      <w:r>
        <w:rPr>
          <w:rFonts w:ascii="Arial" w:hAnsi="Arial" w:cs="Arial"/>
          <w:sz w:val="20"/>
          <w:szCs w:val="20"/>
        </w:rPr>
        <w:t>25 g myo-inositol</w:t>
      </w:r>
    </w:p>
    <w:p w:rsidR="00095408" w:rsidRDefault="00095408">
      <w:pPr>
        <w:spacing w:after="160" w:line="259" w:lineRule="auto"/>
        <w:ind w:firstLine="0"/>
        <w:jc w:val="left"/>
        <w:rPr>
          <w:rFonts w:ascii="Arial" w:hAnsi="Arial" w:cs="Arial"/>
          <w:b/>
          <w:bCs/>
          <w:szCs w:val="24"/>
        </w:rPr>
      </w:pPr>
    </w:p>
    <w:p w:rsidR="00095408" w:rsidRDefault="00A32BA2">
      <w:pPr>
        <w:spacing w:after="160" w:line="259" w:lineRule="auto"/>
        <w:ind w:firstLine="0"/>
        <w:jc w:val="left"/>
        <w:rPr>
          <w:rFonts w:ascii="Arial" w:hAnsi="Arial" w:cs="Arial"/>
          <w:b/>
          <w:bCs/>
          <w:sz w:val="22"/>
          <w:szCs w:val="20"/>
        </w:rPr>
      </w:pPr>
      <w:r>
        <w:br w:type="page"/>
      </w:r>
    </w:p>
    <w:p w:rsidR="00095408" w:rsidRDefault="00A32BA2">
      <w:pPr>
        <w:keepNext/>
        <w:spacing w:after="160" w:line="259" w:lineRule="auto"/>
        <w:ind w:firstLine="0"/>
        <w:jc w:val="left"/>
      </w:pPr>
      <w:r>
        <w:rPr>
          <w:noProof/>
          <w:lang w:val="en-IN" w:eastAsia="en-IN"/>
        </w:rPr>
        <w:lastRenderedPageBreak/>
        <w:drawing>
          <wp:inline distT="0" distB="0" distL="0" distR="0">
            <wp:extent cx="5731510" cy="5504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731510" cy="5504180"/>
                    </a:xfrm>
                    <a:prstGeom prst="rect">
                      <a:avLst/>
                    </a:prstGeom>
                    <a:noFill/>
                  </pic:spPr>
                </pic:pic>
              </a:graphicData>
            </a:graphic>
          </wp:inline>
        </w:drawing>
      </w:r>
    </w:p>
    <w:p w:rsidR="00095408" w:rsidRDefault="00A32BA2">
      <w:pPr>
        <w:spacing w:after="160" w:line="259" w:lineRule="auto"/>
        <w:ind w:firstLine="0"/>
        <w:jc w:val="left"/>
        <w:rPr>
          <w:rFonts w:ascii="Arial" w:hAnsi="Arial" w:cs="Arial"/>
          <w:b/>
          <w:bCs/>
          <w:sz w:val="22"/>
          <w:szCs w:val="20"/>
        </w:rPr>
      </w:pPr>
      <w:r>
        <w:rPr>
          <w:rFonts w:ascii="Arial" w:hAnsi="Arial" w:cs="Arial"/>
          <w:b/>
          <w:bCs/>
          <w:sz w:val="22"/>
        </w:rPr>
        <w:t xml:space="preserve">Fig.  S1 </w:t>
      </w:r>
      <w:r>
        <w:rPr>
          <w:rFonts w:ascii="Arial" w:hAnsi="Arial" w:cs="Arial"/>
          <w:b/>
          <w:bCs/>
          <w:sz w:val="22"/>
          <w:szCs w:val="20"/>
        </w:rPr>
        <w:t>– Simplified</w:t>
      </w:r>
      <w:r>
        <w:rPr>
          <w:rFonts w:ascii="Arial" w:hAnsi="Arial" w:cs="Arial"/>
          <w:b/>
          <w:bCs/>
          <w:sz w:val="22"/>
        </w:rPr>
        <w:t xml:space="preserve"> schematic representation of a continuous culture set up</w:t>
      </w:r>
      <w:r>
        <w:br w:type="page"/>
      </w:r>
    </w:p>
    <w:p w:rsidR="00095408" w:rsidRDefault="00A32BA2">
      <w:pPr>
        <w:ind w:firstLine="0"/>
        <w:jc w:val="center"/>
        <w:rPr>
          <w:rFonts w:ascii="Arial" w:eastAsia="Arial" w:hAnsi="Arial" w:cs="Arial"/>
          <w:szCs w:val="28"/>
        </w:rPr>
      </w:pPr>
      <w:r>
        <w:rPr>
          <w:noProof/>
          <w:lang w:val="en-IN" w:eastAsia="en-IN"/>
        </w:rPr>
        <w:lastRenderedPageBreak/>
        <w:drawing>
          <wp:inline distT="0" distB="0" distL="0" distR="0">
            <wp:extent cx="5731510" cy="4894580"/>
            <wp:effectExtent l="0" t="0" r="0" b="0"/>
            <wp:docPr id="2" name="Image2" descr="A diagram of lact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A diagram of lactate&#10;&#10;Description automatically generated"/>
                    <pic:cNvPicPr>
                      <a:picLocks noChangeAspect="1" noChangeArrowheads="1"/>
                    </pic:cNvPicPr>
                  </pic:nvPicPr>
                  <pic:blipFill>
                    <a:blip r:embed="rId10"/>
                    <a:stretch>
                      <a:fillRect/>
                    </a:stretch>
                  </pic:blipFill>
                  <pic:spPr bwMode="auto">
                    <a:xfrm>
                      <a:off x="0" y="0"/>
                      <a:ext cx="5731510" cy="4894580"/>
                    </a:xfrm>
                    <a:prstGeom prst="rect">
                      <a:avLst/>
                    </a:prstGeom>
                    <a:noFill/>
                  </pic:spPr>
                </pic:pic>
              </a:graphicData>
            </a:graphic>
          </wp:inline>
        </w:drawing>
      </w:r>
    </w:p>
    <w:p w:rsidR="00095408" w:rsidRDefault="00A32BA2">
      <w:pPr>
        <w:pStyle w:val="Caption"/>
        <w:spacing w:after="0"/>
        <w:rPr>
          <w:rFonts w:ascii="Arial" w:hAnsi="Arial" w:cs="Arial"/>
          <w:sz w:val="22"/>
          <w:szCs w:val="22"/>
        </w:rPr>
      </w:pPr>
      <w:bookmarkStart w:id="3" w:name="_Hlk124706896"/>
      <w:bookmarkStart w:id="4" w:name="_Toc109307527"/>
      <w:r>
        <w:rPr>
          <w:rFonts w:ascii="Arial" w:hAnsi="Arial" w:cs="Arial"/>
          <w:sz w:val="22"/>
          <w:szCs w:val="22"/>
        </w:rPr>
        <w:t xml:space="preserve">Fig. S2 </w:t>
      </w:r>
      <w:bookmarkEnd w:id="3"/>
      <w:r>
        <w:rPr>
          <w:rFonts w:ascii="Arial" w:hAnsi="Arial" w:cs="Arial"/>
          <w:sz w:val="22"/>
        </w:rPr>
        <w:t>–</w:t>
      </w:r>
      <w:r>
        <w:rPr>
          <w:rFonts w:ascii="Arial" w:hAnsi="Arial" w:cs="Arial"/>
          <w:sz w:val="22"/>
          <w:szCs w:val="22"/>
        </w:rPr>
        <w:t xml:space="preserve"> Schematic representation of the main metabolic pathways involved in the utilization of lactate and ethanol as carbon sources in the yeast </w:t>
      </w:r>
      <w:r>
        <w:rPr>
          <w:rFonts w:ascii="Arial" w:hAnsi="Arial" w:cs="Arial"/>
          <w:i/>
          <w:iCs/>
          <w:sz w:val="22"/>
          <w:szCs w:val="22"/>
        </w:rPr>
        <w:t>S. cerevisiae</w:t>
      </w:r>
      <w:r>
        <w:rPr>
          <w:rFonts w:ascii="Arial" w:hAnsi="Arial" w:cs="Arial"/>
          <w:sz w:val="22"/>
          <w:szCs w:val="22"/>
        </w:rPr>
        <w:t>.</w:t>
      </w:r>
      <w:bookmarkEnd w:id="4"/>
      <w:r>
        <w:rPr>
          <w:rFonts w:ascii="Arial" w:hAnsi="Arial" w:cs="Arial"/>
          <w:sz w:val="22"/>
          <w:szCs w:val="22"/>
        </w:rPr>
        <w:t xml:space="preserve"> </w:t>
      </w:r>
    </w:p>
    <w:p w:rsidR="00095408" w:rsidRDefault="00A32BA2">
      <w:pPr>
        <w:spacing w:line="240" w:lineRule="auto"/>
        <w:ind w:firstLine="0"/>
        <w:rPr>
          <w:rFonts w:ascii="Arial" w:eastAsia="Arial" w:hAnsi="Arial" w:cs="Arial"/>
          <w:bCs/>
          <w:sz w:val="22"/>
        </w:rPr>
      </w:pPr>
      <w:r>
        <w:rPr>
          <w:rFonts w:ascii="Arial" w:hAnsi="Arial" w:cs="Arial"/>
          <w:sz w:val="22"/>
        </w:rPr>
        <w:t>The TCA (tricarboxylic acid) cycle is represented in grey; the Glyoxylate cycle in purple and Glucone</w:t>
      </w:r>
      <w:r>
        <w:rPr>
          <w:rFonts w:ascii="Arial" w:hAnsi="Arial" w:cs="Arial"/>
          <w:sz w:val="22"/>
        </w:rPr>
        <w:t xml:space="preserve">ogenesis in </w:t>
      </w:r>
      <w:r>
        <w:rPr>
          <w:rFonts w:ascii="Arial" w:eastAsia="+mn-ea" w:hAnsi="Arial" w:cs="Arial"/>
          <w:kern w:val="2"/>
          <w:sz w:val="22"/>
        </w:rPr>
        <w:t xml:space="preserve">red. Some steps in the TCA cycle are omitted </w:t>
      </w:r>
      <w:r>
        <w:rPr>
          <w:rFonts w:ascii="Arial" w:hAnsi="Arial" w:cs="Arial"/>
          <w:sz w:val="22"/>
        </w:rPr>
        <w:t xml:space="preserve">(adapted from </w:t>
      </w:r>
      <w:r>
        <w:fldChar w:fldCharType="begin"/>
      </w:r>
      <w:r>
        <w:rPr>
          <w:rFonts w:ascii="Arial" w:hAnsi="Arial" w:cs="Arial"/>
          <w:sz w:val="22"/>
        </w:rPr>
        <w:instrText>ADDIN CSL_CITATION {"citationItems":[{"id":"ITEM-1","itemData":{"DOI":"10.1111/j.1567-1364.2009.00555.x","ISSN":"15671356","PMID":"19686338","abstract":"Saccharomyces cerevisiae prefere</w:instrText>
      </w:r>
      <w:r>
        <w:rPr>
          <w:rFonts w:ascii="Arial" w:hAnsi="Arial" w:cs="Arial"/>
          <w:sz w:val="22"/>
        </w:rPr>
        <w:instrText>ntially uses glucose as a carbon source, but following its depletion, it can utilize a wide variety of other carbons including nonfermentable compounds such as ethanol. A shift to a nonfermentable carbon source results in massive reprogramming of gene expr</w:instrText>
      </w:r>
      <w:r>
        <w:rPr>
          <w:rFonts w:ascii="Arial" w:hAnsi="Arial" w:cs="Arial"/>
          <w:sz w:val="22"/>
        </w:rPr>
        <w:instrText>ession including genes involved in gluconeogenesis, the glyoxylate cycle, and the tricarboxylic acid cycle. This review is aimed at describing the recent progress made toward understanding the mechanism of transcriptional regulation of genes responsible fo</w:instrText>
      </w:r>
      <w:r>
        <w:rPr>
          <w:rFonts w:ascii="Arial" w:hAnsi="Arial" w:cs="Arial"/>
          <w:sz w:val="22"/>
        </w:rPr>
        <w:instrText>r utilization of nonfermentable carbon sources. A central player for the use of nonfermentable carbons is the Snf1 kinase, which becomes activated under low glucose levels. Snf1 phosphorylates various targets including the transcriptional repressor Mig1, r</w:instrText>
      </w:r>
      <w:r>
        <w:rPr>
          <w:rFonts w:ascii="Arial" w:hAnsi="Arial" w:cs="Arial"/>
          <w:sz w:val="22"/>
        </w:rPr>
        <w:instrText>esulting in its inactivation allowing derepression of gene expression. For example, the expression of CAT8, encoding a member of the zinc cluster family of transcriptional regulators, is then no longer repressed by Mig1. Cat8 becomes activated through phos</w:instrText>
      </w:r>
      <w:r>
        <w:rPr>
          <w:rFonts w:ascii="Arial" w:hAnsi="Arial" w:cs="Arial"/>
          <w:sz w:val="22"/>
        </w:rPr>
        <w:instrText>phorylation by Snf1, allowing upregulation of the zinc cluster gene SIP4. These regulators control the expression of various genes including those involved in gluconeogenesis. Recent data show that another zinc cluster protein, Rds2, plays a key role in re</w:instrText>
      </w:r>
      <w:r>
        <w:rPr>
          <w:rFonts w:ascii="Arial" w:hAnsi="Arial" w:cs="Arial"/>
          <w:sz w:val="22"/>
        </w:rPr>
        <w:instrText>gulating genes involved in gluconeogenesis and the glyoxylate pathway. Finally, the role of additional regulators such as Adr1, Ert1, Oaf1, and Pip2 is also discussed. © 2009 Federation of European Microbiological Societies.","author":[{"dropping-particle"</w:instrText>
      </w:r>
      <w:r>
        <w:rPr>
          <w:rFonts w:ascii="Arial" w:hAnsi="Arial" w:cs="Arial"/>
          <w:sz w:val="22"/>
        </w:rPr>
        <w:instrText>:"","family":"Turcotte","given":"Bernard","non-dropping-particle":"","parse-names":false,"suffix":""},{"dropping-particle":"","family":"Liang","given":"Xiao Bei","non-dropping-particle":"","parse-names":false,"suffix":""},{"dropping-particle":"","family":"</w:instrText>
      </w:r>
      <w:r>
        <w:rPr>
          <w:rFonts w:ascii="Arial" w:hAnsi="Arial" w:cs="Arial"/>
          <w:sz w:val="22"/>
        </w:rPr>
        <w:instrText>Robert","given":"François","non-dropping-particle":"","parse-names":false,"suffix":""},{"dropping-particle":"","family":"Soontorngun","given":"Nitnipa","non-dropping-particle":"","parse-names":false,"suffix":""}],"container-title":"FEMS Yeast Research","id</w:instrText>
      </w:r>
      <w:r>
        <w:rPr>
          <w:rFonts w:ascii="Arial" w:hAnsi="Arial" w:cs="Arial"/>
          <w:sz w:val="22"/>
        </w:rPr>
        <w:instrText>":"ITEM-1","issue":"1","issued":{"date-parts":[["2010"]]},"page":"2-13","title":"Transcriptional regulation of nonfermentable carbon utilization in budding yeast","type":"article-journal","volume":"10"},"uris":["http://www.mendeley.com/documents/?uuid=4ad7</w:instrText>
      </w:r>
      <w:r>
        <w:rPr>
          <w:rFonts w:ascii="Arial" w:hAnsi="Arial" w:cs="Arial"/>
          <w:sz w:val="22"/>
        </w:rPr>
        <w:instrText>ff2c-757b-410b-8f05-2c999c6d2a37"]}],"mendeley":{"formattedCitation":"[1]","plainTextFormattedCitation":"[1]","previouslyFormattedCitation":"(Turcotte et al., 2010)"},"properties":{"noteIndex":0},"schema":"https://github.com/citation-style-language/schema/</w:instrText>
      </w:r>
      <w:r>
        <w:rPr>
          <w:rFonts w:ascii="Arial" w:hAnsi="Arial" w:cs="Arial"/>
          <w:sz w:val="22"/>
        </w:rPr>
        <w:instrText>raw/master/csl-citation.json"}</w:instrText>
      </w:r>
      <w:r>
        <w:rPr>
          <w:rFonts w:ascii="Arial" w:hAnsi="Arial" w:cs="Arial"/>
          <w:sz w:val="22"/>
        </w:rPr>
        <w:fldChar w:fldCharType="separate"/>
      </w:r>
      <w:r>
        <w:rPr>
          <w:rFonts w:ascii="Arial" w:hAnsi="Arial" w:cs="Arial"/>
          <w:sz w:val="22"/>
        </w:rPr>
        <w:t>[1]</w:t>
      </w:r>
      <w:r>
        <w:rPr>
          <w:rFonts w:ascii="Arial" w:hAnsi="Arial" w:cs="Arial"/>
          <w:sz w:val="22"/>
        </w:rPr>
        <w:fldChar w:fldCharType="end"/>
      </w:r>
      <w:r>
        <w:rPr>
          <w:rFonts w:ascii="Arial" w:hAnsi="Arial" w:cs="Arial"/>
          <w:sz w:val="22"/>
        </w:rPr>
        <w:t>).</w:t>
      </w:r>
    </w:p>
    <w:p w:rsidR="00095408" w:rsidRDefault="00095408">
      <w:pPr>
        <w:ind w:firstLine="0"/>
      </w:pPr>
    </w:p>
    <w:p w:rsidR="00095408" w:rsidRDefault="00A32BA2">
      <w:pPr>
        <w:spacing w:after="160" w:line="259" w:lineRule="auto"/>
        <w:ind w:firstLine="0"/>
        <w:jc w:val="left"/>
        <w:rPr>
          <w:rFonts w:ascii="Arial" w:hAnsi="Arial" w:cs="Arial"/>
          <w:b/>
          <w:bCs/>
          <w:sz w:val="22"/>
          <w:szCs w:val="20"/>
        </w:rPr>
      </w:pPr>
      <w:r>
        <w:br w:type="page"/>
      </w:r>
    </w:p>
    <w:p w:rsidR="00095408" w:rsidRDefault="00A32BA2">
      <w:pPr>
        <w:keepNext/>
        <w:spacing w:after="160" w:line="259" w:lineRule="auto"/>
        <w:ind w:firstLine="0"/>
        <w:jc w:val="left"/>
      </w:pPr>
      <w:r>
        <w:rPr>
          <w:noProof/>
          <w:lang w:val="en-IN" w:eastAsia="en-IN"/>
        </w:rPr>
        <w:lastRenderedPageBreak/>
        <w:drawing>
          <wp:inline distT="0" distB="0" distL="0" distR="0">
            <wp:extent cx="5731510" cy="2675255"/>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11"/>
                    <a:stretch>
                      <a:fillRect/>
                    </a:stretch>
                  </pic:blipFill>
                  <pic:spPr bwMode="auto">
                    <a:xfrm>
                      <a:off x="0" y="0"/>
                      <a:ext cx="5731510" cy="2675255"/>
                    </a:xfrm>
                    <a:prstGeom prst="rect">
                      <a:avLst/>
                    </a:prstGeom>
                    <a:noFill/>
                  </pic:spPr>
                </pic:pic>
              </a:graphicData>
            </a:graphic>
          </wp:inline>
        </w:drawing>
      </w:r>
    </w:p>
    <w:p w:rsidR="00095408" w:rsidRDefault="00A32BA2">
      <w:pPr>
        <w:pStyle w:val="Caption"/>
        <w:rPr>
          <w:rFonts w:ascii="Arial" w:eastAsiaTheme="minorHAnsi" w:hAnsi="Arial" w:cs="Arial"/>
          <w:sz w:val="22"/>
          <w:lang w:val="en-GB"/>
        </w:rPr>
      </w:pPr>
      <w:r>
        <w:rPr>
          <w:rFonts w:ascii="Arial" w:eastAsiaTheme="minorHAnsi" w:hAnsi="Arial" w:cs="Arial"/>
          <w:sz w:val="22"/>
          <w:lang w:val="en-GB"/>
        </w:rPr>
        <w:t xml:space="preserve">Fig. S3 </w:t>
      </w:r>
      <w:r>
        <w:rPr>
          <w:rFonts w:ascii="Arial" w:hAnsi="Arial" w:cs="Arial"/>
          <w:sz w:val="22"/>
        </w:rPr>
        <w:t>–</w:t>
      </w:r>
      <w:r>
        <w:rPr>
          <w:rFonts w:ascii="Arial" w:eastAsiaTheme="minorHAnsi" w:hAnsi="Arial" w:cs="Arial"/>
          <w:sz w:val="22"/>
          <w:lang w:val="en-GB"/>
        </w:rPr>
        <w:t xml:space="preserve"> </w:t>
      </w:r>
      <w:r>
        <w:rPr>
          <w:rFonts w:ascii="Arial" w:eastAsiaTheme="minorHAnsi" w:hAnsi="Arial" w:cs="Arial"/>
          <w:b w:val="0"/>
          <w:bCs w:val="0"/>
          <w:sz w:val="22"/>
          <w:lang w:val="en-GB"/>
        </w:rPr>
        <w:t>Maximum specific growth rate (</w:t>
      </w:r>
      <w:r>
        <w:rPr>
          <w:rFonts w:ascii="Arial" w:eastAsiaTheme="minorHAnsi" w:hAnsi="Arial" w:cs="Arial" w:hint="eastAsia"/>
          <w:b w:val="0"/>
          <w:bCs w:val="0"/>
          <w:sz w:val="22"/>
          <w:lang w:val="en-GB"/>
        </w:rPr>
        <w:t>μ</w:t>
      </w:r>
      <w:r>
        <w:rPr>
          <w:rFonts w:ascii="Cambria Math" w:eastAsiaTheme="minorHAnsi" w:hAnsi="Cambria Math" w:cs="Cambria Math"/>
          <w:b w:val="0"/>
          <w:bCs w:val="0"/>
          <w:sz w:val="22"/>
          <w:lang w:val="en-GB"/>
        </w:rPr>
        <w:t>ₘ</w:t>
      </w:r>
      <w:r>
        <w:rPr>
          <w:rFonts w:ascii="Arial" w:eastAsiaTheme="minorHAnsi" w:hAnsi="Arial" w:cs="Arial"/>
          <w:b w:val="0"/>
          <w:bCs w:val="0"/>
          <w:sz w:val="22"/>
          <w:lang w:val="en-GB"/>
        </w:rPr>
        <w:t>ₐₓ</w:t>
      </w:r>
      <w:r>
        <w:rPr>
          <w:rFonts w:ascii="Arial" w:eastAsiaTheme="minorHAnsi" w:hAnsi="Arial" w:cs="Arial"/>
          <w:b w:val="0"/>
          <w:bCs w:val="0"/>
          <w:sz w:val="22"/>
          <w:lang w:val="en-GB"/>
        </w:rPr>
        <w:t>) of S. cerevisiae strains CEN.PK113-7D (WT) (A) and IMK302 (</w:t>
      </w:r>
      <w:r>
        <w:rPr>
          <w:rFonts w:ascii="Arial" w:eastAsiaTheme="minorHAnsi" w:hAnsi="Arial" w:cs="Arial" w:hint="eastAsia"/>
          <w:b w:val="0"/>
          <w:bCs w:val="0"/>
          <w:sz w:val="22"/>
          <w:lang w:val="en-GB"/>
        </w:rPr>
        <w:t>Δ</w:t>
      </w:r>
      <w:r>
        <w:rPr>
          <w:rFonts w:ascii="Arial" w:eastAsiaTheme="minorHAnsi" w:hAnsi="Arial" w:cs="Arial"/>
          <w:b w:val="0"/>
          <w:bCs w:val="0"/>
          <w:i/>
          <w:iCs/>
          <w:sz w:val="22"/>
          <w:lang w:val="en-GB"/>
        </w:rPr>
        <w:t>jen1</w:t>
      </w:r>
      <w:r>
        <w:rPr>
          <w:rFonts w:ascii="Arial" w:eastAsiaTheme="minorHAnsi" w:hAnsi="Arial" w:cs="Arial"/>
          <w:b w:val="0"/>
          <w:bCs w:val="0"/>
          <w:sz w:val="22"/>
          <w:lang w:val="en-GB"/>
        </w:rPr>
        <w:t xml:space="preserve">) (B) grown in synthetic medium containing 50 mM ethanol at pH 5 and 30 °C. Growth rates were </w:t>
      </w:r>
      <w:r>
        <w:rPr>
          <w:rFonts w:ascii="Arial" w:eastAsiaTheme="minorHAnsi" w:hAnsi="Arial" w:cs="Arial"/>
          <w:b w:val="0"/>
          <w:bCs w:val="0"/>
          <w:sz w:val="22"/>
          <w:lang w:val="en-GB"/>
        </w:rPr>
        <w:t>determined during the batch phase based on CO</w:t>
      </w:r>
      <w:r>
        <w:rPr>
          <w:rFonts w:ascii="Cambria Math" w:eastAsiaTheme="minorHAnsi" w:hAnsi="Cambria Math" w:cs="Cambria Math"/>
          <w:b w:val="0"/>
          <w:bCs w:val="0"/>
          <w:sz w:val="22"/>
          <w:lang w:val="en-GB"/>
        </w:rPr>
        <w:t>₂</w:t>
      </w:r>
      <w:r>
        <w:rPr>
          <w:rFonts w:ascii="Arial" w:eastAsiaTheme="minorHAnsi" w:hAnsi="Arial" w:cs="Arial"/>
          <w:b w:val="0"/>
          <w:bCs w:val="0"/>
          <w:sz w:val="22"/>
          <w:lang w:val="en-GB"/>
        </w:rPr>
        <w:t xml:space="preserve"> production (%).</w:t>
      </w:r>
    </w:p>
    <w:p w:rsidR="00095408" w:rsidRDefault="00A32BA2">
      <w:pPr>
        <w:spacing w:after="160" w:line="259" w:lineRule="auto"/>
        <w:ind w:firstLine="0"/>
        <w:jc w:val="left"/>
        <w:rPr>
          <w:rFonts w:ascii="Arial" w:hAnsi="Arial" w:cs="Arial"/>
          <w:b/>
          <w:bCs/>
          <w:sz w:val="22"/>
          <w:szCs w:val="20"/>
        </w:rPr>
      </w:pPr>
      <w:r>
        <w:br w:type="page"/>
      </w:r>
    </w:p>
    <w:p w:rsidR="00095408" w:rsidRDefault="00A32BA2">
      <w:pPr>
        <w:spacing w:after="160" w:line="259" w:lineRule="auto"/>
        <w:ind w:firstLine="0"/>
        <w:jc w:val="left"/>
        <w:rPr>
          <w:rFonts w:ascii="Arial" w:hAnsi="Arial" w:cs="Arial"/>
          <w:b/>
          <w:bCs/>
        </w:rPr>
      </w:pPr>
      <w:r>
        <w:rPr>
          <w:rFonts w:ascii="Arial" w:hAnsi="Arial" w:cs="Arial"/>
          <w:b/>
          <w:bCs/>
          <w:sz w:val="22"/>
          <w:szCs w:val="20"/>
        </w:rPr>
        <w:lastRenderedPageBreak/>
        <w:t xml:space="preserve">Table S2 – Externally determined pH, biomass dry weight and extracellular metabolite analysis via HPLC obtained during the ‘Ethanol-only pH ramp’ experiment with </w:t>
      </w:r>
      <w:r>
        <w:rPr>
          <w:rFonts w:ascii="Arial" w:hAnsi="Arial" w:cs="Arial"/>
          <w:b/>
          <w:bCs/>
          <w:i/>
          <w:iCs/>
          <w:sz w:val="22"/>
          <w:szCs w:val="20"/>
        </w:rPr>
        <w:t>S. cerevisiae</w:t>
      </w:r>
      <w:r>
        <w:rPr>
          <w:rFonts w:ascii="Arial" w:hAnsi="Arial" w:cs="Arial"/>
          <w:b/>
          <w:bCs/>
          <w:sz w:val="22"/>
          <w:szCs w:val="20"/>
        </w:rPr>
        <w:t xml:space="preserve"> CEN.PK113-7D.</w:t>
      </w:r>
    </w:p>
    <w:p w:rsidR="00095408" w:rsidRDefault="00A32BA2">
      <w:pPr>
        <w:pStyle w:val="normal-legend"/>
        <w:spacing w:after="120" w:line="240" w:lineRule="auto"/>
        <w:rPr>
          <w:rFonts w:ascii="Arial" w:hAnsi="Arial" w:cs="Arial"/>
          <w:b/>
          <w:bCs/>
          <w:sz w:val="22"/>
        </w:rPr>
      </w:pPr>
      <w:r>
        <w:rPr>
          <w:rFonts w:ascii="Arial" w:hAnsi="Arial" w:cs="Arial"/>
          <w:sz w:val="22"/>
        </w:rPr>
        <w:t>The concentration values [square brackets] are expressed in mg per L of the culture medium. The values are of 2 independent experiments (n=2). n.d. = not detected. The exact concentration values of ethanol inside the medium vessels were also measured by HP</w:t>
      </w:r>
      <w:r>
        <w:rPr>
          <w:rFonts w:ascii="Arial" w:hAnsi="Arial" w:cs="Arial"/>
          <w:sz w:val="22"/>
        </w:rPr>
        <w:t>LC (bottom line).</w:t>
      </w:r>
    </w:p>
    <w:p w:rsidR="00095408" w:rsidRDefault="00095408">
      <w:pPr>
        <w:spacing w:after="160" w:line="259" w:lineRule="auto"/>
        <w:ind w:firstLine="0"/>
        <w:jc w:val="left"/>
        <w:rPr>
          <w:rFonts w:ascii="Arial" w:hAnsi="Arial" w:cs="Arial"/>
        </w:rPr>
      </w:pPr>
    </w:p>
    <w:tbl>
      <w:tblPr>
        <w:tblW w:w="9162" w:type="dxa"/>
        <w:tblLayout w:type="fixed"/>
        <w:tblCellMar>
          <w:top w:w="3" w:type="dxa"/>
          <w:left w:w="3" w:type="dxa"/>
          <w:right w:w="3" w:type="dxa"/>
        </w:tblCellMar>
        <w:tblLook w:val="0600" w:firstRow="0" w:lastRow="0" w:firstColumn="0" w:lastColumn="0" w:noHBand="1" w:noVBand="1"/>
      </w:tblPr>
      <w:tblGrid>
        <w:gridCol w:w="1159"/>
        <w:gridCol w:w="796"/>
        <w:gridCol w:w="796"/>
        <w:gridCol w:w="888"/>
        <w:gridCol w:w="796"/>
        <w:gridCol w:w="794"/>
        <w:gridCol w:w="796"/>
        <w:gridCol w:w="785"/>
        <w:gridCol w:w="782"/>
        <w:gridCol w:w="784"/>
        <w:gridCol w:w="786"/>
      </w:tblGrid>
      <w:tr w:rsidR="00095408">
        <w:trPr>
          <w:trHeight w:val="268"/>
        </w:trPr>
        <w:tc>
          <w:tcPr>
            <w:tcW w:w="1159" w:type="dxa"/>
            <w:vMerge w:val="restart"/>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sz w:val="22"/>
                <w:szCs w:val="20"/>
                <w:lang w:eastAsia="en-GB"/>
              </w:rPr>
              <w:t>Cultivation time (h)</w:t>
            </w:r>
          </w:p>
        </w:tc>
        <w:tc>
          <w:tcPr>
            <w:tcW w:w="1592"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sz w:val="22"/>
                <w:lang w:eastAsia="en-GB"/>
              </w:rPr>
            </w:pPr>
            <w:r>
              <w:rPr>
                <w:rFonts w:ascii="Arial" w:eastAsia="Times New Roman" w:hAnsi="Arial" w:cs="Arial"/>
                <w:b/>
                <w:bCs/>
                <w:sz w:val="22"/>
                <w:lang w:eastAsia="en-GB"/>
              </w:rPr>
              <w:t>External pH</w:t>
            </w:r>
          </w:p>
        </w:tc>
        <w:tc>
          <w:tcPr>
            <w:tcW w:w="1684"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sz w:val="22"/>
                <w:lang w:eastAsia="en-GB"/>
              </w:rPr>
            </w:pPr>
            <w:r>
              <w:rPr>
                <w:rFonts w:ascii="Arial" w:eastAsia="Times New Roman" w:hAnsi="Arial" w:cs="Arial"/>
                <w:b/>
                <w:bCs/>
                <w:sz w:val="22"/>
                <w:lang w:eastAsia="en-GB"/>
              </w:rPr>
              <w:t>[Biomass</w:t>
            </w:r>
          </w:p>
          <w:p w:rsidR="00095408" w:rsidRDefault="00A32BA2">
            <w:pPr>
              <w:spacing w:line="240" w:lineRule="auto"/>
              <w:ind w:firstLine="0"/>
              <w:jc w:val="center"/>
              <w:textAlignment w:val="bottom"/>
              <w:rPr>
                <w:rFonts w:ascii="Arial" w:eastAsia="Times New Roman" w:hAnsi="Arial" w:cs="Arial"/>
                <w:b/>
                <w:bCs/>
                <w:sz w:val="22"/>
                <w:lang w:eastAsia="en-GB"/>
              </w:rPr>
            </w:pPr>
            <w:r>
              <w:rPr>
                <w:rFonts w:ascii="Arial" w:eastAsia="Times New Roman" w:hAnsi="Arial" w:cs="Arial"/>
                <w:b/>
                <w:bCs/>
                <w:sz w:val="22"/>
                <w:lang w:eastAsia="en-GB"/>
              </w:rPr>
              <w:t>Dry weight]</w:t>
            </w:r>
          </w:p>
        </w:tc>
        <w:tc>
          <w:tcPr>
            <w:tcW w:w="1590"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b/>
                <w:bCs/>
                <w:color w:val="000000"/>
                <w:kern w:val="2"/>
                <w:sz w:val="22"/>
                <w:lang w:eastAsia="en-GB"/>
              </w:rPr>
              <w:t>[Ethanol]</w:t>
            </w:r>
          </w:p>
        </w:tc>
        <w:tc>
          <w:tcPr>
            <w:tcW w:w="1567"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b/>
                <w:bCs/>
                <w:color w:val="000000"/>
                <w:kern w:val="2"/>
                <w:sz w:val="22"/>
                <w:lang w:eastAsia="en-GB"/>
              </w:rPr>
              <w:t>[Acetate]</w:t>
            </w:r>
          </w:p>
        </w:tc>
        <w:tc>
          <w:tcPr>
            <w:tcW w:w="1570"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b/>
                <w:bCs/>
                <w:color w:val="000000"/>
                <w:kern w:val="2"/>
                <w:sz w:val="22"/>
                <w:lang w:eastAsia="en-GB"/>
              </w:rPr>
              <w:t>[Pyruvate]</w:t>
            </w:r>
          </w:p>
        </w:tc>
      </w:tr>
      <w:tr w:rsidR="00095408">
        <w:trPr>
          <w:trHeight w:val="268"/>
        </w:trPr>
        <w:tc>
          <w:tcPr>
            <w:tcW w:w="1159" w:type="dxa"/>
            <w:vMerge/>
            <w:tcBorders>
              <w:top w:val="single" w:sz="8" w:space="0" w:color="70AD47"/>
              <w:left w:val="single" w:sz="8" w:space="0" w:color="70AD47"/>
              <w:bottom w:val="single" w:sz="8" w:space="0" w:color="70AD47"/>
              <w:right w:val="single" w:sz="8" w:space="0" w:color="70AD47"/>
            </w:tcBorders>
            <w:tcMar>
              <w:top w:w="0" w:type="dxa"/>
              <w:left w:w="10" w:type="dxa"/>
              <w:right w:w="10" w:type="dxa"/>
            </w:tcMar>
            <w:vAlign w:val="center"/>
          </w:tcPr>
          <w:p w:rsidR="00095408" w:rsidRDefault="00095408">
            <w:pPr>
              <w:spacing w:line="240" w:lineRule="auto"/>
              <w:ind w:firstLine="0"/>
              <w:rPr>
                <w:rFonts w:ascii="Arial" w:eastAsia="Times New Roman" w:hAnsi="Arial" w:cs="Arial"/>
                <w:lang w:eastAsia="en-GB"/>
              </w:rPr>
            </w:pPr>
          </w:p>
        </w:tc>
        <w:tc>
          <w:tcPr>
            <w:tcW w:w="796"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lang w:eastAsia="en-GB"/>
              </w:rPr>
              <w:t>R5</w:t>
            </w:r>
          </w:p>
        </w:tc>
        <w:tc>
          <w:tcPr>
            <w:tcW w:w="796"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color w:val="000000"/>
                <w:kern w:val="2"/>
                <w:sz w:val="22"/>
                <w:lang w:eastAsia="en-GB"/>
              </w:rPr>
              <w:t>R6</w:t>
            </w:r>
          </w:p>
        </w:tc>
        <w:tc>
          <w:tcPr>
            <w:tcW w:w="888"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lang w:eastAsia="en-GB"/>
              </w:rPr>
              <w:t>R5</w:t>
            </w:r>
          </w:p>
        </w:tc>
        <w:tc>
          <w:tcPr>
            <w:tcW w:w="796"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R6</w:t>
            </w:r>
          </w:p>
        </w:tc>
        <w:tc>
          <w:tcPr>
            <w:tcW w:w="794"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lang w:eastAsia="en-GB"/>
              </w:rPr>
              <w:t>R5</w:t>
            </w:r>
          </w:p>
        </w:tc>
        <w:tc>
          <w:tcPr>
            <w:tcW w:w="796"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R6</w:t>
            </w:r>
          </w:p>
        </w:tc>
        <w:tc>
          <w:tcPr>
            <w:tcW w:w="785"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lang w:eastAsia="en-GB"/>
              </w:rPr>
              <w:t>R5</w:t>
            </w:r>
          </w:p>
        </w:tc>
        <w:tc>
          <w:tcPr>
            <w:tcW w:w="782"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R6</w:t>
            </w:r>
          </w:p>
        </w:tc>
        <w:tc>
          <w:tcPr>
            <w:tcW w:w="784"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lang w:eastAsia="en-GB"/>
              </w:rPr>
              <w:t>R5</w:t>
            </w:r>
          </w:p>
        </w:tc>
        <w:tc>
          <w:tcPr>
            <w:tcW w:w="786"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R6</w:t>
            </w:r>
          </w:p>
        </w:tc>
      </w:tr>
      <w:tr w:rsidR="00095408">
        <w:trPr>
          <w:trHeight w:val="536"/>
        </w:trPr>
        <w:tc>
          <w:tcPr>
            <w:tcW w:w="115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69.9</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sz w:val="22"/>
                <w:lang w:eastAsia="en-GB"/>
              </w:rPr>
            </w:pPr>
            <w:r>
              <w:rPr>
                <w:rFonts w:ascii="Arial" w:hAnsi="Arial" w:cs="Arial"/>
                <w:b/>
                <w:bCs/>
                <w:sz w:val="22"/>
              </w:rPr>
              <w:t>6.53</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b/>
                <w:bCs/>
                <w:sz w:val="22"/>
              </w:rPr>
              <w:t>6.45</w:t>
            </w:r>
          </w:p>
        </w:tc>
        <w:tc>
          <w:tcPr>
            <w:tcW w:w="88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1270</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1335</w:t>
            </w:r>
          </w:p>
        </w:tc>
        <w:tc>
          <w:tcPr>
            <w:tcW w:w="79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r>
      <w:tr w:rsidR="00095408">
        <w:trPr>
          <w:trHeight w:val="669"/>
        </w:trPr>
        <w:tc>
          <w:tcPr>
            <w:tcW w:w="115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92.9</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b/>
                <w:bCs/>
                <w:sz w:val="22"/>
              </w:rPr>
              <w:t>6.48</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b/>
                <w:bCs/>
                <w:sz w:val="22"/>
              </w:rPr>
              <w:t>6.48</w:t>
            </w:r>
          </w:p>
        </w:tc>
        <w:tc>
          <w:tcPr>
            <w:tcW w:w="88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1340</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1330</w:t>
            </w:r>
          </w:p>
        </w:tc>
        <w:tc>
          <w:tcPr>
            <w:tcW w:w="79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sz w:val="22"/>
                <w:lang w:eastAsia="en-GB"/>
              </w:rPr>
            </w:pPr>
            <w:r>
              <w:rPr>
                <w:rFonts w:ascii="Arial" w:eastAsia="Times New Roman" w:hAnsi="Arial" w:cs="Arial"/>
                <w:sz w:val="22"/>
                <w:lang w:eastAsia="en-GB"/>
              </w:rPr>
              <w:t>n.d.</w:t>
            </w:r>
          </w:p>
        </w:tc>
        <w:tc>
          <w:tcPr>
            <w:tcW w:w="78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r>
      <w:tr w:rsidR="00095408">
        <w:trPr>
          <w:trHeight w:val="536"/>
        </w:trPr>
        <w:tc>
          <w:tcPr>
            <w:tcW w:w="115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113.9</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b/>
                <w:bCs/>
                <w:sz w:val="22"/>
              </w:rPr>
              <w:t>6.65</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b/>
                <w:bCs/>
                <w:sz w:val="22"/>
              </w:rPr>
              <w:t>6.64</w:t>
            </w:r>
          </w:p>
        </w:tc>
        <w:tc>
          <w:tcPr>
            <w:tcW w:w="88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1345</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1345</w:t>
            </w:r>
          </w:p>
        </w:tc>
        <w:tc>
          <w:tcPr>
            <w:tcW w:w="79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0.18</w:t>
            </w:r>
          </w:p>
        </w:tc>
        <w:tc>
          <w:tcPr>
            <w:tcW w:w="78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1.50</w:t>
            </w:r>
          </w:p>
        </w:tc>
      </w:tr>
      <w:tr w:rsidR="00095408">
        <w:trPr>
          <w:trHeight w:val="669"/>
        </w:trPr>
        <w:tc>
          <w:tcPr>
            <w:tcW w:w="115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138.1</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b/>
                <w:bCs/>
                <w:sz w:val="22"/>
              </w:rPr>
              <w:t>6.85</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b/>
                <w:bCs/>
                <w:sz w:val="22"/>
              </w:rPr>
              <w:t>6.85</w:t>
            </w:r>
          </w:p>
        </w:tc>
        <w:tc>
          <w:tcPr>
            <w:tcW w:w="88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1325</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1320</w:t>
            </w:r>
          </w:p>
        </w:tc>
        <w:tc>
          <w:tcPr>
            <w:tcW w:w="79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1.50</w:t>
            </w:r>
          </w:p>
        </w:tc>
        <w:tc>
          <w:tcPr>
            <w:tcW w:w="78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1.67</w:t>
            </w:r>
          </w:p>
        </w:tc>
      </w:tr>
      <w:tr w:rsidR="00095408">
        <w:trPr>
          <w:trHeight w:val="669"/>
        </w:trPr>
        <w:tc>
          <w:tcPr>
            <w:tcW w:w="115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144.6</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b/>
                <w:bCs/>
                <w:sz w:val="22"/>
              </w:rPr>
              <w:t>6.89</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b/>
                <w:bCs/>
                <w:sz w:val="22"/>
              </w:rPr>
              <w:t>6.89</w:t>
            </w:r>
          </w:p>
        </w:tc>
        <w:tc>
          <w:tcPr>
            <w:tcW w:w="88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1320</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1315</w:t>
            </w:r>
          </w:p>
        </w:tc>
        <w:tc>
          <w:tcPr>
            <w:tcW w:w="79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1.67</w:t>
            </w:r>
          </w:p>
        </w:tc>
        <w:tc>
          <w:tcPr>
            <w:tcW w:w="78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1.67</w:t>
            </w:r>
          </w:p>
        </w:tc>
      </w:tr>
      <w:tr w:rsidR="00095408">
        <w:trPr>
          <w:trHeight w:val="669"/>
        </w:trPr>
        <w:tc>
          <w:tcPr>
            <w:tcW w:w="115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163.4</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b/>
                <w:bCs/>
                <w:sz w:val="22"/>
              </w:rPr>
              <w:t>7.07</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b/>
                <w:bCs/>
                <w:sz w:val="22"/>
              </w:rPr>
              <w:t>7.08</w:t>
            </w:r>
          </w:p>
        </w:tc>
        <w:tc>
          <w:tcPr>
            <w:tcW w:w="88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1360</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1340</w:t>
            </w:r>
          </w:p>
        </w:tc>
        <w:tc>
          <w:tcPr>
            <w:tcW w:w="79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w:t>
            </w:r>
          </w:p>
        </w:tc>
        <w:tc>
          <w:tcPr>
            <w:tcW w:w="78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2.55</w:t>
            </w:r>
          </w:p>
        </w:tc>
        <w:tc>
          <w:tcPr>
            <w:tcW w:w="78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2.47</w:t>
            </w:r>
          </w:p>
        </w:tc>
      </w:tr>
      <w:tr w:rsidR="00095408">
        <w:trPr>
          <w:trHeight w:val="669"/>
        </w:trPr>
        <w:tc>
          <w:tcPr>
            <w:tcW w:w="115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168.1</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b/>
                <w:bCs/>
                <w:sz w:val="22"/>
              </w:rPr>
              <w:t>7.10</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b/>
                <w:bCs/>
                <w:sz w:val="22"/>
              </w:rPr>
              <w:t>7.14</w:t>
            </w:r>
          </w:p>
        </w:tc>
        <w:tc>
          <w:tcPr>
            <w:tcW w:w="88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1340</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1350</w:t>
            </w:r>
          </w:p>
        </w:tc>
        <w:tc>
          <w:tcPr>
            <w:tcW w:w="79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8</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w:t>
            </w:r>
          </w:p>
        </w:tc>
        <w:tc>
          <w:tcPr>
            <w:tcW w:w="78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2.99</w:t>
            </w:r>
          </w:p>
        </w:tc>
        <w:tc>
          <w:tcPr>
            <w:tcW w:w="78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2.82</w:t>
            </w:r>
          </w:p>
        </w:tc>
      </w:tr>
      <w:tr w:rsidR="00095408">
        <w:trPr>
          <w:trHeight w:val="669"/>
        </w:trPr>
        <w:tc>
          <w:tcPr>
            <w:tcW w:w="115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185.9</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b/>
                <w:bCs/>
                <w:sz w:val="22"/>
              </w:rPr>
              <w:t>7.23</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b/>
                <w:bCs/>
                <w:sz w:val="22"/>
              </w:rPr>
              <w:t>7.23</w:t>
            </w:r>
          </w:p>
        </w:tc>
        <w:tc>
          <w:tcPr>
            <w:tcW w:w="88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1075</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1045</w:t>
            </w:r>
          </w:p>
        </w:tc>
        <w:tc>
          <w:tcPr>
            <w:tcW w:w="79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68</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62</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506</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472</w:t>
            </w:r>
          </w:p>
        </w:tc>
        <w:tc>
          <w:tcPr>
            <w:tcW w:w="78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4.14</w:t>
            </w:r>
          </w:p>
        </w:tc>
        <w:tc>
          <w:tcPr>
            <w:tcW w:w="78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4.31</w:t>
            </w:r>
          </w:p>
        </w:tc>
      </w:tr>
      <w:tr w:rsidR="00095408">
        <w:trPr>
          <w:trHeight w:val="669"/>
        </w:trPr>
        <w:tc>
          <w:tcPr>
            <w:tcW w:w="115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209.9</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b/>
                <w:bCs/>
                <w:sz w:val="22"/>
              </w:rPr>
              <w:t>7.49</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b/>
                <w:bCs/>
                <w:sz w:val="22"/>
              </w:rPr>
              <w:t>7.45</w:t>
            </w:r>
          </w:p>
        </w:tc>
        <w:tc>
          <w:tcPr>
            <w:tcW w:w="88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447.5</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462.5</w:t>
            </w:r>
          </w:p>
        </w:tc>
        <w:tc>
          <w:tcPr>
            <w:tcW w:w="79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793</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777</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896</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901</w:t>
            </w:r>
          </w:p>
        </w:tc>
        <w:tc>
          <w:tcPr>
            <w:tcW w:w="78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2.95</w:t>
            </w:r>
          </w:p>
        </w:tc>
        <w:tc>
          <w:tcPr>
            <w:tcW w:w="78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3.26</w:t>
            </w:r>
          </w:p>
        </w:tc>
      </w:tr>
      <w:tr w:rsidR="00095408">
        <w:trPr>
          <w:trHeight w:val="669"/>
        </w:trPr>
        <w:tc>
          <w:tcPr>
            <w:tcW w:w="1159"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b/>
                <w:bCs/>
                <w:sz w:val="22"/>
                <w:szCs w:val="20"/>
                <w:lang w:eastAsia="en-GB"/>
              </w:rPr>
            </w:pPr>
            <w:r>
              <w:rPr>
                <w:rFonts w:ascii="Arial" w:eastAsia="Times New Roman" w:hAnsi="Arial" w:cs="Arial"/>
                <w:b/>
                <w:bCs/>
                <w:sz w:val="22"/>
                <w:szCs w:val="20"/>
                <w:lang w:eastAsia="en-GB"/>
              </w:rPr>
              <w:t>Medium vessel</w:t>
            </w:r>
          </w:p>
        </w:tc>
        <w:tc>
          <w:tcPr>
            <w:tcW w:w="796"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hAnsi="Arial" w:cs="Arial"/>
                <w:color w:val="000000"/>
                <w:sz w:val="22"/>
              </w:rPr>
            </w:pPr>
            <w:r>
              <w:rPr>
                <w:rFonts w:ascii="Arial" w:eastAsia="Times New Roman" w:hAnsi="Arial" w:cs="Arial"/>
                <w:lang w:eastAsia="en-GB"/>
              </w:rPr>
              <w:t>n.d.</w:t>
            </w:r>
          </w:p>
        </w:tc>
        <w:tc>
          <w:tcPr>
            <w:tcW w:w="796"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hAnsi="Arial" w:cs="Arial"/>
                <w:color w:val="000000"/>
                <w:sz w:val="22"/>
              </w:rPr>
            </w:pPr>
            <w:r>
              <w:rPr>
                <w:rFonts w:ascii="Arial" w:eastAsia="Times New Roman" w:hAnsi="Arial" w:cs="Arial"/>
                <w:lang w:eastAsia="en-GB"/>
              </w:rPr>
              <w:t>n.d.</w:t>
            </w:r>
          </w:p>
        </w:tc>
        <w:tc>
          <w:tcPr>
            <w:tcW w:w="888"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hAnsi="Arial" w:cs="Arial"/>
                <w:color w:val="000000"/>
                <w:sz w:val="22"/>
              </w:rPr>
            </w:pPr>
            <w:r>
              <w:rPr>
                <w:rFonts w:ascii="Arial" w:eastAsia="Times New Roman" w:hAnsi="Arial" w:cs="Arial"/>
                <w:lang w:eastAsia="en-GB"/>
              </w:rPr>
              <w:t>n.d.</w:t>
            </w:r>
          </w:p>
        </w:tc>
        <w:tc>
          <w:tcPr>
            <w:tcW w:w="796"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hAnsi="Arial" w:cs="Arial"/>
                <w:color w:val="000000"/>
                <w:sz w:val="22"/>
              </w:rPr>
            </w:pPr>
            <w:r>
              <w:rPr>
                <w:rFonts w:ascii="Arial" w:eastAsia="Times New Roman" w:hAnsi="Arial" w:cs="Arial"/>
                <w:lang w:eastAsia="en-GB"/>
              </w:rPr>
              <w:t>n.d.</w:t>
            </w:r>
          </w:p>
        </w:tc>
        <w:tc>
          <w:tcPr>
            <w:tcW w:w="794"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2278</w:t>
            </w:r>
          </w:p>
        </w:tc>
        <w:tc>
          <w:tcPr>
            <w:tcW w:w="796"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2293</w:t>
            </w:r>
          </w:p>
        </w:tc>
        <w:tc>
          <w:tcPr>
            <w:tcW w:w="785"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n.d.</w:t>
            </w:r>
          </w:p>
        </w:tc>
        <w:tc>
          <w:tcPr>
            <w:tcW w:w="782"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n.d.</w:t>
            </w:r>
          </w:p>
        </w:tc>
        <w:tc>
          <w:tcPr>
            <w:tcW w:w="784"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n.d.</w:t>
            </w:r>
          </w:p>
        </w:tc>
        <w:tc>
          <w:tcPr>
            <w:tcW w:w="786"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n.d.</w:t>
            </w:r>
          </w:p>
        </w:tc>
      </w:tr>
    </w:tbl>
    <w:p w:rsidR="00095408" w:rsidRDefault="00095408">
      <w:pPr>
        <w:spacing w:after="160" w:line="259" w:lineRule="auto"/>
        <w:ind w:firstLine="0"/>
        <w:jc w:val="left"/>
        <w:rPr>
          <w:rFonts w:ascii="Arial" w:hAnsi="Arial" w:cs="Arial"/>
          <w:sz w:val="22"/>
        </w:rPr>
      </w:pPr>
    </w:p>
    <w:p w:rsidR="00095408" w:rsidRDefault="00A32BA2">
      <w:pPr>
        <w:spacing w:after="160" w:line="259" w:lineRule="auto"/>
        <w:ind w:firstLine="0"/>
        <w:jc w:val="left"/>
        <w:rPr>
          <w:rFonts w:ascii="Arial" w:hAnsi="Arial" w:cs="Arial"/>
          <w:sz w:val="22"/>
        </w:rPr>
      </w:pPr>
      <w:r>
        <w:br w:type="page"/>
      </w:r>
    </w:p>
    <w:p w:rsidR="00095408" w:rsidRDefault="00A32BA2">
      <w:pPr>
        <w:spacing w:after="160" w:line="259" w:lineRule="auto"/>
        <w:ind w:firstLine="0"/>
        <w:jc w:val="left"/>
        <w:rPr>
          <w:rFonts w:ascii="Arial" w:hAnsi="Arial" w:cs="Arial"/>
          <w:b/>
          <w:bCs/>
          <w:sz w:val="22"/>
          <w:szCs w:val="20"/>
        </w:rPr>
      </w:pPr>
      <w:r>
        <w:rPr>
          <w:rFonts w:ascii="Arial" w:hAnsi="Arial" w:cs="Arial"/>
          <w:b/>
          <w:bCs/>
          <w:sz w:val="22"/>
          <w:szCs w:val="20"/>
        </w:rPr>
        <w:lastRenderedPageBreak/>
        <w:t>Table S3 – Externally determined pH, OD</w:t>
      </w:r>
      <w:r>
        <w:rPr>
          <w:rFonts w:ascii="Arial" w:hAnsi="Arial" w:cs="Arial"/>
          <w:b/>
          <w:bCs/>
          <w:sz w:val="22"/>
          <w:szCs w:val="20"/>
          <w:vertAlign w:val="subscript"/>
        </w:rPr>
        <w:t>660</w:t>
      </w:r>
      <w:r>
        <w:rPr>
          <w:rFonts w:ascii="Arial" w:hAnsi="Arial" w:cs="Arial"/>
          <w:b/>
          <w:bCs/>
          <w:sz w:val="22"/>
          <w:szCs w:val="20"/>
        </w:rPr>
        <w:t xml:space="preserve">, and extracellular metabolite analysis via HPLC obtained during the ‘quick pH ramp’ experiment with </w:t>
      </w:r>
      <w:r>
        <w:rPr>
          <w:rFonts w:ascii="Arial" w:hAnsi="Arial" w:cs="Arial"/>
          <w:b/>
          <w:bCs/>
          <w:i/>
          <w:iCs/>
          <w:sz w:val="22"/>
          <w:szCs w:val="20"/>
        </w:rPr>
        <w:t>S. cerevisiae</w:t>
      </w:r>
      <w:r>
        <w:rPr>
          <w:rFonts w:ascii="Arial" w:hAnsi="Arial" w:cs="Arial"/>
          <w:b/>
          <w:bCs/>
          <w:sz w:val="22"/>
          <w:szCs w:val="20"/>
        </w:rPr>
        <w:t xml:space="preserve"> CEN.PK113-7D (WT).</w:t>
      </w:r>
    </w:p>
    <w:p w:rsidR="00095408" w:rsidRDefault="00A32BA2">
      <w:pPr>
        <w:pStyle w:val="normal-legend"/>
        <w:spacing w:after="120" w:line="240" w:lineRule="auto"/>
        <w:rPr>
          <w:rFonts w:ascii="Arial" w:hAnsi="Arial" w:cs="Arial"/>
          <w:sz w:val="22"/>
        </w:rPr>
      </w:pPr>
      <w:r>
        <w:rPr>
          <w:rFonts w:ascii="Arial" w:hAnsi="Arial" w:cs="Arial"/>
          <w:sz w:val="22"/>
        </w:rPr>
        <w:t>The concentration values [square brackets] are expressed in mg per L of the culture medium. The values are of 2 independen</w:t>
      </w:r>
      <w:r>
        <w:rPr>
          <w:rFonts w:ascii="Arial" w:hAnsi="Arial" w:cs="Arial"/>
          <w:sz w:val="22"/>
        </w:rPr>
        <w:t>t experiments (n=2). n.d. = not detected. In all samples the ethanol concentration was below the detection limit of the HPLC (&lt;2mg/L). The exact concentrations inside the medium vessels were also measured by HPLC (bottom line).</w:t>
      </w:r>
    </w:p>
    <w:p w:rsidR="00095408" w:rsidRDefault="00095408">
      <w:pPr>
        <w:pStyle w:val="normal-legend"/>
        <w:spacing w:after="120" w:line="240" w:lineRule="auto"/>
        <w:rPr>
          <w:rFonts w:ascii="Arial" w:hAnsi="Arial" w:cs="Arial"/>
          <w:sz w:val="22"/>
        </w:rPr>
      </w:pPr>
    </w:p>
    <w:tbl>
      <w:tblPr>
        <w:tblW w:w="16227" w:type="dxa"/>
        <w:tblLayout w:type="fixed"/>
        <w:tblCellMar>
          <w:top w:w="3" w:type="dxa"/>
          <w:left w:w="3" w:type="dxa"/>
          <w:right w:w="3" w:type="dxa"/>
        </w:tblCellMar>
        <w:tblLook w:val="0600" w:firstRow="0" w:lastRow="0" w:firstColumn="0" w:lastColumn="0" w:noHBand="1" w:noVBand="1"/>
      </w:tblPr>
      <w:tblGrid>
        <w:gridCol w:w="1147"/>
        <w:gridCol w:w="782"/>
        <w:gridCol w:w="782"/>
        <w:gridCol w:w="1060"/>
        <w:gridCol w:w="973"/>
        <w:gridCol w:w="787"/>
        <w:gridCol w:w="787"/>
        <w:gridCol w:w="776"/>
        <w:gridCol w:w="774"/>
        <w:gridCol w:w="772"/>
        <w:gridCol w:w="773"/>
        <w:gridCol w:w="758"/>
        <w:gridCol w:w="756"/>
        <w:gridCol w:w="758"/>
        <w:gridCol w:w="756"/>
        <w:gridCol w:w="758"/>
        <w:gridCol w:w="756"/>
        <w:gridCol w:w="758"/>
        <w:gridCol w:w="756"/>
        <w:gridCol w:w="758"/>
      </w:tblGrid>
      <w:tr w:rsidR="00095408">
        <w:trPr>
          <w:trHeight w:val="268"/>
        </w:trPr>
        <w:tc>
          <w:tcPr>
            <w:tcW w:w="1147" w:type="dxa"/>
            <w:vMerge w:val="restart"/>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sz w:val="22"/>
                <w:lang w:eastAsia="en-GB"/>
              </w:rPr>
            </w:pPr>
            <w:r>
              <w:rPr>
                <w:rFonts w:ascii="Arial" w:eastAsia="Times New Roman" w:hAnsi="Arial" w:cs="Arial"/>
                <w:b/>
                <w:bCs/>
                <w:sz w:val="22"/>
                <w:lang w:eastAsia="en-GB"/>
              </w:rPr>
              <w:t>Time (h)</w:t>
            </w:r>
          </w:p>
        </w:tc>
        <w:tc>
          <w:tcPr>
            <w:tcW w:w="1564"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sz w:val="22"/>
                <w:lang w:eastAsia="en-GB"/>
              </w:rPr>
            </w:pPr>
            <w:r>
              <w:rPr>
                <w:rFonts w:ascii="Arial" w:eastAsia="Times New Roman" w:hAnsi="Arial" w:cs="Arial"/>
                <w:b/>
                <w:bCs/>
                <w:sz w:val="22"/>
                <w:lang w:eastAsia="en-GB"/>
              </w:rPr>
              <w:t>External pH</w:t>
            </w:r>
          </w:p>
        </w:tc>
        <w:tc>
          <w:tcPr>
            <w:tcW w:w="2033"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sz w:val="22"/>
                <w:vertAlign w:val="subscript"/>
                <w:lang w:eastAsia="en-GB"/>
              </w:rPr>
            </w:pPr>
            <w:r>
              <w:rPr>
                <w:rFonts w:ascii="Arial" w:eastAsia="Times New Roman" w:hAnsi="Arial" w:cs="Arial"/>
                <w:b/>
                <w:bCs/>
                <w:sz w:val="22"/>
                <w:lang w:eastAsia="en-GB"/>
              </w:rPr>
              <w:t>OD</w:t>
            </w:r>
            <w:r>
              <w:rPr>
                <w:rFonts w:ascii="Arial" w:eastAsia="Times New Roman" w:hAnsi="Arial" w:cs="Arial"/>
                <w:b/>
                <w:bCs/>
                <w:sz w:val="22"/>
                <w:vertAlign w:val="subscript"/>
                <w:lang w:eastAsia="en-GB"/>
              </w:rPr>
              <w:t>660</w:t>
            </w:r>
          </w:p>
          <w:p w:rsidR="00095408" w:rsidRDefault="00095408">
            <w:pPr>
              <w:spacing w:line="240" w:lineRule="auto"/>
              <w:ind w:firstLine="0"/>
              <w:jc w:val="center"/>
              <w:textAlignment w:val="bottom"/>
              <w:rPr>
                <w:rFonts w:ascii="Arial" w:eastAsia="Times New Roman" w:hAnsi="Arial" w:cs="Arial"/>
                <w:b/>
                <w:bCs/>
                <w:sz w:val="22"/>
                <w:lang w:eastAsia="en-GB"/>
              </w:rPr>
            </w:pPr>
          </w:p>
        </w:tc>
        <w:tc>
          <w:tcPr>
            <w:tcW w:w="1574"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b/>
                <w:bCs/>
                <w:color w:val="000000"/>
                <w:kern w:val="2"/>
                <w:sz w:val="22"/>
                <w:lang w:eastAsia="en-GB"/>
              </w:rPr>
              <w:t>[L-lactate]</w:t>
            </w:r>
          </w:p>
        </w:tc>
        <w:tc>
          <w:tcPr>
            <w:tcW w:w="1550"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b/>
                <w:bCs/>
                <w:color w:val="000000"/>
                <w:kern w:val="2"/>
                <w:sz w:val="22"/>
                <w:lang w:eastAsia="en-GB"/>
              </w:rPr>
              <w:t>[Pyruvate]</w:t>
            </w:r>
          </w:p>
        </w:tc>
        <w:tc>
          <w:tcPr>
            <w:tcW w:w="1545"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b/>
                <w:bCs/>
                <w:color w:val="000000"/>
                <w:kern w:val="2"/>
                <w:sz w:val="22"/>
                <w:lang w:eastAsia="en-GB"/>
              </w:rPr>
              <w:t>[Acetate]</w:t>
            </w: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r>
      <w:tr w:rsidR="00095408">
        <w:trPr>
          <w:trHeight w:val="268"/>
        </w:trPr>
        <w:tc>
          <w:tcPr>
            <w:tcW w:w="1147" w:type="dxa"/>
            <w:vMerge/>
            <w:tcBorders>
              <w:top w:val="single" w:sz="8" w:space="0" w:color="70AD47"/>
              <w:left w:val="single" w:sz="8" w:space="0" w:color="70AD47"/>
              <w:bottom w:val="single" w:sz="8" w:space="0" w:color="70AD47"/>
              <w:right w:val="single" w:sz="8" w:space="0" w:color="70AD47"/>
            </w:tcBorders>
            <w:tcMar>
              <w:top w:w="0" w:type="dxa"/>
              <w:left w:w="10" w:type="dxa"/>
              <w:right w:w="10" w:type="dxa"/>
            </w:tcMar>
            <w:vAlign w:val="center"/>
          </w:tcPr>
          <w:p w:rsidR="00095408" w:rsidRDefault="00095408">
            <w:pPr>
              <w:spacing w:line="240" w:lineRule="auto"/>
              <w:ind w:firstLine="0"/>
              <w:jc w:val="center"/>
              <w:rPr>
                <w:rFonts w:ascii="Arial" w:eastAsia="Times New Roman" w:hAnsi="Arial" w:cs="Arial"/>
                <w:sz w:val="22"/>
                <w:lang w:eastAsia="en-GB"/>
              </w:rPr>
            </w:pPr>
          </w:p>
        </w:tc>
        <w:tc>
          <w:tcPr>
            <w:tcW w:w="782"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b/>
                <w:bCs/>
                <w:sz w:val="22"/>
                <w:lang w:eastAsia="en-GB"/>
              </w:rPr>
            </w:pPr>
            <w:r>
              <w:rPr>
                <w:rFonts w:ascii="Arial" w:eastAsia="Times New Roman" w:hAnsi="Arial" w:cs="Arial"/>
                <w:b/>
                <w:bCs/>
                <w:sz w:val="22"/>
                <w:lang w:eastAsia="en-GB"/>
              </w:rPr>
              <w:t>R5</w:t>
            </w:r>
          </w:p>
        </w:tc>
        <w:tc>
          <w:tcPr>
            <w:tcW w:w="782"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b/>
                <w:bCs/>
                <w:sz w:val="22"/>
                <w:lang w:eastAsia="en-GB"/>
              </w:rPr>
            </w:pPr>
            <w:r>
              <w:rPr>
                <w:rFonts w:ascii="Arial" w:eastAsia="Times New Roman" w:hAnsi="Arial" w:cs="Arial"/>
                <w:b/>
                <w:bCs/>
                <w:color w:val="000000"/>
                <w:kern w:val="2"/>
                <w:sz w:val="22"/>
                <w:lang w:eastAsia="en-GB"/>
              </w:rPr>
              <w:t>R6</w:t>
            </w:r>
          </w:p>
        </w:tc>
        <w:tc>
          <w:tcPr>
            <w:tcW w:w="1060"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b/>
                <w:bCs/>
                <w:sz w:val="22"/>
                <w:lang w:eastAsia="en-GB"/>
              </w:rPr>
              <w:t>R5</w:t>
            </w:r>
          </w:p>
        </w:tc>
        <w:tc>
          <w:tcPr>
            <w:tcW w:w="973"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b/>
                <w:bCs/>
                <w:color w:val="000000"/>
                <w:kern w:val="2"/>
                <w:sz w:val="22"/>
                <w:lang w:eastAsia="en-GB"/>
              </w:rPr>
              <w:t>R6</w:t>
            </w:r>
          </w:p>
        </w:tc>
        <w:tc>
          <w:tcPr>
            <w:tcW w:w="787"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b/>
                <w:bCs/>
                <w:sz w:val="22"/>
                <w:lang w:eastAsia="en-GB"/>
              </w:rPr>
              <w:t>R5</w:t>
            </w:r>
          </w:p>
        </w:tc>
        <w:tc>
          <w:tcPr>
            <w:tcW w:w="787"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b/>
                <w:bCs/>
                <w:color w:val="000000"/>
                <w:kern w:val="2"/>
                <w:sz w:val="22"/>
                <w:lang w:eastAsia="en-GB"/>
              </w:rPr>
              <w:t>R6</w:t>
            </w:r>
          </w:p>
        </w:tc>
        <w:tc>
          <w:tcPr>
            <w:tcW w:w="776"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b/>
                <w:bCs/>
                <w:sz w:val="22"/>
                <w:lang w:eastAsia="en-GB"/>
              </w:rPr>
              <w:t>R5</w:t>
            </w:r>
          </w:p>
        </w:tc>
        <w:tc>
          <w:tcPr>
            <w:tcW w:w="774"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b/>
                <w:bCs/>
                <w:color w:val="000000"/>
                <w:kern w:val="2"/>
                <w:sz w:val="22"/>
                <w:lang w:eastAsia="en-GB"/>
              </w:rPr>
              <w:t>R6</w:t>
            </w:r>
          </w:p>
        </w:tc>
        <w:tc>
          <w:tcPr>
            <w:tcW w:w="772"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b/>
                <w:bCs/>
                <w:sz w:val="22"/>
                <w:lang w:eastAsia="en-GB"/>
              </w:rPr>
              <w:t>R5</w:t>
            </w:r>
          </w:p>
        </w:tc>
        <w:tc>
          <w:tcPr>
            <w:tcW w:w="773"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b/>
                <w:bCs/>
                <w:color w:val="000000"/>
                <w:kern w:val="2"/>
                <w:sz w:val="22"/>
                <w:lang w:eastAsia="en-GB"/>
              </w:rPr>
              <w:t>R6</w:t>
            </w: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r>
      <w:tr w:rsidR="00095408">
        <w:trPr>
          <w:trHeight w:val="536"/>
        </w:trPr>
        <w:tc>
          <w:tcPr>
            <w:tcW w:w="114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0</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sz w:val="22"/>
                <w:lang w:eastAsia="en-GB"/>
              </w:rPr>
            </w:pPr>
            <w:r>
              <w:rPr>
                <w:rFonts w:ascii="Arial" w:hAnsi="Arial" w:cs="Arial"/>
                <w:color w:val="000000"/>
                <w:sz w:val="22"/>
              </w:rPr>
              <w:t>6.73</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6.74</w:t>
            </w:r>
          </w:p>
        </w:tc>
        <w:tc>
          <w:tcPr>
            <w:tcW w:w="1060"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18.60</w:t>
            </w:r>
          </w:p>
        </w:tc>
        <w:tc>
          <w:tcPr>
            <w:tcW w:w="9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18.55</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31.86</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31.86</w:t>
            </w:r>
          </w:p>
        </w:tc>
        <w:tc>
          <w:tcPr>
            <w:tcW w:w="77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7.04</w:t>
            </w:r>
          </w:p>
        </w:tc>
        <w:tc>
          <w:tcPr>
            <w:tcW w:w="7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7.93</w:t>
            </w:r>
          </w:p>
        </w:tc>
        <w:tc>
          <w:tcPr>
            <w:tcW w:w="77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r>
      <w:tr w:rsidR="00095408">
        <w:trPr>
          <w:trHeight w:val="669"/>
        </w:trPr>
        <w:tc>
          <w:tcPr>
            <w:tcW w:w="114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1</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6.78</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6.8</w:t>
            </w:r>
          </w:p>
        </w:tc>
        <w:tc>
          <w:tcPr>
            <w:tcW w:w="1060"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17.85</w:t>
            </w:r>
          </w:p>
        </w:tc>
        <w:tc>
          <w:tcPr>
            <w:tcW w:w="9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18.73</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35.29</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32.72</w:t>
            </w:r>
          </w:p>
        </w:tc>
        <w:tc>
          <w:tcPr>
            <w:tcW w:w="77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7.93</w:t>
            </w:r>
          </w:p>
        </w:tc>
        <w:tc>
          <w:tcPr>
            <w:tcW w:w="7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8.81</w:t>
            </w:r>
          </w:p>
        </w:tc>
        <w:tc>
          <w:tcPr>
            <w:tcW w:w="77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sz w:val="22"/>
                <w:lang w:eastAsia="en-GB"/>
              </w:rPr>
            </w:pPr>
            <w:r>
              <w:rPr>
                <w:rFonts w:ascii="Arial" w:eastAsia="Times New Roman" w:hAnsi="Arial" w:cs="Arial"/>
                <w:sz w:val="22"/>
                <w:lang w:eastAsia="en-GB"/>
              </w:rPr>
              <w:t>n.d.</w:t>
            </w:r>
          </w:p>
        </w:tc>
        <w:tc>
          <w:tcPr>
            <w:tcW w:w="7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r>
      <w:tr w:rsidR="00095408">
        <w:trPr>
          <w:trHeight w:val="536"/>
        </w:trPr>
        <w:tc>
          <w:tcPr>
            <w:tcW w:w="114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2</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6.80</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6.82</w:t>
            </w:r>
          </w:p>
        </w:tc>
        <w:tc>
          <w:tcPr>
            <w:tcW w:w="1060"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17.85</w:t>
            </w:r>
          </w:p>
        </w:tc>
        <w:tc>
          <w:tcPr>
            <w:tcW w:w="9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18.30</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37.86</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37.86</w:t>
            </w:r>
          </w:p>
        </w:tc>
        <w:tc>
          <w:tcPr>
            <w:tcW w:w="77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8.81</w:t>
            </w:r>
          </w:p>
        </w:tc>
        <w:tc>
          <w:tcPr>
            <w:tcW w:w="7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9.69</w:t>
            </w:r>
          </w:p>
        </w:tc>
        <w:tc>
          <w:tcPr>
            <w:tcW w:w="77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r>
      <w:tr w:rsidR="00095408">
        <w:trPr>
          <w:trHeight w:val="669"/>
        </w:trPr>
        <w:tc>
          <w:tcPr>
            <w:tcW w:w="114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3</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6.84</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6.86</w:t>
            </w:r>
          </w:p>
        </w:tc>
        <w:tc>
          <w:tcPr>
            <w:tcW w:w="1060"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sz w:val="22"/>
              </w:rPr>
              <w:t>17.00</w:t>
            </w:r>
          </w:p>
        </w:tc>
        <w:tc>
          <w:tcPr>
            <w:tcW w:w="9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17.50</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42.15</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41.30</w:t>
            </w:r>
          </w:p>
        </w:tc>
        <w:tc>
          <w:tcPr>
            <w:tcW w:w="77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9.69</w:t>
            </w:r>
          </w:p>
        </w:tc>
        <w:tc>
          <w:tcPr>
            <w:tcW w:w="7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10.57</w:t>
            </w:r>
          </w:p>
        </w:tc>
        <w:tc>
          <w:tcPr>
            <w:tcW w:w="77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r>
      <w:tr w:rsidR="00095408">
        <w:trPr>
          <w:trHeight w:val="669"/>
        </w:trPr>
        <w:tc>
          <w:tcPr>
            <w:tcW w:w="114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4</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6.89</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6.92</w:t>
            </w:r>
          </w:p>
        </w:tc>
        <w:tc>
          <w:tcPr>
            <w:tcW w:w="1060"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17.00</w:t>
            </w:r>
          </w:p>
        </w:tc>
        <w:tc>
          <w:tcPr>
            <w:tcW w:w="9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17.75</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46.44</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47.30</w:t>
            </w:r>
          </w:p>
        </w:tc>
        <w:tc>
          <w:tcPr>
            <w:tcW w:w="77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10.57</w:t>
            </w:r>
          </w:p>
        </w:tc>
        <w:tc>
          <w:tcPr>
            <w:tcW w:w="7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12.33</w:t>
            </w:r>
          </w:p>
        </w:tc>
        <w:tc>
          <w:tcPr>
            <w:tcW w:w="77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r>
      <w:tr w:rsidR="00095408">
        <w:trPr>
          <w:trHeight w:val="669"/>
        </w:trPr>
        <w:tc>
          <w:tcPr>
            <w:tcW w:w="114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5</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6.94</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6.96</w:t>
            </w:r>
          </w:p>
        </w:tc>
        <w:tc>
          <w:tcPr>
            <w:tcW w:w="1060"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17.50</w:t>
            </w:r>
          </w:p>
        </w:tc>
        <w:tc>
          <w:tcPr>
            <w:tcW w:w="9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17.55</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51.59</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53.30</w:t>
            </w:r>
          </w:p>
        </w:tc>
        <w:tc>
          <w:tcPr>
            <w:tcW w:w="77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12.33</w:t>
            </w:r>
          </w:p>
        </w:tc>
        <w:tc>
          <w:tcPr>
            <w:tcW w:w="7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14.09</w:t>
            </w:r>
          </w:p>
        </w:tc>
        <w:tc>
          <w:tcPr>
            <w:tcW w:w="77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r>
      <w:tr w:rsidR="00095408">
        <w:trPr>
          <w:trHeight w:val="669"/>
        </w:trPr>
        <w:tc>
          <w:tcPr>
            <w:tcW w:w="114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6</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7.01</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7.02</w:t>
            </w:r>
          </w:p>
        </w:tc>
        <w:tc>
          <w:tcPr>
            <w:tcW w:w="1060"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17.60</w:t>
            </w:r>
          </w:p>
        </w:tc>
        <w:tc>
          <w:tcPr>
            <w:tcW w:w="9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16.85</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58.45</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59.31</w:t>
            </w:r>
          </w:p>
        </w:tc>
        <w:tc>
          <w:tcPr>
            <w:tcW w:w="77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14.09</w:t>
            </w:r>
          </w:p>
        </w:tc>
        <w:tc>
          <w:tcPr>
            <w:tcW w:w="7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17.61</w:t>
            </w:r>
          </w:p>
        </w:tc>
        <w:tc>
          <w:tcPr>
            <w:tcW w:w="77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r>
      <w:tr w:rsidR="00095408">
        <w:trPr>
          <w:trHeight w:val="669"/>
        </w:trPr>
        <w:tc>
          <w:tcPr>
            <w:tcW w:w="114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7</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7.07</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7.07</w:t>
            </w:r>
          </w:p>
        </w:tc>
        <w:tc>
          <w:tcPr>
            <w:tcW w:w="1060"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17.90</w:t>
            </w:r>
          </w:p>
        </w:tc>
        <w:tc>
          <w:tcPr>
            <w:tcW w:w="9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18.50</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67.03</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69.60</w:t>
            </w:r>
          </w:p>
        </w:tc>
        <w:tc>
          <w:tcPr>
            <w:tcW w:w="77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16.73</w:t>
            </w:r>
          </w:p>
        </w:tc>
        <w:tc>
          <w:tcPr>
            <w:tcW w:w="7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22.02</w:t>
            </w:r>
          </w:p>
        </w:tc>
        <w:tc>
          <w:tcPr>
            <w:tcW w:w="77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r>
      <w:tr w:rsidR="00095408">
        <w:trPr>
          <w:trHeight w:val="669"/>
        </w:trPr>
        <w:tc>
          <w:tcPr>
            <w:tcW w:w="114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8</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7.09</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7.10</w:t>
            </w:r>
          </w:p>
        </w:tc>
        <w:tc>
          <w:tcPr>
            <w:tcW w:w="1060"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17.80</w:t>
            </w:r>
          </w:p>
        </w:tc>
        <w:tc>
          <w:tcPr>
            <w:tcW w:w="9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18.20</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78.18</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82.47</w:t>
            </w:r>
          </w:p>
        </w:tc>
        <w:tc>
          <w:tcPr>
            <w:tcW w:w="77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21.13</w:t>
            </w:r>
          </w:p>
        </w:tc>
        <w:tc>
          <w:tcPr>
            <w:tcW w:w="7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29.06</w:t>
            </w:r>
          </w:p>
        </w:tc>
        <w:tc>
          <w:tcPr>
            <w:tcW w:w="77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r>
      <w:tr w:rsidR="00095408">
        <w:trPr>
          <w:trHeight w:val="669"/>
        </w:trPr>
        <w:tc>
          <w:tcPr>
            <w:tcW w:w="114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9</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7.13</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7.14</w:t>
            </w:r>
          </w:p>
        </w:tc>
        <w:tc>
          <w:tcPr>
            <w:tcW w:w="1060"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16.95</w:t>
            </w:r>
          </w:p>
        </w:tc>
        <w:tc>
          <w:tcPr>
            <w:tcW w:w="9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17.50</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93.62</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109.9</w:t>
            </w:r>
          </w:p>
        </w:tc>
        <w:tc>
          <w:tcPr>
            <w:tcW w:w="77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27.30</w:t>
            </w:r>
          </w:p>
        </w:tc>
        <w:tc>
          <w:tcPr>
            <w:tcW w:w="7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37.87</w:t>
            </w:r>
          </w:p>
        </w:tc>
        <w:tc>
          <w:tcPr>
            <w:tcW w:w="77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5.90</w:t>
            </w: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r>
      <w:tr w:rsidR="00095408">
        <w:trPr>
          <w:trHeight w:val="669"/>
        </w:trPr>
        <w:tc>
          <w:tcPr>
            <w:tcW w:w="114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10</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7.18</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7.19</w:t>
            </w:r>
          </w:p>
        </w:tc>
        <w:tc>
          <w:tcPr>
            <w:tcW w:w="1060"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17.27</w:t>
            </w:r>
          </w:p>
        </w:tc>
        <w:tc>
          <w:tcPr>
            <w:tcW w:w="9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17.77</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109.9</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113.3</w:t>
            </w:r>
          </w:p>
        </w:tc>
        <w:tc>
          <w:tcPr>
            <w:tcW w:w="77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35.22</w:t>
            </w:r>
          </w:p>
        </w:tc>
        <w:tc>
          <w:tcPr>
            <w:tcW w:w="7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49.31</w:t>
            </w:r>
          </w:p>
        </w:tc>
        <w:tc>
          <w:tcPr>
            <w:tcW w:w="77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28.93</w:t>
            </w:r>
          </w:p>
        </w:tc>
        <w:tc>
          <w:tcPr>
            <w:tcW w:w="758" w:type="dxa"/>
            <w:tcMar>
              <w:top w:w="0" w:type="dxa"/>
              <w:left w:w="10" w:type="dxa"/>
              <w:right w:w="10" w:type="dxa"/>
            </w:tcMar>
            <w:vAlign w:val="center"/>
          </w:tcPr>
          <w:p w:rsidR="00095408" w:rsidRDefault="00095408">
            <w:pPr>
              <w:spacing w:after="160" w:line="259" w:lineRule="auto"/>
              <w:ind w:firstLine="0"/>
              <w:jc w:val="center"/>
              <w:rPr>
                <w:rFonts w:ascii="Arial" w:hAnsi="Arial" w:cs="Arial"/>
                <w:sz w:val="22"/>
              </w:rPr>
            </w:pPr>
          </w:p>
        </w:tc>
        <w:tc>
          <w:tcPr>
            <w:tcW w:w="756" w:type="dxa"/>
            <w:tcMar>
              <w:top w:w="0" w:type="dxa"/>
              <w:left w:w="10" w:type="dxa"/>
              <w:right w:w="10" w:type="dxa"/>
            </w:tcMar>
            <w:vAlign w:val="center"/>
          </w:tcPr>
          <w:p w:rsidR="00095408" w:rsidRDefault="00095408">
            <w:pPr>
              <w:spacing w:after="160" w:line="259" w:lineRule="auto"/>
              <w:ind w:firstLine="0"/>
              <w:jc w:val="center"/>
              <w:rPr>
                <w:rFonts w:ascii="Arial" w:hAnsi="Arial" w:cs="Arial"/>
                <w:sz w:val="22"/>
              </w:rPr>
            </w:pPr>
          </w:p>
        </w:tc>
        <w:tc>
          <w:tcPr>
            <w:tcW w:w="758" w:type="dxa"/>
            <w:tcMar>
              <w:top w:w="0" w:type="dxa"/>
              <w:left w:w="10" w:type="dxa"/>
              <w:right w:w="10" w:type="dxa"/>
            </w:tcMar>
            <w:vAlign w:val="center"/>
          </w:tcPr>
          <w:p w:rsidR="00095408" w:rsidRDefault="00095408">
            <w:pPr>
              <w:spacing w:after="160" w:line="259" w:lineRule="auto"/>
              <w:ind w:firstLine="0"/>
              <w:jc w:val="center"/>
              <w:rPr>
                <w:rFonts w:ascii="Arial" w:hAnsi="Arial" w:cs="Arial"/>
                <w:sz w:val="22"/>
              </w:rPr>
            </w:pPr>
          </w:p>
        </w:tc>
        <w:tc>
          <w:tcPr>
            <w:tcW w:w="756" w:type="dxa"/>
            <w:tcMar>
              <w:top w:w="0" w:type="dxa"/>
              <w:left w:w="10" w:type="dxa"/>
              <w:right w:w="10" w:type="dxa"/>
            </w:tcMar>
            <w:vAlign w:val="center"/>
          </w:tcPr>
          <w:p w:rsidR="00095408" w:rsidRDefault="00095408">
            <w:pPr>
              <w:spacing w:after="160" w:line="259" w:lineRule="auto"/>
              <w:ind w:firstLine="0"/>
              <w:jc w:val="center"/>
              <w:rPr>
                <w:rFonts w:ascii="Arial" w:hAnsi="Arial" w:cs="Arial"/>
                <w:sz w:val="22"/>
              </w:rPr>
            </w:pPr>
          </w:p>
        </w:tc>
        <w:tc>
          <w:tcPr>
            <w:tcW w:w="758" w:type="dxa"/>
            <w:tcMar>
              <w:top w:w="0" w:type="dxa"/>
              <w:left w:w="10" w:type="dxa"/>
              <w:right w:w="10" w:type="dxa"/>
            </w:tcMar>
            <w:vAlign w:val="center"/>
          </w:tcPr>
          <w:p w:rsidR="00095408" w:rsidRDefault="00095408">
            <w:pPr>
              <w:spacing w:after="160" w:line="259" w:lineRule="auto"/>
              <w:ind w:firstLine="0"/>
              <w:jc w:val="center"/>
              <w:rPr>
                <w:rFonts w:ascii="Arial" w:hAnsi="Arial" w:cs="Arial"/>
                <w:sz w:val="22"/>
              </w:rPr>
            </w:pPr>
          </w:p>
        </w:tc>
        <w:tc>
          <w:tcPr>
            <w:tcW w:w="756" w:type="dxa"/>
            <w:tcMar>
              <w:top w:w="0" w:type="dxa"/>
              <w:left w:w="10" w:type="dxa"/>
              <w:right w:w="10" w:type="dxa"/>
            </w:tcMar>
            <w:vAlign w:val="center"/>
          </w:tcPr>
          <w:p w:rsidR="00095408" w:rsidRDefault="00095408">
            <w:pPr>
              <w:spacing w:after="160" w:line="259" w:lineRule="auto"/>
              <w:ind w:firstLine="0"/>
              <w:jc w:val="center"/>
              <w:rPr>
                <w:rFonts w:ascii="Arial" w:hAnsi="Arial" w:cs="Arial"/>
                <w:sz w:val="22"/>
              </w:rPr>
            </w:pPr>
          </w:p>
        </w:tc>
        <w:tc>
          <w:tcPr>
            <w:tcW w:w="758" w:type="dxa"/>
            <w:tcMar>
              <w:top w:w="0" w:type="dxa"/>
              <w:left w:w="10" w:type="dxa"/>
              <w:right w:w="10" w:type="dxa"/>
            </w:tcMar>
            <w:vAlign w:val="center"/>
          </w:tcPr>
          <w:p w:rsidR="00095408" w:rsidRDefault="00095408">
            <w:pPr>
              <w:spacing w:after="160" w:line="259" w:lineRule="auto"/>
              <w:ind w:firstLine="0"/>
              <w:jc w:val="center"/>
              <w:rPr>
                <w:rFonts w:ascii="Arial" w:hAnsi="Arial" w:cs="Arial"/>
                <w:sz w:val="22"/>
              </w:rPr>
            </w:pPr>
          </w:p>
        </w:tc>
        <w:tc>
          <w:tcPr>
            <w:tcW w:w="756" w:type="dxa"/>
            <w:tcMar>
              <w:top w:w="0" w:type="dxa"/>
              <w:left w:w="10" w:type="dxa"/>
              <w:right w:w="10" w:type="dxa"/>
            </w:tcMar>
            <w:vAlign w:val="center"/>
          </w:tcPr>
          <w:p w:rsidR="00095408" w:rsidRDefault="00095408">
            <w:pPr>
              <w:spacing w:after="160" w:line="259" w:lineRule="auto"/>
              <w:ind w:firstLine="0"/>
              <w:jc w:val="center"/>
              <w:rPr>
                <w:rFonts w:ascii="Arial" w:hAnsi="Arial" w:cs="Arial"/>
                <w:sz w:val="22"/>
              </w:rPr>
            </w:pPr>
          </w:p>
        </w:tc>
        <w:tc>
          <w:tcPr>
            <w:tcW w:w="758" w:type="dxa"/>
            <w:tcMar>
              <w:top w:w="0" w:type="dxa"/>
              <w:left w:w="10" w:type="dxa"/>
              <w:right w:w="10" w:type="dxa"/>
            </w:tcMar>
            <w:vAlign w:val="center"/>
          </w:tcPr>
          <w:p w:rsidR="00095408" w:rsidRDefault="00095408">
            <w:pPr>
              <w:spacing w:after="160" w:line="259" w:lineRule="auto"/>
              <w:ind w:firstLine="0"/>
              <w:jc w:val="center"/>
              <w:rPr>
                <w:rFonts w:ascii="Arial" w:hAnsi="Arial" w:cs="Arial"/>
                <w:sz w:val="22"/>
              </w:rPr>
            </w:pPr>
          </w:p>
        </w:tc>
      </w:tr>
      <w:tr w:rsidR="00095408">
        <w:trPr>
          <w:trHeight w:val="669"/>
        </w:trPr>
        <w:tc>
          <w:tcPr>
            <w:tcW w:w="1147"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b/>
                <w:bCs/>
                <w:sz w:val="22"/>
                <w:lang w:eastAsia="en-GB"/>
              </w:rPr>
            </w:pPr>
            <w:r>
              <w:rPr>
                <w:rFonts w:ascii="Arial" w:eastAsia="Times New Roman" w:hAnsi="Arial" w:cs="Arial"/>
                <w:b/>
                <w:bCs/>
                <w:sz w:val="22"/>
                <w:lang w:eastAsia="en-GB"/>
              </w:rPr>
              <w:t>Medium vessel</w:t>
            </w:r>
          </w:p>
        </w:tc>
        <w:tc>
          <w:tcPr>
            <w:tcW w:w="782"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hAnsi="Arial" w:cs="Arial"/>
                <w:color w:val="000000"/>
                <w:sz w:val="22"/>
              </w:rPr>
            </w:pPr>
            <w:r>
              <w:rPr>
                <w:rFonts w:ascii="Arial" w:eastAsia="Times New Roman" w:hAnsi="Arial" w:cs="Arial"/>
                <w:sz w:val="22"/>
                <w:lang w:eastAsia="en-GB"/>
              </w:rPr>
              <w:t>n.d.</w:t>
            </w:r>
          </w:p>
        </w:tc>
        <w:tc>
          <w:tcPr>
            <w:tcW w:w="782"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hAnsi="Arial" w:cs="Arial"/>
                <w:color w:val="000000"/>
                <w:sz w:val="22"/>
              </w:rPr>
            </w:pPr>
            <w:r>
              <w:rPr>
                <w:rFonts w:ascii="Arial" w:eastAsia="Times New Roman" w:hAnsi="Arial" w:cs="Arial"/>
                <w:sz w:val="22"/>
                <w:lang w:eastAsia="en-GB"/>
              </w:rPr>
              <w:t>n.d.</w:t>
            </w:r>
          </w:p>
        </w:tc>
        <w:tc>
          <w:tcPr>
            <w:tcW w:w="1060"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hAnsi="Arial" w:cs="Arial"/>
                <w:b/>
                <w:bCs/>
                <w:color w:val="000000"/>
                <w:sz w:val="22"/>
              </w:rPr>
            </w:pPr>
            <w:r>
              <w:rPr>
                <w:rFonts w:ascii="Arial" w:hAnsi="Arial" w:cs="Arial"/>
                <w:b/>
                <w:bCs/>
                <w:color w:val="000000"/>
                <w:sz w:val="22"/>
              </w:rPr>
              <w:t>[Ethanol]</w:t>
            </w:r>
          </w:p>
          <w:p w:rsidR="00095408" w:rsidRDefault="00A32BA2">
            <w:pPr>
              <w:spacing w:line="240" w:lineRule="auto"/>
              <w:ind w:firstLine="0"/>
              <w:jc w:val="center"/>
              <w:textAlignment w:val="bottom"/>
              <w:rPr>
                <w:rFonts w:ascii="Arial" w:hAnsi="Arial" w:cs="Arial"/>
                <w:color w:val="000000"/>
                <w:sz w:val="22"/>
              </w:rPr>
            </w:pPr>
            <w:r>
              <w:rPr>
                <w:rFonts w:ascii="Arial" w:hAnsi="Arial" w:cs="Arial"/>
                <w:color w:val="000000"/>
                <w:sz w:val="22"/>
              </w:rPr>
              <w:t>2200</w:t>
            </w:r>
          </w:p>
        </w:tc>
        <w:tc>
          <w:tcPr>
            <w:tcW w:w="973"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hAnsi="Arial" w:cs="Arial"/>
                <w:b/>
                <w:bCs/>
                <w:color w:val="000000"/>
                <w:sz w:val="22"/>
              </w:rPr>
            </w:pPr>
            <w:r>
              <w:rPr>
                <w:rFonts w:ascii="Arial" w:hAnsi="Arial" w:cs="Arial"/>
                <w:b/>
                <w:bCs/>
                <w:color w:val="000000"/>
                <w:sz w:val="22"/>
              </w:rPr>
              <w:t>[Ethanol]</w:t>
            </w:r>
          </w:p>
          <w:p w:rsidR="00095408" w:rsidRDefault="00A32BA2">
            <w:pPr>
              <w:spacing w:line="240" w:lineRule="auto"/>
              <w:ind w:firstLine="0"/>
              <w:jc w:val="center"/>
              <w:textAlignment w:val="bottom"/>
              <w:rPr>
                <w:rFonts w:ascii="Arial" w:hAnsi="Arial" w:cs="Arial"/>
                <w:color w:val="000000"/>
                <w:sz w:val="22"/>
              </w:rPr>
            </w:pPr>
            <w:r>
              <w:rPr>
                <w:rFonts w:ascii="Arial" w:hAnsi="Arial" w:cs="Arial"/>
                <w:color w:val="000000"/>
                <w:sz w:val="22"/>
              </w:rPr>
              <w:t>2176</w:t>
            </w:r>
          </w:p>
        </w:tc>
        <w:tc>
          <w:tcPr>
            <w:tcW w:w="787"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2589</w:t>
            </w:r>
          </w:p>
        </w:tc>
        <w:tc>
          <w:tcPr>
            <w:tcW w:w="787"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2641</w:t>
            </w:r>
          </w:p>
        </w:tc>
        <w:tc>
          <w:tcPr>
            <w:tcW w:w="776"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0.88</w:t>
            </w:r>
          </w:p>
        </w:tc>
        <w:tc>
          <w:tcPr>
            <w:tcW w:w="774"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0.88</w:t>
            </w:r>
          </w:p>
        </w:tc>
        <w:tc>
          <w:tcPr>
            <w:tcW w:w="772"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3"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c>
          <w:tcPr>
            <w:tcW w:w="756" w:type="dxa"/>
            <w:tcMar>
              <w:top w:w="0" w:type="dxa"/>
              <w:left w:w="10" w:type="dxa"/>
              <w:right w:w="10" w:type="dxa"/>
            </w:tcMar>
          </w:tcPr>
          <w:p w:rsidR="00095408" w:rsidRDefault="00095408">
            <w:pPr>
              <w:spacing w:line="0" w:lineRule="atLeast"/>
              <w:rPr>
                <w:sz w:val="2"/>
              </w:rPr>
            </w:pPr>
          </w:p>
        </w:tc>
        <w:tc>
          <w:tcPr>
            <w:tcW w:w="758" w:type="dxa"/>
            <w:tcMar>
              <w:top w:w="0" w:type="dxa"/>
              <w:left w:w="10" w:type="dxa"/>
              <w:right w:w="10" w:type="dxa"/>
            </w:tcMar>
          </w:tcPr>
          <w:p w:rsidR="00095408" w:rsidRDefault="00095408">
            <w:pPr>
              <w:spacing w:line="0" w:lineRule="atLeast"/>
              <w:rPr>
                <w:sz w:val="2"/>
              </w:rPr>
            </w:pPr>
          </w:p>
        </w:tc>
      </w:tr>
    </w:tbl>
    <w:p w:rsidR="00095408" w:rsidRDefault="00095408">
      <w:pPr>
        <w:pStyle w:val="normal-legend"/>
        <w:spacing w:after="120" w:line="240" w:lineRule="auto"/>
        <w:rPr>
          <w:rFonts w:ascii="Arial" w:hAnsi="Arial" w:cs="Arial"/>
          <w:b/>
          <w:bCs/>
          <w:sz w:val="22"/>
        </w:rPr>
      </w:pPr>
    </w:p>
    <w:p w:rsidR="00095408" w:rsidRDefault="00A32BA2">
      <w:pPr>
        <w:spacing w:after="160" w:line="259" w:lineRule="auto"/>
        <w:ind w:firstLine="0"/>
        <w:jc w:val="left"/>
        <w:rPr>
          <w:rFonts w:ascii="Arial" w:hAnsi="Arial" w:cs="Arial"/>
          <w:sz w:val="22"/>
        </w:rPr>
      </w:pPr>
      <w:r>
        <w:br w:type="page"/>
      </w:r>
    </w:p>
    <w:p w:rsidR="00095408" w:rsidRDefault="00A32BA2">
      <w:pPr>
        <w:spacing w:after="160" w:line="259" w:lineRule="auto"/>
        <w:ind w:firstLine="0"/>
        <w:jc w:val="left"/>
        <w:rPr>
          <w:rFonts w:ascii="Arial" w:hAnsi="Arial" w:cs="Arial"/>
          <w:b/>
          <w:bCs/>
          <w:sz w:val="22"/>
          <w:szCs w:val="20"/>
        </w:rPr>
      </w:pPr>
      <w:r>
        <w:rPr>
          <w:rFonts w:ascii="Arial" w:hAnsi="Arial" w:cs="Arial"/>
          <w:b/>
          <w:bCs/>
          <w:sz w:val="22"/>
          <w:szCs w:val="20"/>
        </w:rPr>
        <w:lastRenderedPageBreak/>
        <w:t>Table S4 – Externally determined pH, OD</w:t>
      </w:r>
      <w:r>
        <w:rPr>
          <w:rFonts w:ascii="Arial" w:hAnsi="Arial" w:cs="Arial"/>
          <w:b/>
          <w:bCs/>
          <w:sz w:val="22"/>
          <w:szCs w:val="20"/>
          <w:vertAlign w:val="subscript"/>
        </w:rPr>
        <w:t>660</w:t>
      </w:r>
      <w:r>
        <w:rPr>
          <w:rFonts w:ascii="Arial" w:hAnsi="Arial" w:cs="Arial"/>
          <w:b/>
          <w:bCs/>
          <w:sz w:val="22"/>
          <w:szCs w:val="20"/>
        </w:rPr>
        <w:t xml:space="preserve">, and extracellular metabolite analysis via HPLC obtained during the ‘quick pH ramp’ experiment with </w:t>
      </w:r>
      <w:r>
        <w:rPr>
          <w:rFonts w:ascii="Arial" w:hAnsi="Arial" w:cs="Arial"/>
          <w:b/>
          <w:bCs/>
          <w:i/>
          <w:iCs/>
          <w:sz w:val="22"/>
          <w:szCs w:val="20"/>
        </w:rPr>
        <w:t>S. cerevisiae</w:t>
      </w:r>
      <w:r>
        <w:rPr>
          <w:rFonts w:ascii="Arial" w:hAnsi="Arial" w:cs="Arial"/>
          <w:b/>
          <w:bCs/>
          <w:sz w:val="22"/>
          <w:szCs w:val="20"/>
        </w:rPr>
        <w:t xml:space="preserve"> IMK302 (</w:t>
      </w:r>
      <w:r>
        <w:rPr>
          <w:rFonts w:ascii="Arial" w:hAnsi="Arial" w:cs="Arial"/>
          <w:b/>
          <w:bCs/>
          <w:i/>
          <w:iCs/>
          <w:sz w:val="22"/>
          <w:szCs w:val="20"/>
        </w:rPr>
        <w:t>Δjen1</w:t>
      </w:r>
      <w:r>
        <w:rPr>
          <w:rFonts w:ascii="Arial" w:hAnsi="Arial" w:cs="Arial"/>
          <w:b/>
          <w:bCs/>
          <w:sz w:val="22"/>
          <w:szCs w:val="20"/>
        </w:rPr>
        <w:t>).</w:t>
      </w:r>
    </w:p>
    <w:p w:rsidR="00095408" w:rsidRDefault="00A32BA2">
      <w:pPr>
        <w:pStyle w:val="normal-legend"/>
        <w:spacing w:after="120" w:line="240" w:lineRule="auto"/>
        <w:rPr>
          <w:rFonts w:ascii="Arial" w:hAnsi="Arial" w:cs="Arial"/>
          <w:sz w:val="22"/>
        </w:rPr>
      </w:pPr>
      <w:r>
        <w:rPr>
          <w:rFonts w:ascii="Arial" w:hAnsi="Arial" w:cs="Arial"/>
          <w:sz w:val="22"/>
        </w:rPr>
        <w:t>The concentration values [square brackets] are expressed in mg per L of the culture medium. The values are of 2 independent e</w:t>
      </w:r>
      <w:r>
        <w:rPr>
          <w:rFonts w:ascii="Arial" w:hAnsi="Arial" w:cs="Arial"/>
          <w:sz w:val="22"/>
        </w:rPr>
        <w:t>xperiments (n=2). n.d. = not detected. In all samples the ethanol concentration was below the detection limit of the HPLC (&lt;2mg/L). The exact concentrations inside the medium vessels were also measured by HPLC (bottom line).</w:t>
      </w:r>
    </w:p>
    <w:p w:rsidR="00095408" w:rsidRDefault="00095408">
      <w:pPr>
        <w:pStyle w:val="normal-legend"/>
        <w:spacing w:after="120" w:line="240" w:lineRule="auto"/>
        <w:rPr>
          <w:rFonts w:ascii="Arial" w:hAnsi="Arial" w:cs="Arial"/>
          <w:sz w:val="22"/>
        </w:rPr>
      </w:pPr>
    </w:p>
    <w:tbl>
      <w:tblPr>
        <w:tblW w:w="16227" w:type="dxa"/>
        <w:tblLayout w:type="fixed"/>
        <w:tblCellMar>
          <w:top w:w="3" w:type="dxa"/>
          <w:left w:w="3" w:type="dxa"/>
          <w:right w:w="3" w:type="dxa"/>
        </w:tblCellMar>
        <w:tblLook w:val="0600" w:firstRow="0" w:lastRow="0" w:firstColumn="0" w:lastColumn="0" w:noHBand="1" w:noVBand="1"/>
      </w:tblPr>
      <w:tblGrid>
        <w:gridCol w:w="1152"/>
        <w:gridCol w:w="785"/>
        <w:gridCol w:w="787"/>
        <w:gridCol w:w="975"/>
        <w:gridCol w:w="974"/>
        <w:gridCol w:w="787"/>
        <w:gridCol w:w="787"/>
        <w:gridCol w:w="779"/>
        <w:gridCol w:w="777"/>
        <w:gridCol w:w="777"/>
        <w:gridCol w:w="779"/>
        <w:gridCol w:w="763"/>
        <w:gridCol w:w="764"/>
        <w:gridCol w:w="763"/>
        <w:gridCol w:w="763"/>
        <w:gridCol w:w="762"/>
        <w:gridCol w:w="763"/>
        <w:gridCol w:w="764"/>
        <w:gridCol w:w="763"/>
        <w:gridCol w:w="763"/>
      </w:tblGrid>
      <w:tr w:rsidR="00095408">
        <w:trPr>
          <w:trHeight w:val="268"/>
        </w:trPr>
        <w:tc>
          <w:tcPr>
            <w:tcW w:w="1152" w:type="dxa"/>
            <w:vMerge w:val="restart"/>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sz w:val="22"/>
                <w:szCs w:val="20"/>
                <w:lang w:eastAsia="en-GB"/>
              </w:rPr>
              <w:t>Time (h)</w:t>
            </w:r>
          </w:p>
        </w:tc>
        <w:tc>
          <w:tcPr>
            <w:tcW w:w="1572"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sz w:val="22"/>
                <w:lang w:eastAsia="en-GB"/>
              </w:rPr>
            </w:pPr>
            <w:r>
              <w:rPr>
                <w:rFonts w:ascii="Arial" w:eastAsia="Times New Roman" w:hAnsi="Arial" w:cs="Arial"/>
                <w:b/>
                <w:bCs/>
                <w:sz w:val="22"/>
                <w:lang w:eastAsia="en-GB"/>
              </w:rPr>
              <w:t>External pH</w:t>
            </w:r>
          </w:p>
        </w:tc>
        <w:tc>
          <w:tcPr>
            <w:tcW w:w="1949"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sz w:val="22"/>
                <w:vertAlign w:val="subscript"/>
                <w:lang w:eastAsia="en-GB"/>
              </w:rPr>
            </w:pPr>
            <w:r>
              <w:rPr>
                <w:rFonts w:ascii="Arial" w:eastAsia="Times New Roman" w:hAnsi="Arial" w:cs="Arial"/>
                <w:b/>
                <w:bCs/>
                <w:sz w:val="22"/>
                <w:lang w:eastAsia="en-GB"/>
              </w:rPr>
              <w:t>OD</w:t>
            </w:r>
            <w:r>
              <w:rPr>
                <w:rFonts w:ascii="Arial" w:eastAsia="Times New Roman" w:hAnsi="Arial" w:cs="Arial"/>
                <w:b/>
                <w:bCs/>
                <w:sz w:val="22"/>
                <w:vertAlign w:val="subscript"/>
                <w:lang w:eastAsia="en-GB"/>
              </w:rPr>
              <w:t>660</w:t>
            </w:r>
          </w:p>
          <w:p w:rsidR="00095408" w:rsidRDefault="00095408">
            <w:pPr>
              <w:spacing w:line="240" w:lineRule="auto"/>
              <w:ind w:firstLine="0"/>
              <w:jc w:val="center"/>
              <w:textAlignment w:val="bottom"/>
              <w:rPr>
                <w:rFonts w:ascii="Arial" w:eastAsia="Times New Roman" w:hAnsi="Arial" w:cs="Arial"/>
                <w:b/>
                <w:bCs/>
                <w:sz w:val="22"/>
                <w:lang w:eastAsia="en-GB"/>
              </w:rPr>
            </w:pPr>
          </w:p>
        </w:tc>
        <w:tc>
          <w:tcPr>
            <w:tcW w:w="1574"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b/>
                <w:bCs/>
                <w:color w:val="000000"/>
                <w:kern w:val="2"/>
                <w:sz w:val="22"/>
                <w:lang w:eastAsia="en-GB"/>
              </w:rPr>
              <w:t>[L-lactate]</w:t>
            </w:r>
          </w:p>
        </w:tc>
        <w:tc>
          <w:tcPr>
            <w:tcW w:w="1556"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b/>
                <w:bCs/>
                <w:color w:val="000000"/>
                <w:kern w:val="2"/>
                <w:sz w:val="22"/>
                <w:lang w:eastAsia="en-GB"/>
              </w:rPr>
              <w:t>[Pyruvate]</w:t>
            </w:r>
          </w:p>
        </w:tc>
        <w:tc>
          <w:tcPr>
            <w:tcW w:w="1556"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b/>
                <w:bCs/>
                <w:color w:val="000000"/>
                <w:kern w:val="2"/>
                <w:sz w:val="22"/>
                <w:lang w:eastAsia="en-GB"/>
              </w:rPr>
              <w:t>[Acetate]</w:t>
            </w: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2"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r>
      <w:tr w:rsidR="00095408">
        <w:trPr>
          <w:trHeight w:val="268"/>
        </w:trPr>
        <w:tc>
          <w:tcPr>
            <w:tcW w:w="1152" w:type="dxa"/>
            <w:vMerge/>
            <w:tcBorders>
              <w:top w:val="single" w:sz="8" w:space="0" w:color="70AD47"/>
              <w:left w:val="single" w:sz="8" w:space="0" w:color="70AD47"/>
              <w:bottom w:val="single" w:sz="8" w:space="0" w:color="70AD47"/>
              <w:right w:val="single" w:sz="8" w:space="0" w:color="70AD47"/>
            </w:tcBorders>
            <w:tcMar>
              <w:top w:w="0" w:type="dxa"/>
              <w:left w:w="10" w:type="dxa"/>
              <w:right w:w="10" w:type="dxa"/>
            </w:tcMar>
            <w:vAlign w:val="center"/>
          </w:tcPr>
          <w:p w:rsidR="00095408" w:rsidRDefault="00095408">
            <w:pPr>
              <w:spacing w:line="240" w:lineRule="auto"/>
              <w:ind w:firstLine="0"/>
              <w:rPr>
                <w:rFonts w:ascii="Arial" w:eastAsia="Times New Roman" w:hAnsi="Arial" w:cs="Arial"/>
                <w:lang w:eastAsia="en-GB"/>
              </w:rPr>
            </w:pPr>
          </w:p>
        </w:tc>
        <w:tc>
          <w:tcPr>
            <w:tcW w:w="785"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lang w:eastAsia="en-GB"/>
              </w:rPr>
              <w:t>R3</w:t>
            </w:r>
          </w:p>
        </w:tc>
        <w:tc>
          <w:tcPr>
            <w:tcW w:w="787"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color w:val="000000"/>
                <w:kern w:val="2"/>
                <w:sz w:val="22"/>
                <w:lang w:eastAsia="en-GB"/>
              </w:rPr>
              <w:t>R4</w:t>
            </w:r>
          </w:p>
        </w:tc>
        <w:tc>
          <w:tcPr>
            <w:tcW w:w="975"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lang w:eastAsia="en-GB"/>
              </w:rPr>
              <w:t>R3</w:t>
            </w:r>
          </w:p>
        </w:tc>
        <w:tc>
          <w:tcPr>
            <w:tcW w:w="974"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R4</w:t>
            </w:r>
          </w:p>
        </w:tc>
        <w:tc>
          <w:tcPr>
            <w:tcW w:w="787"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lang w:eastAsia="en-GB"/>
              </w:rPr>
              <w:t>R3</w:t>
            </w:r>
          </w:p>
        </w:tc>
        <w:tc>
          <w:tcPr>
            <w:tcW w:w="787"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R4</w:t>
            </w:r>
          </w:p>
        </w:tc>
        <w:tc>
          <w:tcPr>
            <w:tcW w:w="779"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lang w:eastAsia="en-GB"/>
              </w:rPr>
              <w:t>R3</w:t>
            </w:r>
          </w:p>
        </w:tc>
        <w:tc>
          <w:tcPr>
            <w:tcW w:w="777"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R4</w:t>
            </w:r>
          </w:p>
        </w:tc>
        <w:tc>
          <w:tcPr>
            <w:tcW w:w="777"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lang w:eastAsia="en-GB"/>
              </w:rPr>
              <w:t>R3</w:t>
            </w:r>
          </w:p>
        </w:tc>
        <w:tc>
          <w:tcPr>
            <w:tcW w:w="779"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R4</w:t>
            </w: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2"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r>
      <w:tr w:rsidR="00095408">
        <w:trPr>
          <w:trHeight w:val="536"/>
        </w:trPr>
        <w:tc>
          <w:tcPr>
            <w:tcW w:w="115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0</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sz w:val="22"/>
                <w:lang w:eastAsia="en-GB"/>
              </w:rPr>
            </w:pPr>
            <w:r>
              <w:rPr>
                <w:rFonts w:ascii="Arial" w:hAnsi="Arial" w:cs="Arial"/>
                <w:color w:val="000000"/>
                <w:sz w:val="22"/>
              </w:rPr>
              <w:t>6.76</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6.75</w:t>
            </w:r>
          </w:p>
        </w:tc>
        <w:tc>
          <w:tcPr>
            <w:tcW w:w="97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10.75</w:t>
            </w:r>
          </w:p>
        </w:tc>
        <w:tc>
          <w:tcPr>
            <w:tcW w:w="9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8.85</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2493</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2476</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28.18</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16.73</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2"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r>
      <w:tr w:rsidR="00095408">
        <w:trPr>
          <w:trHeight w:val="669"/>
        </w:trPr>
        <w:tc>
          <w:tcPr>
            <w:tcW w:w="115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1</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6.82</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6.81</w:t>
            </w:r>
          </w:p>
        </w:tc>
        <w:tc>
          <w:tcPr>
            <w:tcW w:w="97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10.57</w:t>
            </w:r>
          </w:p>
        </w:tc>
        <w:tc>
          <w:tcPr>
            <w:tcW w:w="9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9.35</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2500</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2485</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28.18</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15.85</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sz w:val="22"/>
                <w:lang w:eastAsia="en-GB"/>
              </w:rPr>
            </w:pPr>
            <w:r>
              <w:rPr>
                <w:rFonts w:ascii="Arial" w:eastAsia="Times New Roman" w:hAnsi="Arial" w:cs="Arial"/>
                <w:sz w:val="22"/>
                <w:lang w:eastAsia="en-GB"/>
              </w:rPr>
              <w:t>n.d.</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2"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r>
      <w:tr w:rsidR="00095408">
        <w:trPr>
          <w:trHeight w:val="536"/>
        </w:trPr>
        <w:tc>
          <w:tcPr>
            <w:tcW w:w="115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2</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6.82</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6.82</w:t>
            </w:r>
          </w:p>
        </w:tc>
        <w:tc>
          <w:tcPr>
            <w:tcW w:w="97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10.90</w:t>
            </w:r>
          </w:p>
        </w:tc>
        <w:tc>
          <w:tcPr>
            <w:tcW w:w="9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9.75</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2494</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2484</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27.30</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15.85</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2"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r>
      <w:tr w:rsidR="00095408">
        <w:trPr>
          <w:trHeight w:val="669"/>
        </w:trPr>
        <w:tc>
          <w:tcPr>
            <w:tcW w:w="115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3</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6.86</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6.86</w:t>
            </w:r>
          </w:p>
        </w:tc>
        <w:tc>
          <w:tcPr>
            <w:tcW w:w="97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9.60</w:t>
            </w:r>
          </w:p>
        </w:tc>
        <w:tc>
          <w:tcPr>
            <w:tcW w:w="9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8.80</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2500</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2495</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27.30</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15.85</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2"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r>
      <w:tr w:rsidR="00095408">
        <w:trPr>
          <w:trHeight w:val="669"/>
        </w:trPr>
        <w:tc>
          <w:tcPr>
            <w:tcW w:w="115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4</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6.92</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6.91</w:t>
            </w:r>
          </w:p>
        </w:tc>
        <w:tc>
          <w:tcPr>
            <w:tcW w:w="97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10.15</w:t>
            </w:r>
          </w:p>
        </w:tc>
        <w:tc>
          <w:tcPr>
            <w:tcW w:w="9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9.00</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2513</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2494</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27.30</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15.85</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2"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r>
      <w:tr w:rsidR="00095408">
        <w:trPr>
          <w:trHeight w:val="669"/>
        </w:trPr>
        <w:tc>
          <w:tcPr>
            <w:tcW w:w="115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5</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6.97</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6.95</w:t>
            </w:r>
          </w:p>
        </w:tc>
        <w:tc>
          <w:tcPr>
            <w:tcW w:w="97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9.50</w:t>
            </w:r>
          </w:p>
        </w:tc>
        <w:tc>
          <w:tcPr>
            <w:tcW w:w="9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9.00</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2522</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2501</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27.30</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15.85</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2"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r>
      <w:tr w:rsidR="00095408">
        <w:trPr>
          <w:trHeight w:val="669"/>
        </w:trPr>
        <w:tc>
          <w:tcPr>
            <w:tcW w:w="115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6</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7.02</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7.01</w:t>
            </w:r>
          </w:p>
        </w:tc>
        <w:tc>
          <w:tcPr>
            <w:tcW w:w="97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9.45</w:t>
            </w:r>
          </w:p>
        </w:tc>
        <w:tc>
          <w:tcPr>
            <w:tcW w:w="9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8.85</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2512</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2500</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26.42</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14.97</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2"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r>
      <w:tr w:rsidR="00095408">
        <w:trPr>
          <w:trHeight w:val="669"/>
        </w:trPr>
        <w:tc>
          <w:tcPr>
            <w:tcW w:w="115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7</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7.07</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7.07</w:t>
            </w:r>
          </w:p>
        </w:tc>
        <w:tc>
          <w:tcPr>
            <w:tcW w:w="97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10.15</w:t>
            </w:r>
          </w:p>
        </w:tc>
        <w:tc>
          <w:tcPr>
            <w:tcW w:w="9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9.30</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2530</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2498</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25.54</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14.97</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2"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r>
      <w:tr w:rsidR="00095408">
        <w:trPr>
          <w:trHeight w:val="669"/>
        </w:trPr>
        <w:tc>
          <w:tcPr>
            <w:tcW w:w="115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8</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7.11</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7.10</w:t>
            </w:r>
          </w:p>
        </w:tc>
        <w:tc>
          <w:tcPr>
            <w:tcW w:w="97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10.30</w:t>
            </w:r>
          </w:p>
        </w:tc>
        <w:tc>
          <w:tcPr>
            <w:tcW w:w="9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9.90</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2516</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2503</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25.54</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14.97</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2"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r>
      <w:tr w:rsidR="00095408">
        <w:trPr>
          <w:trHeight w:val="669"/>
        </w:trPr>
        <w:tc>
          <w:tcPr>
            <w:tcW w:w="115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9</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7.15</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7.14</w:t>
            </w:r>
          </w:p>
        </w:tc>
        <w:tc>
          <w:tcPr>
            <w:tcW w:w="97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10.80</w:t>
            </w:r>
          </w:p>
        </w:tc>
        <w:tc>
          <w:tcPr>
            <w:tcW w:w="9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9.70</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2538</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2506</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24.66</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14.09</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2"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r>
      <w:tr w:rsidR="00095408">
        <w:trPr>
          <w:trHeight w:val="669"/>
        </w:trPr>
        <w:tc>
          <w:tcPr>
            <w:tcW w:w="115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szCs w:val="20"/>
                <w:lang w:eastAsia="en-GB"/>
              </w:rPr>
            </w:pPr>
            <w:r>
              <w:rPr>
                <w:rFonts w:ascii="Arial" w:eastAsia="Times New Roman" w:hAnsi="Arial" w:cs="Arial"/>
                <w:sz w:val="22"/>
                <w:szCs w:val="20"/>
                <w:lang w:eastAsia="en-GB"/>
              </w:rPr>
              <w:t>10</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7.20</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7.19</w:t>
            </w:r>
          </w:p>
        </w:tc>
        <w:tc>
          <w:tcPr>
            <w:tcW w:w="97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9.73</w:t>
            </w:r>
          </w:p>
        </w:tc>
        <w:tc>
          <w:tcPr>
            <w:tcW w:w="97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9.50</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2532</w:t>
            </w:r>
          </w:p>
        </w:tc>
        <w:tc>
          <w:tcPr>
            <w:tcW w:w="78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2517</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24.66</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14.09</w:t>
            </w:r>
          </w:p>
        </w:tc>
        <w:tc>
          <w:tcPr>
            <w:tcW w:w="77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14.76</w:t>
            </w:r>
          </w:p>
        </w:tc>
        <w:tc>
          <w:tcPr>
            <w:tcW w:w="77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22.44</w:t>
            </w:r>
          </w:p>
        </w:tc>
        <w:tc>
          <w:tcPr>
            <w:tcW w:w="763" w:type="dxa"/>
            <w:tcMar>
              <w:top w:w="0" w:type="dxa"/>
              <w:left w:w="10" w:type="dxa"/>
              <w:right w:w="10" w:type="dxa"/>
            </w:tcMar>
            <w:vAlign w:val="center"/>
          </w:tcPr>
          <w:p w:rsidR="00095408" w:rsidRDefault="00095408">
            <w:pPr>
              <w:spacing w:after="160" w:line="259" w:lineRule="auto"/>
              <w:ind w:firstLine="0"/>
              <w:jc w:val="left"/>
            </w:pPr>
          </w:p>
        </w:tc>
        <w:tc>
          <w:tcPr>
            <w:tcW w:w="764" w:type="dxa"/>
            <w:tcMar>
              <w:top w:w="0" w:type="dxa"/>
              <w:left w:w="10" w:type="dxa"/>
              <w:right w:w="10" w:type="dxa"/>
            </w:tcMar>
            <w:vAlign w:val="center"/>
          </w:tcPr>
          <w:p w:rsidR="00095408" w:rsidRDefault="00095408">
            <w:pPr>
              <w:spacing w:after="160" w:line="259" w:lineRule="auto"/>
              <w:ind w:firstLine="0"/>
              <w:jc w:val="left"/>
            </w:pPr>
          </w:p>
        </w:tc>
        <w:tc>
          <w:tcPr>
            <w:tcW w:w="763" w:type="dxa"/>
            <w:tcMar>
              <w:top w:w="0" w:type="dxa"/>
              <w:left w:w="10" w:type="dxa"/>
              <w:right w:w="10" w:type="dxa"/>
            </w:tcMar>
            <w:vAlign w:val="center"/>
          </w:tcPr>
          <w:p w:rsidR="00095408" w:rsidRDefault="00095408">
            <w:pPr>
              <w:spacing w:after="160" w:line="259" w:lineRule="auto"/>
              <w:ind w:firstLine="0"/>
              <w:jc w:val="left"/>
            </w:pPr>
          </w:p>
        </w:tc>
        <w:tc>
          <w:tcPr>
            <w:tcW w:w="763" w:type="dxa"/>
            <w:tcMar>
              <w:top w:w="0" w:type="dxa"/>
              <w:left w:w="10" w:type="dxa"/>
              <w:right w:w="10" w:type="dxa"/>
            </w:tcMar>
            <w:vAlign w:val="center"/>
          </w:tcPr>
          <w:p w:rsidR="00095408" w:rsidRDefault="00095408">
            <w:pPr>
              <w:spacing w:after="160" w:line="259" w:lineRule="auto"/>
              <w:ind w:firstLine="0"/>
              <w:jc w:val="left"/>
            </w:pPr>
          </w:p>
        </w:tc>
        <w:tc>
          <w:tcPr>
            <w:tcW w:w="762" w:type="dxa"/>
            <w:tcMar>
              <w:top w:w="0" w:type="dxa"/>
              <w:left w:w="10" w:type="dxa"/>
              <w:right w:w="10" w:type="dxa"/>
            </w:tcMar>
            <w:vAlign w:val="center"/>
          </w:tcPr>
          <w:p w:rsidR="00095408" w:rsidRDefault="00095408">
            <w:pPr>
              <w:spacing w:after="160" w:line="259" w:lineRule="auto"/>
              <w:ind w:firstLine="0"/>
              <w:jc w:val="left"/>
            </w:pPr>
          </w:p>
        </w:tc>
        <w:tc>
          <w:tcPr>
            <w:tcW w:w="763" w:type="dxa"/>
            <w:tcMar>
              <w:top w:w="0" w:type="dxa"/>
              <w:left w:w="10" w:type="dxa"/>
              <w:right w:w="10" w:type="dxa"/>
            </w:tcMar>
            <w:vAlign w:val="center"/>
          </w:tcPr>
          <w:p w:rsidR="00095408" w:rsidRDefault="00095408">
            <w:pPr>
              <w:spacing w:after="160" w:line="259" w:lineRule="auto"/>
              <w:ind w:firstLine="0"/>
              <w:jc w:val="left"/>
            </w:pPr>
          </w:p>
        </w:tc>
        <w:tc>
          <w:tcPr>
            <w:tcW w:w="764" w:type="dxa"/>
            <w:tcMar>
              <w:top w:w="0" w:type="dxa"/>
              <w:left w:w="10" w:type="dxa"/>
              <w:right w:w="10" w:type="dxa"/>
            </w:tcMar>
            <w:vAlign w:val="center"/>
          </w:tcPr>
          <w:p w:rsidR="00095408" w:rsidRDefault="00095408">
            <w:pPr>
              <w:spacing w:after="160" w:line="259" w:lineRule="auto"/>
              <w:ind w:firstLine="0"/>
              <w:jc w:val="left"/>
            </w:pPr>
          </w:p>
        </w:tc>
        <w:tc>
          <w:tcPr>
            <w:tcW w:w="763" w:type="dxa"/>
            <w:tcMar>
              <w:top w:w="0" w:type="dxa"/>
              <w:left w:w="10" w:type="dxa"/>
              <w:right w:w="10" w:type="dxa"/>
            </w:tcMar>
            <w:vAlign w:val="center"/>
          </w:tcPr>
          <w:p w:rsidR="00095408" w:rsidRDefault="00095408">
            <w:pPr>
              <w:spacing w:after="160" w:line="259" w:lineRule="auto"/>
              <w:ind w:firstLine="0"/>
              <w:jc w:val="left"/>
            </w:pPr>
          </w:p>
        </w:tc>
        <w:tc>
          <w:tcPr>
            <w:tcW w:w="763" w:type="dxa"/>
            <w:tcMar>
              <w:top w:w="0" w:type="dxa"/>
              <w:left w:w="10" w:type="dxa"/>
              <w:right w:w="10" w:type="dxa"/>
            </w:tcMar>
            <w:vAlign w:val="center"/>
          </w:tcPr>
          <w:p w:rsidR="00095408" w:rsidRDefault="00095408">
            <w:pPr>
              <w:spacing w:after="160" w:line="259" w:lineRule="auto"/>
              <w:ind w:firstLine="0"/>
              <w:jc w:val="left"/>
            </w:pPr>
          </w:p>
        </w:tc>
      </w:tr>
      <w:tr w:rsidR="00095408">
        <w:trPr>
          <w:trHeight w:val="669"/>
        </w:trPr>
        <w:tc>
          <w:tcPr>
            <w:tcW w:w="1152"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b/>
                <w:bCs/>
                <w:sz w:val="22"/>
                <w:szCs w:val="20"/>
                <w:lang w:eastAsia="en-GB"/>
              </w:rPr>
            </w:pPr>
            <w:r>
              <w:rPr>
                <w:rFonts w:ascii="Arial" w:eastAsia="Times New Roman" w:hAnsi="Arial" w:cs="Arial"/>
                <w:b/>
                <w:bCs/>
                <w:sz w:val="22"/>
                <w:szCs w:val="20"/>
                <w:lang w:eastAsia="en-GB"/>
              </w:rPr>
              <w:t>Medium vessel</w:t>
            </w:r>
          </w:p>
        </w:tc>
        <w:tc>
          <w:tcPr>
            <w:tcW w:w="785"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hAnsi="Arial" w:cs="Arial"/>
                <w:color w:val="000000"/>
                <w:sz w:val="22"/>
              </w:rPr>
            </w:pPr>
            <w:r>
              <w:rPr>
                <w:rFonts w:ascii="Arial" w:eastAsia="Times New Roman" w:hAnsi="Arial" w:cs="Arial"/>
                <w:sz w:val="22"/>
                <w:lang w:eastAsia="en-GB"/>
              </w:rPr>
              <w:t>n.d.</w:t>
            </w:r>
          </w:p>
        </w:tc>
        <w:tc>
          <w:tcPr>
            <w:tcW w:w="787"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hAnsi="Arial" w:cs="Arial"/>
                <w:color w:val="000000"/>
                <w:sz w:val="22"/>
              </w:rPr>
            </w:pPr>
            <w:r>
              <w:rPr>
                <w:rFonts w:ascii="Arial" w:eastAsia="Times New Roman" w:hAnsi="Arial" w:cs="Arial"/>
                <w:sz w:val="22"/>
                <w:lang w:eastAsia="en-GB"/>
              </w:rPr>
              <w:t>n.d.</w:t>
            </w:r>
          </w:p>
        </w:tc>
        <w:tc>
          <w:tcPr>
            <w:tcW w:w="975"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hAnsi="Arial" w:cs="Arial"/>
                <w:b/>
                <w:bCs/>
                <w:color w:val="000000"/>
                <w:sz w:val="22"/>
              </w:rPr>
            </w:pPr>
            <w:r>
              <w:rPr>
                <w:rFonts w:ascii="Arial" w:hAnsi="Arial" w:cs="Arial"/>
                <w:b/>
                <w:bCs/>
                <w:color w:val="000000"/>
                <w:sz w:val="22"/>
              </w:rPr>
              <w:t>[Ethanol]</w:t>
            </w:r>
          </w:p>
          <w:p w:rsidR="00095408" w:rsidRDefault="00A32BA2">
            <w:pPr>
              <w:spacing w:line="240" w:lineRule="auto"/>
              <w:ind w:firstLine="0"/>
              <w:jc w:val="center"/>
              <w:rPr>
                <w:rFonts w:ascii="Arial" w:hAnsi="Arial" w:cs="Arial"/>
                <w:color w:val="000000"/>
                <w:sz w:val="22"/>
              </w:rPr>
            </w:pPr>
            <w:r>
              <w:rPr>
                <w:rFonts w:ascii="Arial" w:hAnsi="Arial" w:cs="Arial"/>
                <w:color w:val="000000"/>
                <w:sz w:val="22"/>
              </w:rPr>
              <w:t>2192</w:t>
            </w:r>
          </w:p>
        </w:tc>
        <w:tc>
          <w:tcPr>
            <w:tcW w:w="974"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hAnsi="Arial" w:cs="Arial"/>
                <w:b/>
                <w:bCs/>
                <w:color w:val="000000"/>
                <w:sz w:val="22"/>
              </w:rPr>
            </w:pPr>
            <w:r>
              <w:rPr>
                <w:rFonts w:ascii="Arial" w:hAnsi="Arial" w:cs="Arial"/>
                <w:b/>
                <w:bCs/>
                <w:color w:val="000000"/>
                <w:sz w:val="22"/>
              </w:rPr>
              <w:t>[Ethanol]</w:t>
            </w:r>
          </w:p>
          <w:p w:rsidR="00095408" w:rsidRDefault="00A32BA2">
            <w:pPr>
              <w:spacing w:line="240" w:lineRule="auto"/>
              <w:ind w:firstLine="0"/>
              <w:jc w:val="center"/>
              <w:textAlignment w:val="bottom"/>
              <w:rPr>
                <w:rFonts w:ascii="Arial" w:hAnsi="Arial" w:cs="Arial"/>
                <w:color w:val="000000"/>
                <w:sz w:val="22"/>
              </w:rPr>
            </w:pPr>
            <w:r>
              <w:rPr>
                <w:rFonts w:ascii="Arial" w:hAnsi="Arial" w:cs="Arial"/>
                <w:color w:val="000000"/>
                <w:sz w:val="22"/>
              </w:rPr>
              <w:t>2002</w:t>
            </w:r>
          </w:p>
        </w:tc>
        <w:tc>
          <w:tcPr>
            <w:tcW w:w="787"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2595</w:t>
            </w:r>
          </w:p>
        </w:tc>
        <w:tc>
          <w:tcPr>
            <w:tcW w:w="787"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2633</w:t>
            </w:r>
          </w:p>
        </w:tc>
        <w:tc>
          <w:tcPr>
            <w:tcW w:w="779"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0.88</w:t>
            </w:r>
          </w:p>
        </w:tc>
        <w:tc>
          <w:tcPr>
            <w:tcW w:w="777"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hAnsi="Arial" w:cs="Arial"/>
                <w:color w:val="000000"/>
                <w:sz w:val="22"/>
              </w:rPr>
              <w:t>0.88</w:t>
            </w:r>
          </w:p>
        </w:tc>
        <w:tc>
          <w:tcPr>
            <w:tcW w:w="777"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79"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sz w:val="22"/>
                <w:lang w:eastAsia="en-GB"/>
              </w:rPr>
            </w:pPr>
            <w:r>
              <w:rPr>
                <w:rFonts w:ascii="Arial" w:eastAsia="Times New Roman" w:hAnsi="Arial" w:cs="Arial"/>
                <w:sz w:val="22"/>
                <w:lang w:eastAsia="en-GB"/>
              </w:rPr>
              <w:t>n.d.</w:t>
            </w: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2"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4"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c>
          <w:tcPr>
            <w:tcW w:w="763" w:type="dxa"/>
            <w:tcMar>
              <w:top w:w="0" w:type="dxa"/>
              <w:left w:w="10" w:type="dxa"/>
              <w:right w:w="10" w:type="dxa"/>
            </w:tcMar>
          </w:tcPr>
          <w:p w:rsidR="00095408" w:rsidRDefault="00095408">
            <w:pPr>
              <w:spacing w:line="0" w:lineRule="atLeast"/>
              <w:rPr>
                <w:sz w:val="2"/>
              </w:rPr>
            </w:pPr>
          </w:p>
        </w:tc>
      </w:tr>
    </w:tbl>
    <w:p w:rsidR="00095408" w:rsidRDefault="00095408">
      <w:pPr>
        <w:pStyle w:val="normal-legend"/>
        <w:spacing w:after="120" w:line="240" w:lineRule="auto"/>
        <w:rPr>
          <w:rFonts w:ascii="Arial" w:hAnsi="Arial" w:cs="Arial"/>
          <w:b/>
          <w:bCs/>
          <w:sz w:val="22"/>
        </w:rPr>
      </w:pPr>
    </w:p>
    <w:p w:rsidR="00095408" w:rsidRDefault="00A32BA2">
      <w:pPr>
        <w:spacing w:after="160" w:line="259" w:lineRule="auto"/>
        <w:ind w:firstLine="0"/>
        <w:jc w:val="left"/>
        <w:rPr>
          <w:rFonts w:ascii="Arial" w:hAnsi="Arial" w:cs="Arial"/>
          <w:sz w:val="22"/>
        </w:rPr>
      </w:pPr>
      <w:r>
        <w:br w:type="page"/>
      </w:r>
    </w:p>
    <w:p w:rsidR="00095408" w:rsidRDefault="00A32BA2">
      <w:pPr>
        <w:pStyle w:val="Caption"/>
        <w:spacing w:after="0"/>
        <w:rPr>
          <w:rFonts w:ascii="Arial" w:hAnsi="Arial" w:cs="Arial"/>
          <w:b w:val="0"/>
          <w:bCs w:val="0"/>
          <w:sz w:val="22"/>
          <w:szCs w:val="22"/>
        </w:rPr>
      </w:pPr>
      <w:bookmarkStart w:id="5" w:name="_Toc109307591"/>
      <w:r>
        <w:rPr>
          <w:rFonts w:ascii="Arial" w:hAnsi="Arial" w:cs="Arial"/>
          <w:sz w:val="22"/>
          <w:szCs w:val="22"/>
        </w:rPr>
        <w:lastRenderedPageBreak/>
        <w:t xml:space="preserve">Table S5 </w:t>
      </w:r>
      <w:r>
        <w:rPr>
          <w:rFonts w:ascii="Arial" w:hAnsi="Arial" w:cs="Arial"/>
          <w:sz w:val="22"/>
        </w:rPr>
        <w:t>–</w:t>
      </w:r>
      <w:r>
        <w:rPr>
          <w:rFonts w:ascii="Arial" w:hAnsi="Arial" w:cs="Arial"/>
          <w:sz w:val="22"/>
          <w:szCs w:val="22"/>
        </w:rPr>
        <w:t xml:space="preserve"> Extracellular concentrations of ethanol and lactate obtained during the 'pH ramp'</w:t>
      </w:r>
      <w:r>
        <w:rPr>
          <w:rFonts w:ascii="Arial" w:hAnsi="Arial" w:cs="Arial"/>
          <w:sz w:val="22"/>
          <w:szCs w:val="22"/>
        </w:rPr>
        <w:t xml:space="preserve"> experiment with the CB270 Jen1-GFP strain.</w:t>
      </w:r>
      <w:bookmarkEnd w:id="5"/>
    </w:p>
    <w:p w:rsidR="00095408" w:rsidRDefault="00A32BA2">
      <w:pPr>
        <w:pStyle w:val="normal-legend"/>
        <w:spacing w:after="120" w:line="240" w:lineRule="auto"/>
        <w:rPr>
          <w:rFonts w:ascii="Arial" w:hAnsi="Arial" w:cs="Arial"/>
          <w:b/>
          <w:bCs/>
          <w:sz w:val="22"/>
        </w:rPr>
      </w:pPr>
      <w:r>
        <w:rPr>
          <w:rFonts w:ascii="Arial" w:hAnsi="Arial" w:cs="Arial"/>
          <w:sz w:val="22"/>
        </w:rPr>
        <w:t>The concentration values (C</w:t>
      </w:r>
      <w:r>
        <w:rPr>
          <w:rFonts w:ascii="Arial" w:hAnsi="Arial" w:cs="Arial"/>
          <w:sz w:val="22"/>
          <w:vertAlign w:val="subscript"/>
        </w:rPr>
        <w:t>out</w:t>
      </w:r>
      <w:r>
        <w:rPr>
          <w:rFonts w:ascii="Arial" w:hAnsi="Arial" w:cs="Arial"/>
          <w:sz w:val="22"/>
        </w:rPr>
        <w:t xml:space="preserve">) are expressed in mg of substrate (ethanol or lactate) per L of the culture medium (mg/L). The values are the mean of 2 independent experiments (n=2). s.d.  and n.d. represent </w:t>
      </w:r>
      <w:r>
        <w:rPr>
          <w:rFonts w:ascii="Arial" w:hAnsi="Arial" w:cs="Arial"/>
          <w:sz w:val="22"/>
        </w:rPr>
        <w:t>standard deviation and not detected, respectively. The exact concentration values of ethanol and lactate inside the medium vessels were also measured by HPLC (bottom line).</w:t>
      </w:r>
    </w:p>
    <w:tbl>
      <w:tblPr>
        <w:tblW w:w="9020" w:type="dxa"/>
        <w:tblLayout w:type="fixed"/>
        <w:tblCellMar>
          <w:top w:w="7" w:type="dxa"/>
          <w:left w:w="7" w:type="dxa"/>
          <w:right w:w="7" w:type="dxa"/>
        </w:tblCellMar>
        <w:tblLook w:val="0600" w:firstRow="0" w:lastRow="0" w:firstColumn="0" w:lastColumn="0" w:noHBand="1" w:noVBand="1"/>
      </w:tblPr>
      <w:tblGrid>
        <w:gridCol w:w="1800"/>
        <w:gridCol w:w="1799"/>
        <w:gridCol w:w="1801"/>
        <w:gridCol w:w="1799"/>
        <w:gridCol w:w="1821"/>
      </w:tblGrid>
      <w:tr w:rsidR="00095408">
        <w:trPr>
          <w:trHeight w:val="204"/>
        </w:trPr>
        <w:tc>
          <w:tcPr>
            <w:tcW w:w="9020" w:type="dxa"/>
            <w:gridSpan w:val="5"/>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C</w:t>
            </w:r>
            <w:r>
              <w:rPr>
                <w:rFonts w:ascii="Arial" w:eastAsia="Times New Roman" w:hAnsi="Arial" w:cs="Arial"/>
                <w:b/>
                <w:bCs/>
                <w:color w:val="000000"/>
                <w:kern w:val="2"/>
                <w:position w:val="-6"/>
                <w:sz w:val="22"/>
                <w:lang w:eastAsia="en-GB"/>
              </w:rPr>
              <w:t>out</w:t>
            </w:r>
            <w:r>
              <w:rPr>
                <w:rFonts w:ascii="Arial" w:eastAsia="Times New Roman" w:hAnsi="Arial" w:cs="Arial"/>
                <w:b/>
                <w:bCs/>
                <w:color w:val="000000"/>
                <w:kern w:val="2"/>
                <w:sz w:val="22"/>
                <w:lang w:eastAsia="en-GB"/>
              </w:rPr>
              <w:t xml:space="preserve"> </w:t>
            </w:r>
            <w:r>
              <w:rPr>
                <w:rFonts w:ascii="Arial" w:eastAsia="Times New Roman" w:hAnsi="Arial" w:cs="Arial"/>
                <w:color w:val="000000"/>
                <w:kern w:val="2"/>
                <w:sz w:val="22"/>
                <w:lang w:eastAsia="en-GB"/>
              </w:rPr>
              <w:t>(mg/L)</w:t>
            </w:r>
          </w:p>
        </w:tc>
      </w:tr>
      <w:tr w:rsidR="00095408">
        <w:trPr>
          <w:trHeight w:val="204"/>
        </w:trPr>
        <w:tc>
          <w:tcPr>
            <w:tcW w:w="1800" w:type="dxa"/>
            <w:vMerge w:val="restart"/>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External pH</w:t>
            </w:r>
          </w:p>
        </w:tc>
        <w:tc>
          <w:tcPr>
            <w:tcW w:w="3600"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[Ethanol]</w:t>
            </w:r>
          </w:p>
        </w:tc>
        <w:tc>
          <w:tcPr>
            <w:tcW w:w="3620"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[L-Lactate]</w:t>
            </w:r>
          </w:p>
        </w:tc>
      </w:tr>
      <w:tr w:rsidR="00095408">
        <w:trPr>
          <w:trHeight w:val="204"/>
        </w:trPr>
        <w:tc>
          <w:tcPr>
            <w:tcW w:w="1800" w:type="dxa"/>
            <w:vMerge/>
            <w:tcBorders>
              <w:top w:val="single" w:sz="8" w:space="0" w:color="70AD47"/>
              <w:left w:val="single" w:sz="8" w:space="0" w:color="70AD47"/>
              <w:bottom w:val="single" w:sz="8" w:space="0" w:color="70AD47"/>
              <w:right w:val="single" w:sz="8" w:space="0" w:color="70AD47"/>
            </w:tcBorders>
            <w:tcMar>
              <w:top w:w="0" w:type="dxa"/>
              <w:left w:w="10" w:type="dxa"/>
              <w:right w:w="10" w:type="dxa"/>
            </w:tcMar>
            <w:vAlign w:val="center"/>
          </w:tcPr>
          <w:p w:rsidR="00095408" w:rsidRDefault="00095408">
            <w:pPr>
              <w:spacing w:line="240" w:lineRule="auto"/>
              <w:ind w:firstLine="0"/>
              <w:rPr>
                <w:rFonts w:ascii="Arial" w:eastAsia="Times New Roman" w:hAnsi="Arial" w:cs="Arial"/>
                <w:lang w:eastAsia="en-GB"/>
              </w:rPr>
            </w:pPr>
          </w:p>
        </w:tc>
        <w:tc>
          <w:tcPr>
            <w:tcW w:w="179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Mean</w:t>
            </w:r>
          </w:p>
        </w:tc>
        <w:tc>
          <w:tcPr>
            <w:tcW w:w="1801"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s.d.</w:t>
            </w:r>
          </w:p>
        </w:tc>
        <w:tc>
          <w:tcPr>
            <w:tcW w:w="179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Mean</w:t>
            </w:r>
          </w:p>
        </w:tc>
        <w:tc>
          <w:tcPr>
            <w:tcW w:w="1821"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s.d.</w:t>
            </w:r>
          </w:p>
        </w:tc>
      </w:tr>
      <w:tr w:rsidR="00095408">
        <w:trPr>
          <w:trHeight w:val="403"/>
        </w:trPr>
        <w:tc>
          <w:tcPr>
            <w:tcW w:w="1800"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6.50</w:t>
            </w:r>
          </w:p>
        </w:tc>
        <w:tc>
          <w:tcPr>
            <w:tcW w:w="179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lang w:eastAsia="en-GB"/>
              </w:rPr>
              <w:t>n.d.</w:t>
            </w:r>
          </w:p>
        </w:tc>
        <w:tc>
          <w:tcPr>
            <w:tcW w:w="1801"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sz w:val="22"/>
                <w:lang w:eastAsia="en-GB"/>
              </w:rPr>
              <w:t>n.d.</w:t>
            </w:r>
          </w:p>
        </w:tc>
        <w:tc>
          <w:tcPr>
            <w:tcW w:w="179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color w:val="000000"/>
                <w:kern w:val="2"/>
                <w:sz w:val="22"/>
                <w:lang w:eastAsia="en-GB"/>
              </w:rPr>
              <w:t>13</w:t>
            </w:r>
          </w:p>
        </w:tc>
        <w:tc>
          <w:tcPr>
            <w:tcW w:w="1821"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1</w:t>
            </w:r>
          </w:p>
        </w:tc>
      </w:tr>
      <w:tr w:rsidR="00095408">
        <w:trPr>
          <w:trHeight w:val="403"/>
        </w:trPr>
        <w:tc>
          <w:tcPr>
            <w:tcW w:w="1800"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6.75</w:t>
            </w:r>
          </w:p>
        </w:tc>
        <w:tc>
          <w:tcPr>
            <w:tcW w:w="179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lang w:eastAsia="en-GB"/>
              </w:rPr>
              <w:t>n.d.</w:t>
            </w:r>
          </w:p>
        </w:tc>
        <w:tc>
          <w:tcPr>
            <w:tcW w:w="1801"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sz w:val="22"/>
                <w:lang w:eastAsia="en-GB"/>
              </w:rPr>
              <w:t>n.d.</w:t>
            </w:r>
          </w:p>
        </w:tc>
        <w:tc>
          <w:tcPr>
            <w:tcW w:w="179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color w:val="000000"/>
                <w:kern w:val="2"/>
                <w:sz w:val="22"/>
                <w:lang w:eastAsia="en-GB"/>
              </w:rPr>
              <w:t>6</w:t>
            </w:r>
          </w:p>
        </w:tc>
        <w:tc>
          <w:tcPr>
            <w:tcW w:w="1821"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1</w:t>
            </w:r>
          </w:p>
        </w:tc>
      </w:tr>
      <w:tr w:rsidR="00095408">
        <w:trPr>
          <w:trHeight w:val="403"/>
        </w:trPr>
        <w:tc>
          <w:tcPr>
            <w:tcW w:w="1800"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7.00</w:t>
            </w:r>
          </w:p>
        </w:tc>
        <w:tc>
          <w:tcPr>
            <w:tcW w:w="179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lang w:eastAsia="en-GB"/>
              </w:rPr>
              <w:t>n.d.</w:t>
            </w:r>
          </w:p>
        </w:tc>
        <w:tc>
          <w:tcPr>
            <w:tcW w:w="1801"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sz w:val="22"/>
                <w:lang w:eastAsia="en-GB"/>
              </w:rPr>
              <w:t>n.d.</w:t>
            </w:r>
          </w:p>
        </w:tc>
        <w:tc>
          <w:tcPr>
            <w:tcW w:w="179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color w:val="000000"/>
                <w:kern w:val="2"/>
                <w:sz w:val="22"/>
                <w:lang w:eastAsia="en-GB"/>
              </w:rPr>
              <w:t>9</w:t>
            </w:r>
          </w:p>
        </w:tc>
        <w:tc>
          <w:tcPr>
            <w:tcW w:w="1821"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1</w:t>
            </w:r>
          </w:p>
        </w:tc>
      </w:tr>
      <w:tr w:rsidR="00095408">
        <w:trPr>
          <w:trHeight w:val="403"/>
        </w:trPr>
        <w:tc>
          <w:tcPr>
            <w:tcW w:w="1800"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7.25</w:t>
            </w:r>
          </w:p>
        </w:tc>
        <w:tc>
          <w:tcPr>
            <w:tcW w:w="179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lang w:eastAsia="en-GB"/>
              </w:rPr>
              <w:t>n.d.</w:t>
            </w:r>
          </w:p>
        </w:tc>
        <w:tc>
          <w:tcPr>
            <w:tcW w:w="1801"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sz w:val="22"/>
                <w:lang w:eastAsia="en-GB"/>
              </w:rPr>
              <w:t>n.d.</w:t>
            </w:r>
          </w:p>
        </w:tc>
        <w:tc>
          <w:tcPr>
            <w:tcW w:w="179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color w:val="000000"/>
                <w:kern w:val="2"/>
                <w:sz w:val="22"/>
                <w:lang w:eastAsia="en-GB"/>
              </w:rPr>
              <w:t>52</w:t>
            </w:r>
          </w:p>
        </w:tc>
        <w:tc>
          <w:tcPr>
            <w:tcW w:w="1821"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23</w:t>
            </w:r>
          </w:p>
        </w:tc>
      </w:tr>
      <w:tr w:rsidR="00095408">
        <w:trPr>
          <w:trHeight w:val="403"/>
        </w:trPr>
        <w:tc>
          <w:tcPr>
            <w:tcW w:w="1800"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7.50</w:t>
            </w:r>
          </w:p>
        </w:tc>
        <w:tc>
          <w:tcPr>
            <w:tcW w:w="179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lang w:eastAsia="en-GB"/>
              </w:rPr>
            </w:pPr>
            <w:bookmarkStart w:id="6" w:name="_Hlk107596776"/>
            <w:r>
              <w:rPr>
                <w:rFonts w:ascii="Arial" w:eastAsia="Times New Roman" w:hAnsi="Arial" w:cs="Arial"/>
                <w:b/>
                <w:bCs/>
                <w:color w:val="000000"/>
                <w:kern w:val="2"/>
                <w:sz w:val="22"/>
                <w:lang w:eastAsia="en-GB"/>
              </w:rPr>
              <w:t>356</w:t>
            </w:r>
            <w:bookmarkEnd w:id="6"/>
          </w:p>
        </w:tc>
        <w:tc>
          <w:tcPr>
            <w:tcW w:w="1801"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72</w:t>
            </w:r>
          </w:p>
        </w:tc>
        <w:tc>
          <w:tcPr>
            <w:tcW w:w="179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color w:val="000000"/>
                <w:kern w:val="2"/>
                <w:sz w:val="22"/>
                <w:lang w:eastAsia="en-GB"/>
              </w:rPr>
              <w:t>494</w:t>
            </w:r>
          </w:p>
        </w:tc>
        <w:tc>
          <w:tcPr>
            <w:tcW w:w="1821"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101</w:t>
            </w:r>
          </w:p>
        </w:tc>
      </w:tr>
      <w:tr w:rsidR="00095408">
        <w:trPr>
          <w:trHeight w:val="403"/>
        </w:trPr>
        <w:tc>
          <w:tcPr>
            <w:tcW w:w="1800"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b/>
                <w:bCs/>
                <w:color w:val="000000"/>
                <w:kern w:val="2"/>
                <w:lang w:eastAsia="en-GB"/>
              </w:rPr>
            </w:pPr>
            <w:r>
              <w:rPr>
                <w:rFonts w:ascii="Arial" w:hAnsi="Arial" w:cs="Arial"/>
                <w:b/>
                <w:bCs/>
                <w:sz w:val="22"/>
              </w:rPr>
              <w:t>Medium vessel</w:t>
            </w:r>
          </w:p>
        </w:tc>
        <w:tc>
          <w:tcPr>
            <w:tcW w:w="1799"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hAnsi="Arial" w:cs="Arial"/>
                <w:b/>
                <w:bCs/>
              </w:rPr>
            </w:pPr>
            <w:r>
              <w:rPr>
                <w:rFonts w:ascii="Arial" w:hAnsi="Arial" w:cs="Arial"/>
                <w:b/>
                <w:bCs/>
                <w:sz w:val="22"/>
              </w:rPr>
              <w:t>2317</w:t>
            </w:r>
          </w:p>
          <w:p w:rsidR="00095408" w:rsidRDefault="00A32BA2">
            <w:pPr>
              <w:spacing w:line="240" w:lineRule="auto"/>
              <w:ind w:firstLine="0"/>
              <w:jc w:val="center"/>
              <w:textAlignment w:val="bottom"/>
              <w:rPr>
                <w:rFonts w:ascii="Arial" w:eastAsia="Times New Roman" w:hAnsi="Arial" w:cs="Arial"/>
                <w:color w:val="000000"/>
                <w:kern w:val="2"/>
                <w:lang w:eastAsia="en-GB"/>
              </w:rPr>
            </w:pPr>
            <w:r>
              <w:rPr>
                <w:rFonts w:ascii="Arial" w:hAnsi="Arial" w:cs="Arial"/>
                <w:sz w:val="22"/>
              </w:rPr>
              <w:t>(≈2.3 g/L)</w:t>
            </w:r>
          </w:p>
        </w:tc>
        <w:tc>
          <w:tcPr>
            <w:tcW w:w="1801"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color w:val="000000"/>
                <w:kern w:val="2"/>
                <w:lang w:eastAsia="en-GB"/>
              </w:rPr>
            </w:pPr>
            <w:r>
              <w:rPr>
                <w:rFonts w:ascii="Arial" w:hAnsi="Arial" w:cs="Arial"/>
                <w:sz w:val="22"/>
              </w:rPr>
              <w:t>0.014</w:t>
            </w:r>
          </w:p>
        </w:tc>
        <w:tc>
          <w:tcPr>
            <w:tcW w:w="1799"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hAnsi="Arial" w:cs="Arial"/>
                <w:b/>
                <w:bCs/>
              </w:rPr>
            </w:pPr>
            <w:r>
              <w:rPr>
                <w:rFonts w:ascii="Arial" w:hAnsi="Arial" w:cs="Arial"/>
                <w:b/>
                <w:bCs/>
                <w:sz w:val="22"/>
              </w:rPr>
              <w:t>2887</w:t>
            </w:r>
          </w:p>
          <w:p w:rsidR="00095408" w:rsidRDefault="00A32BA2">
            <w:pPr>
              <w:spacing w:line="240" w:lineRule="auto"/>
              <w:ind w:firstLine="0"/>
              <w:jc w:val="center"/>
              <w:textAlignment w:val="bottom"/>
              <w:rPr>
                <w:rFonts w:ascii="Arial" w:eastAsia="Times New Roman" w:hAnsi="Arial" w:cs="Arial"/>
                <w:b/>
                <w:bCs/>
                <w:color w:val="000000"/>
                <w:kern w:val="2"/>
                <w:lang w:eastAsia="en-GB"/>
              </w:rPr>
            </w:pPr>
            <w:r>
              <w:rPr>
                <w:rFonts w:ascii="Arial" w:hAnsi="Arial" w:cs="Arial"/>
                <w:sz w:val="22"/>
              </w:rPr>
              <w:t>(≈2.9 g/L)</w:t>
            </w:r>
          </w:p>
        </w:tc>
        <w:tc>
          <w:tcPr>
            <w:tcW w:w="1821" w:type="dxa"/>
            <w:tcBorders>
              <w:top w:val="single" w:sz="8" w:space="0" w:color="70AD47"/>
              <w:left w:val="single" w:sz="8" w:space="0" w:color="70AD47"/>
              <w:bottom w:val="single" w:sz="8" w:space="0" w:color="70AD47"/>
              <w:right w:val="single" w:sz="8" w:space="0" w:color="70AD47"/>
            </w:tcBorders>
            <w:shd w:val="clear" w:color="auto" w:fill="D9F2D0" w:themeFill="accent6" w:themeFillTint="33"/>
            <w:vAlign w:val="center"/>
          </w:tcPr>
          <w:p w:rsidR="00095408" w:rsidRDefault="00A32BA2">
            <w:pPr>
              <w:spacing w:line="240" w:lineRule="auto"/>
              <w:ind w:firstLine="0"/>
              <w:jc w:val="center"/>
              <w:textAlignment w:val="bottom"/>
              <w:rPr>
                <w:rFonts w:ascii="Arial" w:eastAsia="Times New Roman" w:hAnsi="Arial" w:cs="Arial"/>
                <w:color w:val="000000"/>
                <w:kern w:val="2"/>
                <w:lang w:eastAsia="en-GB"/>
              </w:rPr>
            </w:pPr>
            <w:r>
              <w:rPr>
                <w:rFonts w:ascii="Arial" w:hAnsi="Arial" w:cs="Arial"/>
                <w:sz w:val="22"/>
              </w:rPr>
              <w:t>0.056</w:t>
            </w:r>
          </w:p>
        </w:tc>
      </w:tr>
    </w:tbl>
    <w:p w:rsidR="00095408" w:rsidRDefault="00095408">
      <w:pPr>
        <w:pStyle w:val="Caption"/>
        <w:keepNext/>
        <w:rPr>
          <w:rFonts w:ascii="Arial" w:hAnsi="Arial" w:cs="Arial"/>
          <w:b w:val="0"/>
          <w:bCs w:val="0"/>
          <w:i/>
          <w:iCs/>
          <w:sz w:val="22"/>
          <w:szCs w:val="22"/>
        </w:rPr>
      </w:pPr>
    </w:p>
    <w:p w:rsidR="00095408" w:rsidRDefault="00A32BA2">
      <w:pPr>
        <w:spacing w:line="240" w:lineRule="auto"/>
        <w:ind w:firstLine="0"/>
        <w:rPr>
          <w:rFonts w:ascii="Arial" w:hAnsi="Arial" w:cs="Arial"/>
          <w:b/>
          <w:bCs/>
          <w:sz w:val="22"/>
        </w:rPr>
      </w:pPr>
      <w:r>
        <w:br w:type="page"/>
      </w:r>
    </w:p>
    <w:p w:rsidR="00095408" w:rsidRDefault="00A32BA2">
      <w:pPr>
        <w:pStyle w:val="Caption"/>
        <w:spacing w:after="0"/>
        <w:rPr>
          <w:rFonts w:ascii="Arial" w:hAnsi="Arial" w:cs="Arial"/>
          <w:b w:val="0"/>
          <w:bCs w:val="0"/>
          <w:sz w:val="22"/>
          <w:szCs w:val="22"/>
          <w:lang w:val="en-GB"/>
        </w:rPr>
      </w:pPr>
      <w:bookmarkStart w:id="7" w:name="_Toc109307592"/>
      <w:bookmarkStart w:id="8" w:name="_Toc109307593"/>
      <w:r>
        <w:rPr>
          <w:rFonts w:ascii="Arial" w:hAnsi="Arial" w:cs="Arial"/>
          <w:sz w:val="22"/>
          <w:szCs w:val="22"/>
        </w:rPr>
        <w:lastRenderedPageBreak/>
        <w:t xml:space="preserve">Tables S6 </w:t>
      </w:r>
      <w:r>
        <w:rPr>
          <w:rFonts w:ascii="Arial" w:hAnsi="Arial" w:cs="Arial"/>
          <w:sz w:val="22"/>
        </w:rPr>
        <w:t xml:space="preserve">– </w:t>
      </w:r>
      <w:bookmarkEnd w:id="7"/>
      <w:r>
        <w:rPr>
          <w:rFonts w:ascii="Arial" w:hAnsi="Arial" w:cs="Arial"/>
          <w:b w:val="0"/>
          <w:bCs w:val="0"/>
          <w:sz w:val="22"/>
          <w:szCs w:val="22"/>
          <w:lang w:val="en-GB"/>
        </w:rPr>
        <w:t>Dry weight (D.W., g/L) values obtained at different extracellular pH conditions during</w:t>
      </w:r>
      <w:r>
        <w:rPr>
          <w:rFonts w:ascii="Arial" w:hAnsi="Arial" w:cs="Arial"/>
          <w:sz w:val="22"/>
          <w:szCs w:val="22"/>
          <w:lang w:val="en-GB"/>
        </w:rPr>
        <w:t xml:space="preserve"> (A) </w:t>
      </w:r>
      <w:r>
        <w:rPr>
          <w:rFonts w:ascii="Arial" w:hAnsi="Arial" w:cs="Arial"/>
          <w:b w:val="0"/>
          <w:bCs w:val="0"/>
          <w:sz w:val="22"/>
          <w:szCs w:val="22"/>
          <w:lang w:val="en-GB"/>
        </w:rPr>
        <w:t>the pH ramp experiment (Fig. 2 of the manuscript) and</w:t>
      </w:r>
      <w:r>
        <w:rPr>
          <w:rFonts w:ascii="Arial" w:hAnsi="Arial" w:cs="Arial"/>
          <w:sz w:val="22"/>
          <w:szCs w:val="22"/>
          <w:lang w:val="en-GB"/>
        </w:rPr>
        <w:t xml:space="preserve"> (B) </w:t>
      </w:r>
      <w:r>
        <w:rPr>
          <w:rFonts w:ascii="Arial" w:hAnsi="Arial" w:cs="Arial"/>
          <w:b w:val="0"/>
          <w:bCs w:val="0"/>
          <w:sz w:val="22"/>
          <w:szCs w:val="22"/>
          <w:lang w:val="en-GB"/>
        </w:rPr>
        <w:t>steady-state continuous cultures (Fig. 3 of the manuscript). In panel A, values represent the means of two independent experiments (n = 2), and error bars indicate standard deviation (s.d.). In</w:t>
      </w:r>
      <w:r>
        <w:rPr>
          <w:rFonts w:ascii="Arial" w:hAnsi="Arial" w:cs="Arial"/>
          <w:b w:val="0"/>
          <w:bCs w:val="0"/>
          <w:sz w:val="22"/>
          <w:szCs w:val="22"/>
          <w:lang w:val="en-GB"/>
        </w:rPr>
        <w:t xml:space="preserve"> panel B, dry weight values from individual steady-state reactors are shown.</w:t>
      </w:r>
    </w:p>
    <w:tbl>
      <w:tblPr>
        <w:tblStyle w:val="GridTable4-Accent61"/>
        <w:tblW w:w="9125" w:type="dxa"/>
        <w:tblLayout w:type="fixed"/>
        <w:tblLook w:val="0600" w:firstRow="0" w:lastRow="0" w:firstColumn="0" w:lastColumn="0" w:noHBand="1" w:noVBand="1"/>
      </w:tblPr>
      <w:tblGrid>
        <w:gridCol w:w="1131"/>
        <w:gridCol w:w="31"/>
        <w:gridCol w:w="752"/>
        <w:gridCol w:w="57"/>
        <w:gridCol w:w="710"/>
        <w:gridCol w:w="28"/>
        <w:gridCol w:w="757"/>
        <w:gridCol w:w="51"/>
        <w:gridCol w:w="718"/>
        <w:gridCol w:w="21"/>
        <w:gridCol w:w="764"/>
        <w:gridCol w:w="44"/>
        <w:gridCol w:w="724"/>
        <w:gridCol w:w="15"/>
        <w:gridCol w:w="772"/>
        <w:gridCol w:w="37"/>
        <w:gridCol w:w="730"/>
        <w:gridCol w:w="236"/>
        <w:gridCol w:w="809"/>
        <w:gridCol w:w="738"/>
      </w:tblGrid>
      <w:tr w:rsidR="00095408" w:rsidTr="00095408">
        <w:trPr>
          <w:trHeight w:val="86"/>
        </w:trPr>
        <w:tc>
          <w:tcPr>
            <w:tcW w:w="9125" w:type="dxa"/>
            <w:gridSpan w:val="20"/>
            <w:shd w:val="clear" w:color="auto" w:fill="D9D9D9" w:themeFill="background1" w:themeFillShade="D9"/>
            <w:vAlign w:val="center"/>
          </w:tcPr>
          <w:p w:rsidR="00095408" w:rsidRDefault="00A32BA2">
            <w:pPr>
              <w:spacing w:line="240" w:lineRule="auto"/>
              <w:ind w:firstLine="0"/>
              <w:jc w:val="left"/>
              <w:textAlignment w:val="bottom"/>
              <w:rPr>
                <w:rFonts w:ascii="Arial" w:eastAsia="Times New Roman" w:hAnsi="Arial" w:cs="Arial"/>
                <w:b/>
                <w:bCs/>
                <w:kern w:val="2"/>
                <w:lang w:eastAsia="en-GB"/>
              </w:rPr>
            </w:pPr>
            <w:r>
              <w:rPr>
                <w:rFonts w:ascii="Arial" w:eastAsia="Times New Roman" w:hAnsi="Arial" w:cs="Arial"/>
                <w:b/>
                <w:bCs/>
                <w:kern w:val="2"/>
                <w:lang w:eastAsia="en-GB"/>
              </w:rPr>
              <w:t>A: pH ramp experiment</w:t>
            </w:r>
          </w:p>
        </w:tc>
      </w:tr>
      <w:tr w:rsidR="00095408" w:rsidTr="00095408">
        <w:trPr>
          <w:trHeight w:val="86"/>
        </w:trPr>
        <w:tc>
          <w:tcPr>
            <w:tcW w:w="1196"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External pH</w:t>
            </w:r>
          </w:p>
        </w:tc>
        <w:tc>
          <w:tcPr>
            <w:tcW w:w="1585" w:type="dxa"/>
            <w:gridSpan w:val="4"/>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6.50</w:t>
            </w:r>
          </w:p>
        </w:tc>
        <w:tc>
          <w:tcPr>
            <w:tcW w:w="1586" w:type="dxa"/>
            <w:gridSpan w:val="4"/>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6.75</w:t>
            </w:r>
          </w:p>
        </w:tc>
        <w:tc>
          <w:tcPr>
            <w:tcW w:w="1586" w:type="dxa"/>
            <w:gridSpan w:val="4"/>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7.00</w:t>
            </w:r>
          </w:p>
        </w:tc>
        <w:tc>
          <w:tcPr>
            <w:tcW w:w="1586" w:type="dxa"/>
            <w:gridSpan w:val="4"/>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7.25</w:t>
            </w:r>
          </w:p>
        </w:tc>
        <w:tc>
          <w:tcPr>
            <w:tcW w:w="1586"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7.50</w:t>
            </w:r>
          </w:p>
        </w:tc>
      </w:tr>
      <w:tr w:rsidR="00095408" w:rsidTr="00095408">
        <w:trPr>
          <w:trHeight w:val="86"/>
        </w:trPr>
        <w:tc>
          <w:tcPr>
            <w:tcW w:w="1196" w:type="dxa"/>
            <w:gridSpan w:val="2"/>
            <w:vAlign w:val="center"/>
          </w:tcPr>
          <w:p w:rsidR="00095408" w:rsidRDefault="00095408">
            <w:pPr>
              <w:spacing w:line="240" w:lineRule="auto"/>
              <w:ind w:firstLine="0"/>
              <w:jc w:val="center"/>
              <w:rPr>
                <w:rFonts w:ascii="Arial" w:eastAsia="Times New Roman" w:hAnsi="Arial" w:cs="Arial"/>
                <w:lang w:eastAsia="en-GB"/>
              </w:rPr>
            </w:pPr>
          </w:p>
        </w:tc>
        <w:tc>
          <w:tcPr>
            <w:tcW w:w="829"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Mean</w:t>
            </w:r>
          </w:p>
        </w:tc>
        <w:tc>
          <w:tcPr>
            <w:tcW w:w="756"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s.d.</w:t>
            </w:r>
          </w:p>
        </w:tc>
        <w:tc>
          <w:tcPr>
            <w:tcW w:w="829"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Mean</w:t>
            </w:r>
          </w:p>
        </w:tc>
        <w:tc>
          <w:tcPr>
            <w:tcW w:w="757"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s.d.</w:t>
            </w:r>
          </w:p>
        </w:tc>
        <w:tc>
          <w:tcPr>
            <w:tcW w:w="829"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Mean</w:t>
            </w:r>
          </w:p>
        </w:tc>
        <w:tc>
          <w:tcPr>
            <w:tcW w:w="757"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s.d.</w:t>
            </w:r>
          </w:p>
        </w:tc>
        <w:tc>
          <w:tcPr>
            <w:tcW w:w="829"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Mean</w:t>
            </w:r>
          </w:p>
        </w:tc>
        <w:tc>
          <w:tcPr>
            <w:tcW w:w="757"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s.d.</w:t>
            </w:r>
          </w:p>
        </w:tc>
        <w:tc>
          <w:tcPr>
            <w:tcW w:w="830" w:type="dxa"/>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Mean</w:t>
            </w:r>
          </w:p>
        </w:tc>
        <w:tc>
          <w:tcPr>
            <w:tcW w:w="756" w:type="dxa"/>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s.d.</w:t>
            </w:r>
          </w:p>
        </w:tc>
      </w:tr>
      <w:tr w:rsidR="00095408" w:rsidTr="00095408">
        <w:trPr>
          <w:trHeight w:val="250"/>
        </w:trPr>
        <w:tc>
          <w:tcPr>
            <w:tcW w:w="1196"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D.W.</w:t>
            </w:r>
            <w:r>
              <w:rPr>
                <w:rFonts w:ascii="Arial" w:eastAsia="Times New Roman" w:hAnsi="Arial" w:cs="Arial"/>
                <w:color w:val="000000"/>
                <w:kern w:val="2"/>
                <w:lang w:eastAsia="en-GB"/>
              </w:rPr>
              <w:t xml:space="preserve"> (g/L)</w:t>
            </w:r>
          </w:p>
        </w:tc>
        <w:tc>
          <w:tcPr>
            <w:tcW w:w="829"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2.33</w:t>
            </w:r>
          </w:p>
        </w:tc>
        <w:tc>
          <w:tcPr>
            <w:tcW w:w="756"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lang w:eastAsia="en-GB"/>
              </w:rPr>
              <w:t>0.00</w:t>
            </w:r>
          </w:p>
        </w:tc>
        <w:tc>
          <w:tcPr>
            <w:tcW w:w="829"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2.29</w:t>
            </w:r>
          </w:p>
        </w:tc>
        <w:tc>
          <w:tcPr>
            <w:tcW w:w="757"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lang w:eastAsia="en-GB"/>
              </w:rPr>
              <w:t>0.01</w:t>
            </w:r>
          </w:p>
        </w:tc>
        <w:tc>
          <w:tcPr>
            <w:tcW w:w="829"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2.34</w:t>
            </w:r>
          </w:p>
        </w:tc>
        <w:tc>
          <w:tcPr>
            <w:tcW w:w="757"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lang w:eastAsia="en-GB"/>
              </w:rPr>
              <w:t>0.01</w:t>
            </w:r>
          </w:p>
        </w:tc>
        <w:tc>
          <w:tcPr>
            <w:tcW w:w="829"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2.63</w:t>
            </w:r>
          </w:p>
        </w:tc>
        <w:tc>
          <w:tcPr>
            <w:tcW w:w="757"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lang w:eastAsia="en-GB"/>
              </w:rPr>
              <w:t>0.06</w:t>
            </w:r>
          </w:p>
        </w:tc>
        <w:tc>
          <w:tcPr>
            <w:tcW w:w="830" w:type="dxa"/>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1.51</w:t>
            </w:r>
          </w:p>
        </w:tc>
        <w:tc>
          <w:tcPr>
            <w:tcW w:w="756" w:type="dxa"/>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lang w:eastAsia="en-GB"/>
              </w:rPr>
              <w:t>0.18</w:t>
            </w:r>
          </w:p>
        </w:tc>
      </w:tr>
      <w:tr w:rsidR="00095408" w:rsidTr="00095408">
        <w:trPr>
          <w:trHeight w:val="86"/>
        </w:trPr>
        <w:tc>
          <w:tcPr>
            <w:tcW w:w="7531" w:type="dxa"/>
            <w:gridSpan w:val="17"/>
            <w:shd w:val="clear" w:color="auto" w:fill="D9D9D9" w:themeFill="background1" w:themeFillShade="D9"/>
            <w:vAlign w:val="center"/>
          </w:tcPr>
          <w:p w:rsidR="00095408" w:rsidRDefault="00A32BA2">
            <w:pPr>
              <w:spacing w:line="240" w:lineRule="auto"/>
              <w:ind w:firstLine="0"/>
              <w:jc w:val="left"/>
              <w:textAlignment w:val="bottom"/>
              <w:rPr>
                <w:rFonts w:ascii="Arial" w:eastAsia="Times New Roman" w:hAnsi="Arial" w:cs="Arial"/>
                <w:b/>
                <w:bCs/>
                <w:lang w:eastAsia="en-GB"/>
              </w:rPr>
            </w:pPr>
            <w:r>
              <w:rPr>
                <w:rFonts w:ascii="Arial" w:eastAsia="Times New Roman" w:hAnsi="Arial" w:cs="Arial"/>
                <w:b/>
                <w:bCs/>
                <w:kern w:val="2"/>
                <w:lang w:eastAsia="en-GB"/>
              </w:rPr>
              <w:t xml:space="preserve">B: </w:t>
            </w:r>
            <w:r>
              <w:rPr>
                <w:rFonts w:ascii="Arial" w:eastAsiaTheme="minorEastAsia" w:hAnsi="Arial" w:cs="Arial"/>
                <w:b/>
                <w:bCs/>
                <w:iCs/>
                <w:sz w:val="22"/>
                <w:lang w:eastAsia="en-GB"/>
              </w:rPr>
              <w:t>Steady-state continuous cultures</w:t>
            </w:r>
          </w:p>
        </w:tc>
        <w:tc>
          <w:tcPr>
            <w:tcW w:w="8" w:type="dxa"/>
            <w:tcBorders>
              <w:top w:val="nil"/>
              <w:left w:val="nil"/>
              <w:bottom w:val="nil"/>
              <w:right w:val="nil"/>
            </w:tcBorders>
          </w:tcPr>
          <w:p w:rsidR="00095408" w:rsidRDefault="00095408">
            <w:pPr>
              <w:spacing w:line="0" w:lineRule="atLeast"/>
              <w:rPr>
                <w:sz w:val="2"/>
              </w:rPr>
            </w:pPr>
          </w:p>
        </w:tc>
        <w:tc>
          <w:tcPr>
            <w:tcW w:w="830" w:type="dxa"/>
            <w:tcBorders>
              <w:top w:val="nil"/>
              <w:left w:val="nil"/>
              <w:bottom w:val="nil"/>
              <w:right w:val="nil"/>
            </w:tcBorders>
          </w:tcPr>
          <w:p w:rsidR="00095408" w:rsidRDefault="00095408">
            <w:pPr>
              <w:spacing w:line="0" w:lineRule="atLeast"/>
              <w:rPr>
                <w:sz w:val="2"/>
              </w:rPr>
            </w:pPr>
          </w:p>
        </w:tc>
        <w:tc>
          <w:tcPr>
            <w:tcW w:w="756" w:type="dxa"/>
            <w:tcBorders>
              <w:top w:val="nil"/>
              <w:left w:val="nil"/>
              <w:bottom w:val="nil"/>
              <w:right w:val="nil"/>
            </w:tcBorders>
          </w:tcPr>
          <w:p w:rsidR="00095408" w:rsidRDefault="00095408">
            <w:pPr>
              <w:spacing w:line="0" w:lineRule="atLeast"/>
              <w:rPr>
                <w:sz w:val="2"/>
              </w:rPr>
            </w:pPr>
          </w:p>
        </w:tc>
      </w:tr>
      <w:tr w:rsidR="00095408" w:rsidTr="00095408">
        <w:trPr>
          <w:trHeight w:val="86"/>
        </w:trPr>
        <w:tc>
          <w:tcPr>
            <w:tcW w:w="1164" w:type="dxa"/>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External pH</w:t>
            </w:r>
          </w:p>
        </w:tc>
        <w:tc>
          <w:tcPr>
            <w:tcW w:w="1589" w:type="dxa"/>
            <w:gridSpan w:val="4"/>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lang w:eastAsia="en-GB"/>
              </w:rPr>
              <w:t>6.0</w:t>
            </w:r>
          </w:p>
        </w:tc>
        <w:tc>
          <w:tcPr>
            <w:tcW w:w="1593" w:type="dxa"/>
            <w:gridSpan w:val="4"/>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lang w:eastAsia="en-GB"/>
              </w:rPr>
              <w:t>6.5</w:t>
            </w:r>
          </w:p>
        </w:tc>
        <w:tc>
          <w:tcPr>
            <w:tcW w:w="1592" w:type="dxa"/>
            <w:gridSpan w:val="4"/>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lang w:eastAsia="en-GB"/>
              </w:rPr>
              <w:t>7.0</w:t>
            </w:r>
          </w:p>
        </w:tc>
        <w:tc>
          <w:tcPr>
            <w:tcW w:w="1593" w:type="dxa"/>
            <w:gridSpan w:val="4"/>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lang w:eastAsia="en-GB"/>
              </w:rPr>
              <w:t>7.1</w:t>
            </w:r>
          </w:p>
        </w:tc>
        <w:tc>
          <w:tcPr>
            <w:tcW w:w="8" w:type="dxa"/>
            <w:tcBorders>
              <w:top w:val="nil"/>
              <w:left w:val="nil"/>
              <w:bottom w:val="nil"/>
              <w:right w:val="nil"/>
            </w:tcBorders>
          </w:tcPr>
          <w:p w:rsidR="00095408" w:rsidRDefault="00095408">
            <w:pPr>
              <w:spacing w:line="0" w:lineRule="atLeast"/>
              <w:rPr>
                <w:sz w:val="2"/>
              </w:rPr>
            </w:pPr>
          </w:p>
        </w:tc>
        <w:tc>
          <w:tcPr>
            <w:tcW w:w="830" w:type="dxa"/>
            <w:tcBorders>
              <w:top w:val="nil"/>
              <w:left w:val="nil"/>
              <w:bottom w:val="nil"/>
              <w:right w:val="nil"/>
            </w:tcBorders>
          </w:tcPr>
          <w:p w:rsidR="00095408" w:rsidRDefault="00095408">
            <w:pPr>
              <w:spacing w:line="0" w:lineRule="atLeast"/>
              <w:rPr>
                <w:sz w:val="2"/>
              </w:rPr>
            </w:pPr>
          </w:p>
        </w:tc>
        <w:tc>
          <w:tcPr>
            <w:tcW w:w="756" w:type="dxa"/>
            <w:tcBorders>
              <w:top w:val="nil"/>
              <w:left w:val="nil"/>
              <w:bottom w:val="nil"/>
              <w:right w:val="nil"/>
            </w:tcBorders>
          </w:tcPr>
          <w:p w:rsidR="00095408" w:rsidRDefault="00095408">
            <w:pPr>
              <w:spacing w:line="0" w:lineRule="atLeast"/>
              <w:rPr>
                <w:sz w:val="2"/>
              </w:rPr>
            </w:pPr>
          </w:p>
        </w:tc>
      </w:tr>
      <w:tr w:rsidR="00095408" w:rsidTr="00095408">
        <w:trPr>
          <w:trHeight w:val="86"/>
        </w:trPr>
        <w:tc>
          <w:tcPr>
            <w:tcW w:w="1164" w:type="dxa"/>
            <w:vAlign w:val="center"/>
          </w:tcPr>
          <w:p w:rsidR="00095408" w:rsidRDefault="00A32BA2">
            <w:pPr>
              <w:spacing w:line="240" w:lineRule="auto"/>
              <w:ind w:firstLine="0"/>
              <w:jc w:val="center"/>
              <w:rPr>
                <w:rFonts w:ascii="Arial" w:eastAsia="Times New Roman" w:hAnsi="Arial" w:cs="Arial"/>
                <w:lang w:eastAsia="en-GB"/>
              </w:rPr>
            </w:pPr>
            <w:r>
              <w:rPr>
                <w:rFonts w:ascii="Arial" w:eastAsia="Times New Roman" w:hAnsi="Arial" w:cs="Arial"/>
                <w:lang w:eastAsia="en-GB"/>
              </w:rPr>
              <w:t>Reactor</w:t>
            </w:r>
          </w:p>
        </w:tc>
        <w:tc>
          <w:tcPr>
            <w:tcW w:w="803"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R17</w:t>
            </w:r>
          </w:p>
        </w:tc>
        <w:tc>
          <w:tcPr>
            <w:tcW w:w="786"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R18</w:t>
            </w:r>
          </w:p>
        </w:tc>
        <w:tc>
          <w:tcPr>
            <w:tcW w:w="805"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R13</w:t>
            </w:r>
          </w:p>
        </w:tc>
        <w:tc>
          <w:tcPr>
            <w:tcW w:w="788"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R16</w:t>
            </w:r>
          </w:p>
        </w:tc>
        <w:tc>
          <w:tcPr>
            <w:tcW w:w="805"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R4</w:t>
            </w:r>
          </w:p>
        </w:tc>
        <w:tc>
          <w:tcPr>
            <w:tcW w:w="787"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R13</w:t>
            </w:r>
          </w:p>
        </w:tc>
        <w:tc>
          <w:tcPr>
            <w:tcW w:w="807"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R5</w:t>
            </w:r>
          </w:p>
        </w:tc>
        <w:tc>
          <w:tcPr>
            <w:tcW w:w="786"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R17</w:t>
            </w:r>
          </w:p>
        </w:tc>
        <w:tc>
          <w:tcPr>
            <w:tcW w:w="8" w:type="dxa"/>
            <w:tcBorders>
              <w:top w:val="nil"/>
              <w:left w:val="nil"/>
              <w:bottom w:val="nil"/>
              <w:right w:val="nil"/>
            </w:tcBorders>
          </w:tcPr>
          <w:p w:rsidR="00095408" w:rsidRDefault="00095408">
            <w:pPr>
              <w:spacing w:line="0" w:lineRule="atLeast"/>
              <w:rPr>
                <w:sz w:val="2"/>
              </w:rPr>
            </w:pPr>
          </w:p>
        </w:tc>
        <w:tc>
          <w:tcPr>
            <w:tcW w:w="830" w:type="dxa"/>
            <w:tcBorders>
              <w:top w:val="nil"/>
              <w:left w:val="nil"/>
              <w:bottom w:val="nil"/>
              <w:right w:val="nil"/>
            </w:tcBorders>
          </w:tcPr>
          <w:p w:rsidR="00095408" w:rsidRDefault="00095408">
            <w:pPr>
              <w:spacing w:line="0" w:lineRule="atLeast"/>
              <w:rPr>
                <w:sz w:val="2"/>
              </w:rPr>
            </w:pPr>
          </w:p>
        </w:tc>
        <w:tc>
          <w:tcPr>
            <w:tcW w:w="756" w:type="dxa"/>
            <w:tcBorders>
              <w:top w:val="nil"/>
              <w:left w:val="nil"/>
              <w:bottom w:val="nil"/>
              <w:right w:val="nil"/>
            </w:tcBorders>
          </w:tcPr>
          <w:p w:rsidR="00095408" w:rsidRDefault="00095408">
            <w:pPr>
              <w:spacing w:line="0" w:lineRule="atLeast"/>
              <w:rPr>
                <w:sz w:val="2"/>
              </w:rPr>
            </w:pPr>
          </w:p>
        </w:tc>
      </w:tr>
      <w:tr w:rsidR="00095408" w:rsidTr="00095408">
        <w:trPr>
          <w:trHeight w:val="250"/>
        </w:trPr>
        <w:tc>
          <w:tcPr>
            <w:tcW w:w="1164" w:type="dxa"/>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lang w:eastAsia="en-GB"/>
              </w:rPr>
              <w:t>D.W.</w:t>
            </w:r>
            <w:r>
              <w:rPr>
                <w:rFonts w:ascii="Arial" w:eastAsia="Times New Roman" w:hAnsi="Arial" w:cs="Arial"/>
                <w:color w:val="000000"/>
                <w:kern w:val="2"/>
                <w:lang w:eastAsia="en-GB"/>
              </w:rPr>
              <w:t xml:space="preserve"> (g/L)</w:t>
            </w:r>
          </w:p>
        </w:tc>
        <w:tc>
          <w:tcPr>
            <w:tcW w:w="803"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2.38</w:t>
            </w:r>
          </w:p>
        </w:tc>
        <w:tc>
          <w:tcPr>
            <w:tcW w:w="786"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2.39</w:t>
            </w:r>
          </w:p>
        </w:tc>
        <w:tc>
          <w:tcPr>
            <w:tcW w:w="805"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2.33</w:t>
            </w:r>
          </w:p>
        </w:tc>
        <w:tc>
          <w:tcPr>
            <w:tcW w:w="788"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2.33</w:t>
            </w:r>
          </w:p>
        </w:tc>
        <w:tc>
          <w:tcPr>
            <w:tcW w:w="805"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2.32</w:t>
            </w:r>
          </w:p>
        </w:tc>
        <w:tc>
          <w:tcPr>
            <w:tcW w:w="787"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2.13</w:t>
            </w:r>
          </w:p>
        </w:tc>
        <w:tc>
          <w:tcPr>
            <w:tcW w:w="807"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2.34</w:t>
            </w:r>
          </w:p>
        </w:tc>
        <w:tc>
          <w:tcPr>
            <w:tcW w:w="786" w:type="dxa"/>
            <w:gridSpan w:val="2"/>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lang w:eastAsia="en-GB"/>
              </w:rPr>
              <w:t>2.29</w:t>
            </w:r>
          </w:p>
        </w:tc>
        <w:tc>
          <w:tcPr>
            <w:tcW w:w="8" w:type="dxa"/>
            <w:tcBorders>
              <w:top w:val="nil"/>
              <w:left w:val="nil"/>
              <w:bottom w:val="nil"/>
              <w:right w:val="nil"/>
            </w:tcBorders>
          </w:tcPr>
          <w:p w:rsidR="00095408" w:rsidRDefault="00095408">
            <w:pPr>
              <w:spacing w:line="0" w:lineRule="atLeast"/>
              <w:rPr>
                <w:sz w:val="2"/>
              </w:rPr>
            </w:pPr>
          </w:p>
        </w:tc>
        <w:tc>
          <w:tcPr>
            <w:tcW w:w="830" w:type="dxa"/>
            <w:tcBorders>
              <w:top w:val="nil"/>
              <w:left w:val="nil"/>
              <w:bottom w:val="nil"/>
              <w:right w:val="nil"/>
            </w:tcBorders>
          </w:tcPr>
          <w:p w:rsidR="00095408" w:rsidRDefault="00095408">
            <w:pPr>
              <w:spacing w:line="0" w:lineRule="atLeast"/>
              <w:rPr>
                <w:sz w:val="2"/>
              </w:rPr>
            </w:pPr>
          </w:p>
        </w:tc>
        <w:tc>
          <w:tcPr>
            <w:tcW w:w="756" w:type="dxa"/>
            <w:tcBorders>
              <w:top w:val="nil"/>
              <w:left w:val="nil"/>
              <w:bottom w:val="nil"/>
              <w:right w:val="nil"/>
            </w:tcBorders>
          </w:tcPr>
          <w:p w:rsidR="00095408" w:rsidRDefault="00095408">
            <w:pPr>
              <w:spacing w:line="0" w:lineRule="atLeast"/>
              <w:rPr>
                <w:sz w:val="2"/>
              </w:rPr>
            </w:pPr>
          </w:p>
        </w:tc>
      </w:tr>
    </w:tbl>
    <w:p w:rsidR="00095408" w:rsidRDefault="00A32BA2">
      <w:pPr>
        <w:spacing w:after="160" w:line="259" w:lineRule="auto"/>
        <w:ind w:firstLine="0"/>
        <w:jc w:val="left"/>
        <w:rPr>
          <w:rFonts w:ascii="Arial" w:hAnsi="Arial" w:cs="Arial"/>
          <w:b/>
          <w:bCs/>
          <w:i/>
          <w:iCs/>
          <w:sz w:val="22"/>
        </w:rPr>
      </w:pPr>
      <w:r>
        <w:br w:type="page"/>
      </w:r>
    </w:p>
    <w:p w:rsidR="00095408" w:rsidRDefault="00A32BA2">
      <w:pPr>
        <w:pStyle w:val="Caption"/>
        <w:spacing w:after="0"/>
        <w:rPr>
          <w:rFonts w:ascii="Arial" w:hAnsi="Arial" w:cs="Arial"/>
          <w:b w:val="0"/>
          <w:bCs w:val="0"/>
          <w:sz w:val="22"/>
          <w:szCs w:val="22"/>
        </w:rPr>
      </w:pPr>
      <w:r>
        <w:rPr>
          <w:rFonts w:ascii="Arial" w:hAnsi="Arial" w:cs="Arial"/>
          <w:sz w:val="22"/>
          <w:szCs w:val="22"/>
        </w:rPr>
        <w:lastRenderedPageBreak/>
        <w:t xml:space="preserve">Table S7 </w:t>
      </w:r>
      <w:r>
        <w:rPr>
          <w:rFonts w:ascii="Arial" w:hAnsi="Arial" w:cs="Arial"/>
          <w:sz w:val="22"/>
        </w:rPr>
        <w:t xml:space="preserve">– </w:t>
      </w:r>
      <w:r>
        <w:rPr>
          <w:rFonts w:ascii="Arial" w:hAnsi="Arial" w:cs="Arial"/>
          <w:sz w:val="22"/>
          <w:szCs w:val="22"/>
        </w:rPr>
        <w:t xml:space="preserve">Extracellular concentrations of ethanol and lactate obtained for the steady </w:t>
      </w:r>
      <w:r>
        <w:rPr>
          <w:rFonts w:ascii="Arial" w:hAnsi="Arial" w:cs="Arial"/>
          <w:sz w:val="22"/>
          <w:szCs w:val="22"/>
        </w:rPr>
        <w:t>state cultures set up at different pHs (indicated).</w:t>
      </w:r>
      <w:bookmarkEnd w:id="8"/>
    </w:p>
    <w:p w:rsidR="00095408" w:rsidRDefault="00A32BA2">
      <w:pPr>
        <w:pStyle w:val="normal-legend"/>
        <w:spacing w:after="120" w:line="240" w:lineRule="auto"/>
        <w:rPr>
          <w:rFonts w:ascii="Arial" w:hAnsi="Arial" w:cs="Arial"/>
          <w:b/>
          <w:bCs/>
          <w:sz w:val="22"/>
        </w:rPr>
      </w:pPr>
      <w:r>
        <w:rPr>
          <w:rFonts w:ascii="Arial" w:hAnsi="Arial" w:cs="Arial"/>
          <w:sz w:val="22"/>
        </w:rPr>
        <w:t>The concentration values are expressed in mg of substrate (lactate or ethanol) per L of the culture medium (left) or per L of the medium (right). The values are the mean of at least 2 independent experime</w:t>
      </w:r>
      <w:r>
        <w:rPr>
          <w:rFonts w:ascii="Arial" w:hAnsi="Arial" w:cs="Arial"/>
          <w:sz w:val="22"/>
        </w:rPr>
        <w:t>nts (n≥2). s.d. and n.d. represent standard deviation and not detected, respectively</w:t>
      </w:r>
    </w:p>
    <w:tbl>
      <w:tblPr>
        <w:tblW w:w="8991" w:type="dxa"/>
        <w:tblLayout w:type="fixed"/>
        <w:tblCellMar>
          <w:top w:w="5" w:type="dxa"/>
          <w:left w:w="5" w:type="dxa"/>
          <w:right w:w="5" w:type="dxa"/>
        </w:tblCellMar>
        <w:tblLook w:val="0600" w:firstRow="0" w:lastRow="0" w:firstColumn="0" w:lastColumn="0" w:noHBand="1" w:noVBand="1"/>
      </w:tblPr>
      <w:tblGrid>
        <w:gridCol w:w="1003"/>
        <w:gridCol w:w="996"/>
        <w:gridCol w:w="998"/>
        <w:gridCol w:w="998"/>
        <w:gridCol w:w="1004"/>
        <w:gridCol w:w="998"/>
        <w:gridCol w:w="997"/>
        <w:gridCol w:w="998"/>
        <w:gridCol w:w="999"/>
      </w:tblGrid>
      <w:tr w:rsidR="00095408">
        <w:trPr>
          <w:trHeight w:val="74"/>
        </w:trPr>
        <w:tc>
          <w:tcPr>
            <w:tcW w:w="4999" w:type="dxa"/>
            <w:gridSpan w:val="5"/>
            <w:tcBorders>
              <w:top w:val="single" w:sz="8" w:space="0" w:color="70AD47"/>
              <w:left w:val="single" w:sz="8" w:space="0" w:color="70AD47"/>
              <w:bottom w:val="single" w:sz="8" w:space="0" w:color="70AD47"/>
              <w:right w:val="single" w:sz="18" w:space="0" w:color="385723"/>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C</w:t>
            </w:r>
            <w:r>
              <w:rPr>
                <w:rFonts w:ascii="Arial" w:eastAsia="Times New Roman" w:hAnsi="Arial" w:cs="Arial"/>
                <w:b/>
                <w:bCs/>
                <w:color w:val="000000"/>
                <w:kern w:val="2"/>
                <w:position w:val="-6"/>
                <w:sz w:val="22"/>
                <w:lang w:eastAsia="en-GB"/>
              </w:rPr>
              <w:t>out</w:t>
            </w:r>
            <w:r>
              <w:rPr>
                <w:rFonts w:ascii="Arial" w:eastAsia="Times New Roman" w:hAnsi="Arial" w:cs="Arial"/>
                <w:color w:val="000000"/>
                <w:kern w:val="2"/>
                <w:sz w:val="22"/>
                <w:lang w:eastAsia="en-GB"/>
              </w:rPr>
              <w:t xml:space="preserve"> (mg/L) – from </w:t>
            </w:r>
            <w:r>
              <w:rPr>
                <w:rFonts w:ascii="Arial" w:eastAsia="Times New Roman" w:hAnsi="Arial" w:cs="Arial"/>
                <w:b/>
                <w:bCs/>
                <w:color w:val="000000"/>
                <w:kern w:val="2"/>
                <w:sz w:val="22"/>
                <w:lang w:eastAsia="en-GB"/>
              </w:rPr>
              <w:t>culture medium</w:t>
            </w:r>
          </w:p>
        </w:tc>
        <w:tc>
          <w:tcPr>
            <w:tcW w:w="3992" w:type="dxa"/>
            <w:gridSpan w:val="4"/>
            <w:tcBorders>
              <w:top w:val="single" w:sz="8" w:space="0" w:color="70AD47"/>
              <w:left w:val="single" w:sz="18" w:space="0" w:color="385723"/>
              <w:bottom w:val="single" w:sz="8" w:space="0" w:color="70AD47"/>
              <w:right w:val="single" w:sz="8" w:space="0" w:color="70AD47"/>
            </w:tcBorders>
            <w:tcMar>
              <w:top w:w="15" w:type="dxa"/>
              <w:left w:w="15" w:type="dxa"/>
              <w:right w:w="15"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404040"/>
                <w:kern w:val="2"/>
                <w:sz w:val="22"/>
                <w:lang w:eastAsia="en-GB"/>
              </w:rPr>
              <w:t>C</w:t>
            </w:r>
            <w:r>
              <w:rPr>
                <w:rFonts w:ascii="Arial" w:eastAsia="Times New Roman" w:hAnsi="Arial" w:cs="Arial"/>
                <w:b/>
                <w:bCs/>
                <w:color w:val="404040"/>
                <w:kern w:val="2"/>
                <w:position w:val="-6"/>
                <w:sz w:val="22"/>
                <w:lang w:eastAsia="en-GB"/>
              </w:rPr>
              <w:t>out</w:t>
            </w:r>
            <w:r>
              <w:rPr>
                <w:rFonts w:ascii="Arial" w:eastAsia="Times New Roman" w:hAnsi="Arial" w:cs="Arial"/>
                <w:b/>
                <w:bCs/>
                <w:color w:val="404040"/>
                <w:kern w:val="2"/>
                <w:sz w:val="22"/>
                <w:lang w:eastAsia="en-GB"/>
              </w:rPr>
              <w:t xml:space="preserve"> </w:t>
            </w:r>
            <w:r>
              <w:rPr>
                <w:rFonts w:ascii="Arial" w:eastAsia="Times New Roman" w:hAnsi="Arial" w:cs="Arial"/>
                <w:color w:val="404040"/>
                <w:kern w:val="2"/>
                <w:sz w:val="22"/>
                <w:lang w:eastAsia="en-GB"/>
              </w:rPr>
              <w:t xml:space="preserve">(mg/L) – from </w:t>
            </w:r>
            <w:r>
              <w:rPr>
                <w:rFonts w:ascii="Arial" w:eastAsia="Times New Roman" w:hAnsi="Arial" w:cs="Arial"/>
                <w:b/>
                <w:bCs/>
                <w:color w:val="404040"/>
                <w:kern w:val="2"/>
                <w:sz w:val="22"/>
                <w:lang w:eastAsia="en-GB"/>
              </w:rPr>
              <w:t>medium vessel</w:t>
            </w:r>
          </w:p>
        </w:tc>
      </w:tr>
      <w:tr w:rsidR="00095408">
        <w:trPr>
          <w:trHeight w:val="112"/>
        </w:trPr>
        <w:tc>
          <w:tcPr>
            <w:tcW w:w="1003" w:type="dxa"/>
            <w:vMerge w:val="restart"/>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External pH</w:t>
            </w:r>
          </w:p>
        </w:tc>
        <w:tc>
          <w:tcPr>
            <w:tcW w:w="1994"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[Ethanol]</w:t>
            </w:r>
          </w:p>
        </w:tc>
        <w:tc>
          <w:tcPr>
            <w:tcW w:w="2002" w:type="dxa"/>
            <w:gridSpan w:val="2"/>
            <w:tcBorders>
              <w:top w:val="single" w:sz="8" w:space="0" w:color="70AD47"/>
              <w:left w:val="single" w:sz="8" w:space="0" w:color="70AD47"/>
              <w:bottom w:val="single" w:sz="8" w:space="0" w:color="70AD47"/>
              <w:right w:val="single" w:sz="18" w:space="0" w:color="385723"/>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[L-Lactate]</w:t>
            </w:r>
          </w:p>
        </w:tc>
        <w:tc>
          <w:tcPr>
            <w:tcW w:w="1995" w:type="dxa"/>
            <w:gridSpan w:val="2"/>
            <w:tcBorders>
              <w:top w:val="single" w:sz="8" w:space="0" w:color="70AD47"/>
              <w:left w:val="single" w:sz="18" w:space="0" w:color="385723"/>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color w:val="404040"/>
                <w:kern w:val="2"/>
                <w:sz w:val="22"/>
                <w:lang w:eastAsia="en-GB"/>
              </w:rPr>
              <w:t>[Ethanol]</w:t>
            </w:r>
          </w:p>
        </w:tc>
        <w:tc>
          <w:tcPr>
            <w:tcW w:w="1997"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color w:val="404040"/>
                <w:kern w:val="2"/>
                <w:sz w:val="22"/>
                <w:lang w:eastAsia="en-GB"/>
              </w:rPr>
              <w:t>[L-Lactate]</w:t>
            </w:r>
          </w:p>
        </w:tc>
      </w:tr>
      <w:tr w:rsidR="00095408">
        <w:trPr>
          <w:trHeight w:val="112"/>
        </w:trPr>
        <w:tc>
          <w:tcPr>
            <w:tcW w:w="1003" w:type="dxa"/>
            <w:vMerge/>
            <w:tcBorders>
              <w:top w:val="single" w:sz="8" w:space="0" w:color="70AD47"/>
              <w:left w:val="single" w:sz="8" w:space="0" w:color="70AD47"/>
              <w:bottom w:val="single" w:sz="8" w:space="0" w:color="70AD47"/>
              <w:right w:val="single" w:sz="8" w:space="0" w:color="70AD47"/>
            </w:tcBorders>
            <w:tcMar>
              <w:top w:w="0" w:type="dxa"/>
              <w:left w:w="10" w:type="dxa"/>
              <w:right w:w="22" w:type="dxa"/>
            </w:tcMar>
            <w:vAlign w:val="center"/>
          </w:tcPr>
          <w:p w:rsidR="00095408" w:rsidRDefault="00095408">
            <w:pPr>
              <w:spacing w:line="240" w:lineRule="auto"/>
              <w:ind w:firstLine="0"/>
              <w:rPr>
                <w:rFonts w:ascii="Arial" w:eastAsia="Times New Roman" w:hAnsi="Arial" w:cs="Arial"/>
                <w:lang w:eastAsia="en-GB"/>
              </w:rPr>
            </w:pPr>
          </w:p>
        </w:tc>
        <w:tc>
          <w:tcPr>
            <w:tcW w:w="9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Mean</w:t>
            </w:r>
          </w:p>
        </w:tc>
        <w:tc>
          <w:tcPr>
            <w:tcW w:w="99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s.d.</w:t>
            </w:r>
          </w:p>
        </w:tc>
        <w:tc>
          <w:tcPr>
            <w:tcW w:w="99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Mean</w:t>
            </w:r>
          </w:p>
        </w:tc>
        <w:tc>
          <w:tcPr>
            <w:tcW w:w="1004" w:type="dxa"/>
            <w:tcBorders>
              <w:top w:val="single" w:sz="8" w:space="0" w:color="70AD47"/>
              <w:left w:val="single" w:sz="8" w:space="0" w:color="70AD47"/>
              <w:bottom w:val="single" w:sz="8" w:space="0" w:color="70AD47"/>
              <w:right w:val="single" w:sz="18" w:space="0" w:color="385723"/>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s.d.</w:t>
            </w:r>
          </w:p>
        </w:tc>
        <w:tc>
          <w:tcPr>
            <w:tcW w:w="998" w:type="dxa"/>
            <w:tcBorders>
              <w:top w:val="single" w:sz="8" w:space="0" w:color="70AD47"/>
              <w:left w:val="single" w:sz="18" w:space="0" w:color="385723"/>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404040"/>
                <w:kern w:val="2"/>
                <w:sz w:val="22"/>
                <w:lang w:eastAsia="en-GB"/>
              </w:rPr>
              <w:t>Mean</w:t>
            </w:r>
          </w:p>
        </w:tc>
        <w:tc>
          <w:tcPr>
            <w:tcW w:w="997"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s.d.</w:t>
            </w:r>
          </w:p>
        </w:tc>
        <w:tc>
          <w:tcPr>
            <w:tcW w:w="99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404040"/>
                <w:kern w:val="2"/>
                <w:sz w:val="22"/>
                <w:lang w:eastAsia="en-GB"/>
              </w:rPr>
              <w:t>Mean</w:t>
            </w:r>
          </w:p>
        </w:tc>
        <w:tc>
          <w:tcPr>
            <w:tcW w:w="99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s.d.</w:t>
            </w:r>
          </w:p>
        </w:tc>
      </w:tr>
      <w:tr w:rsidR="00095408">
        <w:trPr>
          <w:trHeight w:val="133"/>
        </w:trPr>
        <w:tc>
          <w:tcPr>
            <w:tcW w:w="100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6.00</w:t>
            </w:r>
          </w:p>
        </w:tc>
        <w:tc>
          <w:tcPr>
            <w:tcW w:w="9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n.d.</w:t>
            </w:r>
          </w:p>
        </w:tc>
        <w:tc>
          <w:tcPr>
            <w:tcW w:w="99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w:t>
            </w:r>
          </w:p>
        </w:tc>
        <w:tc>
          <w:tcPr>
            <w:tcW w:w="99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10.795</w:t>
            </w:r>
          </w:p>
        </w:tc>
        <w:tc>
          <w:tcPr>
            <w:tcW w:w="1004" w:type="dxa"/>
            <w:tcBorders>
              <w:top w:val="single" w:sz="8" w:space="0" w:color="70AD47"/>
              <w:left w:val="single" w:sz="8" w:space="0" w:color="70AD47"/>
              <w:bottom w:val="single" w:sz="8" w:space="0" w:color="70AD47"/>
              <w:right w:val="single" w:sz="18" w:space="0" w:color="385723"/>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6.795</w:t>
            </w:r>
          </w:p>
        </w:tc>
        <w:tc>
          <w:tcPr>
            <w:tcW w:w="998" w:type="dxa"/>
            <w:tcBorders>
              <w:top w:val="single" w:sz="8" w:space="0" w:color="70AD47"/>
              <w:left w:val="single" w:sz="18" w:space="0" w:color="385723"/>
              <w:bottom w:val="single" w:sz="8" w:space="0" w:color="70AD47"/>
              <w:right w:val="single" w:sz="8" w:space="0" w:color="70AD47"/>
            </w:tcBorders>
            <w:tcMar>
              <w:top w:w="10" w:type="dxa"/>
              <w:left w:w="10" w:type="dxa"/>
              <w:right w:w="10"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2275</w:t>
            </w:r>
          </w:p>
        </w:tc>
        <w:tc>
          <w:tcPr>
            <w:tcW w:w="997" w:type="dxa"/>
            <w:tcBorders>
              <w:top w:val="single" w:sz="8" w:space="0" w:color="70AD47"/>
              <w:left w:val="single" w:sz="8" w:space="0" w:color="70AD47"/>
              <w:bottom w:val="single" w:sz="8" w:space="0" w:color="70AD47"/>
              <w:right w:val="single" w:sz="8" w:space="0" w:color="70AD47"/>
            </w:tcBorders>
            <w:tcMar>
              <w:top w:w="10" w:type="dxa"/>
              <w:left w:w="10" w:type="dxa"/>
              <w:right w:w="10"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30</w:t>
            </w:r>
          </w:p>
        </w:tc>
        <w:tc>
          <w:tcPr>
            <w:tcW w:w="998" w:type="dxa"/>
            <w:tcBorders>
              <w:top w:val="single" w:sz="8" w:space="0" w:color="70AD47"/>
              <w:left w:val="single" w:sz="8" w:space="0" w:color="70AD47"/>
              <w:bottom w:val="single" w:sz="8" w:space="0" w:color="70AD47"/>
              <w:right w:val="single" w:sz="8" w:space="0" w:color="70AD47"/>
            </w:tcBorders>
            <w:tcMar>
              <w:top w:w="10" w:type="dxa"/>
              <w:left w:w="10" w:type="dxa"/>
              <w:right w:w="10"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2834</w:t>
            </w:r>
          </w:p>
        </w:tc>
        <w:tc>
          <w:tcPr>
            <w:tcW w:w="999" w:type="dxa"/>
            <w:tcBorders>
              <w:top w:val="single" w:sz="8" w:space="0" w:color="70AD47"/>
              <w:left w:val="single" w:sz="8" w:space="0" w:color="70AD47"/>
              <w:bottom w:val="single" w:sz="8" w:space="0" w:color="70AD47"/>
              <w:right w:val="single" w:sz="8" w:space="0" w:color="70AD47"/>
            </w:tcBorders>
            <w:tcMar>
              <w:top w:w="10" w:type="dxa"/>
              <w:left w:w="10" w:type="dxa"/>
              <w:right w:w="10"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19</w:t>
            </w:r>
          </w:p>
        </w:tc>
      </w:tr>
      <w:tr w:rsidR="00095408">
        <w:trPr>
          <w:trHeight w:val="133"/>
        </w:trPr>
        <w:tc>
          <w:tcPr>
            <w:tcW w:w="100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6.50</w:t>
            </w:r>
          </w:p>
        </w:tc>
        <w:tc>
          <w:tcPr>
            <w:tcW w:w="9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n.d.</w:t>
            </w:r>
          </w:p>
        </w:tc>
        <w:tc>
          <w:tcPr>
            <w:tcW w:w="99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sz w:val="22"/>
                <w:lang w:eastAsia="en-GB"/>
              </w:rPr>
              <w:t>-</w:t>
            </w:r>
          </w:p>
        </w:tc>
        <w:tc>
          <w:tcPr>
            <w:tcW w:w="99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13.450</w:t>
            </w:r>
          </w:p>
        </w:tc>
        <w:tc>
          <w:tcPr>
            <w:tcW w:w="1004" w:type="dxa"/>
            <w:tcBorders>
              <w:top w:val="single" w:sz="8" w:space="0" w:color="70AD47"/>
              <w:left w:val="single" w:sz="8" w:space="0" w:color="70AD47"/>
              <w:bottom w:val="single" w:sz="8" w:space="0" w:color="70AD47"/>
              <w:right w:val="single" w:sz="18" w:space="0" w:color="385723"/>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0.636</w:t>
            </w:r>
          </w:p>
        </w:tc>
        <w:tc>
          <w:tcPr>
            <w:tcW w:w="998" w:type="dxa"/>
            <w:tcBorders>
              <w:top w:val="single" w:sz="8" w:space="0" w:color="70AD47"/>
              <w:left w:val="single" w:sz="18" w:space="0" w:color="385723"/>
              <w:bottom w:val="single" w:sz="8" w:space="0" w:color="70AD47"/>
              <w:right w:val="single" w:sz="8" w:space="0" w:color="70AD47"/>
            </w:tcBorders>
            <w:tcMar>
              <w:top w:w="10" w:type="dxa"/>
              <w:left w:w="10" w:type="dxa"/>
              <w:right w:w="10"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2317</w:t>
            </w:r>
          </w:p>
        </w:tc>
        <w:tc>
          <w:tcPr>
            <w:tcW w:w="997" w:type="dxa"/>
            <w:tcBorders>
              <w:top w:val="single" w:sz="8" w:space="0" w:color="70AD47"/>
              <w:left w:val="single" w:sz="8" w:space="0" w:color="70AD47"/>
              <w:bottom w:val="single" w:sz="8" w:space="0" w:color="70AD47"/>
              <w:right w:val="single" w:sz="8" w:space="0" w:color="70AD47"/>
            </w:tcBorders>
            <w:tcMar>
              <w:top w:w="10" w:type="dxa"/>
              <w:left w:w="10" w:type="dxa"/>
              <w:right w:w="10"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13</w:t>
            </w:r>
          </w:p>
        </w:tc>
        <w:tc>
          <w:tcPr>
            <w:tcW w:w="998" w:type="dxa"/>
            <w:tcBorders>
              <w:top w:val="single" w:sz="8" w:space="0" w:color="70AD47"/>
              <w:left w:val="single" w:sz="8" w:space="0" w:color="70AD47"/>
              <w:bottom w:val="single" w:sz="8" w:space="0" w:color="70AD47"/>
              <w:right w:val="single" w:sz="8" w:space="0" w:color="70AD47"/>
            </w:tcBorders>
            <w:tcMar>
              <w:top w:w="10" w:type="dxa"/>
              <w:left w:w="10" w:type="dxa"/>
              <w:right w:w="10"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2887</w:t>
            </w:r>
          </w:p>
        </w:tc>
        <w:tc>
          <w:tcPr>
            <w:tcW w:w="999" w:type="dxa"/>
            <w:tcBorders>
              <w:top w:val="single" w:sz="8" w:space="0" w:color="70AD47"/>
              <w:left w:val="single" w:sz="8" w:space="0" w:color="70AD47"/>
              <w:bottom w:val="single" w:sz="8" w:space="0" w:color="70AD47"/>
              <w:right w:val="single" w:sz="8" w:space="0" w:color="70AD47"/>
            </w:tcBorders>
            <w:tcMar>
              <w:top w:w="10" w:type="dxa"/>
              <w:left w:w="10" w:type="dxa"/>
              <w:right w:w="10"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56</w:t>
            </w:r>
          </w:p>
        </w:tc>
      </w:tr>
      <w:tr w:rsidR="00095408">
        <w:trPr>
          <w:trHeight w:val="133"/>
        </w:trPr>
        <w:tc>
          <w:tcPr>
            <w:tcW w:w="100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7.00</w:t>
            </w:r>
          </w:p>
        </w:tc>
        <w:tc>
          <w:tcPr>
            <w:tcW w:w="9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n.d.</w:t>
            </w:r>
          </w:p>
        </w:tc>
        <w:tc>
          <w:tcPr>
            <w:tcW w:w="99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sz w:val="22"/>
                <w:lang w:eastAsia="en-GB"/>
              </w:rPr>
              <w:t>-</w:t>
            </w:r>
          </w:p>
        </w:tc>
        <w:tc>
          <w:tcPr>
            <w:tcW w:w="99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33.800</w:t>
            </w:r>
          </w:p>
        </w:tc>
        <w:tc>
          <w:tcPr>
            <w:tcW w:w="1004" w:type="dxa"/>
            <w:tcBorders>
              <w:top w:val="single" w:sz="8" w:space="0" w:color="70AD47"/>
              <w:left w:val="single" w:sz="8" w:space="0" w:color="70AD47"/>
              <w:bottom w:val="single" w:sz="8" w:space="0" w:color="70AD47"/>
              <w:right w:val="single" w:sz="18" w:space="0" w:color="385723"/>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3.629</w:t>
            </w:r>
          </w:p>
        </w:tc>
        <w:tc>
          <w:tcPr>
            <w:tcW w:w="998" w:type="dxa"/>
            <w:tcBorders>
              <w:top w:val="single" w:sz="8" w:space="0" w:color="70AD47"/>
              <w:left w:val="single" w:sz="18" w:space="0" w:color="385723"/>
              <w:bottom w:val="single" w:sz="8" w:space="0" w:color="70AD47"/>
              <w:right w:val="single" w:sz="8" w:space="0" w:color="70AD47"/>
            </w:tcBorders>
            <w:tcMar>
              <w:top w:w="10" w:type="dxa"/>
              <w:left w:w="10" w:type="dxa"/>
              <w:right w:w="10"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2295</w:t>
            </w:r>
          </w:p>
        </w:tc>
        <w:tc>
          <w:tcPr>
            <w:tcW w:w="997" w:type="dxa"/>
            <w:tcBorders>
              <w:top w:val="single" w:sz="8" w:space="0" w:color="70AD47"/>
              <w:left w:val="single" w:sz="8" w:space="0" w:color="70AD47"/>
              <w:bottom w:val="single" w:sz="8" w:space="0" w:color="70AD47"/>
              <w:right w:val="single" w:sz="8" w:space="0" w:color="70AD47"/>
            </w:tcBorders>
            <w:tcMar>
              <w:top w:w="10" w:type="dxa"/>
              <w:left w:w="10" w:type="dxa"/>
              <w:right w:w="10"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14</w:t>
            </w:r>
          </w:p>
        </w:tc>
        <w:tc>
          <w:tcPr>
            <w:tcW w:w="998" w:type="dxa"/>
            <w:tcBorders>
              <w:top w:val="single" w:sz="8" w:space="0" w:color="70AD47"/>
              <w:left w:val="single" w:sz="8" w:space="0" w:color="70AD47"/>
              <w:bottom w:val="single" w:sz="8" w:space="0" w:color="70AD47"/>
              <w:right w:val="single" w:sz="8" w:space="0" w:color="70AD47"/>
            </w:tcBorders>
            <w:tcMar>
              <w:top w:w="10" w:type="dxa"/>
              <w:left w:w="10" w:type="dxa"/>
              <w:right w:w="10"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2804</w:t>
            </w:r>
          </w:p>
        </w:tc>
        <w:tc>
          <w:tcPr>
            <w:tcW w:w="999" w:type="dxa"/>
            <w:tcBorders>
              <w:top w:val="single" w:sz="8" w:space="0" w:color="70AD47"/>
              <w:left w:val="single" w:sz="8" w:space="0" w:color="70AD47"/>
              <w:bottom w:val="single" w:sz="8" w:space="0" w:color="70AD47"/>
              <w:right w:val="single" w:sz="8" w:space="0" w:color="70AD47"/>
            </w:tcBorders>
            <w:tcMar>
              <w:top w:w="10" w:type="dxa"/>
              <w:left w:w="10" w:type="dxa"/>
              <w:right w:w="10"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28</w:t>
            </w:r>
          </w:p>
        </w:tc>
      </w:tr>
      <w:tr w:rsidR="00095408">
        <w:trPr>
          <w:trHeight w:val="133"/>
        </w:trPr>
        <w:tc>
          <w:tcPr>
            <w:tcW w:w="1003"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7.10</w:t>
            </w:r>
          </w:p>
        </w:tc>
        <w:tc>
          <w:tcPr>
            <w:tcW w:w="9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n.d.</w:t>
            </w:r>
          </w:p>
        </w:tc>
        <w:tc>
          <w:tcPr>
            <w:tcW w:w="99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sz w:val="22"/>
                <w:lang w:eastAsia="en-GB"/>
              </w:rPr>
              <w:t>-</w:t>
            </w:r>
          </w:p>
        </w:tc>
        <w:tc>
          <w:tcPr>
            <w:tcW w:w="99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91.750</w:t>
            </w:r>
          </w:p>
        </w:tc>
        <w:tc>
          <w:tcPr>
            <w:tcW w:w="1004" w:type="dxa"/>
            <w:tcBorders>
              <w:top w:val="single" w:sz="8" w:space="0" w:color="70AD47"/>
              <w:left w:val="single" w:sz="8" w:space="0" w:color="70AD47"/>
              <w:bottom w:val="single" w:sz="8" w:space="0" w:color="70AD47"/>
              <w:right w:val="single" w:sz="18" w:space="0" w:color="385723"/>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10.253</w:t>
            </w:r>
          </w:p>
        </w:tc>
        <w:tc>
          <w:tcPr>
            <w:tcW w:w="998" w:type="dxa"/>
            <w:tcBorders>
              <w:top w:val="single" w:sz="8" w:space="0" w:color="70AD47"/>
              <w:left w:val="single" w:sz="18" w:space="0" w:color="385723"/>
              <w:bottom w:val="single" w:sz="8" w:space="0" w:color="70AD47"/>
              <w:right w:val="single" w:sz="8" w:space="0" w:color="70AD47"/>
            </w:tcBorders>
            <w:tcMar>
              <w:top w:w="10" w:type="dxa"/>
              <w:left w:w="10" w:type="dxa"/>
              <w:right w:w="10"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2294</w:t>
            </w:r>
          </w:p>
        </w:tc>
        <w:tc>
          <w:tcPr>
            <w:tcW w:w="997" w:type="dxa"/>
            <w:tcBorders>
              <w:top w:val="single" w:sz="8" w:space="0" w:color="70AD47"/>
              <w:left w:val="single" w:sz="8" w:space="0" w:color="70AD47"/>
              <w:bottom w:val="single" w:sz="8" w:space="0" w:color="70AD47"/>
              <w:right w:val="single" w:sz="8" w:space="0" w:color="70AD47"/>
            </w:tcBorders>
            <w:tcMar>
              <w:top w:w="10" w:type="dxa"/>
              <w:left w:w="10" w:type="dxa"/>
              <w:right w:w="10"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16</w:t>
            </w:r>
          </w:p>
        </w:tc>
        <w:tc>
          <w:tcPr>
            <w:tcW w:w="998" w:type="dxa"/>
            <w:tcBorders>
              <w:top w:val="single" w:sz="8" w:space="0" w:color="70AD47"/>
              <w:left w:val="single" w:sz="8" w:space="0" w:color="70AD47"/>
              <w:bottom w:val="single" w:sz="8" w:space="0" w:color="70AD47"/>
              <w:right w:val="single" w:sz="8" w:space="0" w:color="70AD47"/>
            </w:tcBorders>
            <w:tcMar>
              <w:top w:w="10" w:type="dxa"/>
              <w:left w:w="10" w:type="dxa"/>
              <w:right w:w="10"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2818</w:t>
            </w:r>
          </w:p>
        </w:tc>
        <w:tc>
          <w:tcPr>
            <w:tcW w:w="999" w:type="dxa"/>
            <w:tcBorders>
              <w:top w:val="single" w:sz="8" w:space="0" w:color="70AD47"/>
              <w:left w:val="single" w:sz="8" w:space="0" w:color="70AD47"/>
              <w:bottom w:val="single" w:sz="8" w:space="0" w:color="70AD47"/>
              <w:right w:val="single" w:sz="8" w:space="0" w:color="70AD47"/>
            </w:tcBorders>
            <w:tcMar>
              <w:top w:w="10" w:type="dxa"/>
              <w:left w:w="10" w:type="dxa"/>
              <w:right w:w="10"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404040"/>
                <w:kern w:val="2"/>
                <w:sz w:val="22"/>
                <w:lang w:eastAsia="en-GB"/>
              </w:rPr>
              <w:t>29</w:t>
            </w:r>
          </w:p>
        </w:tc>
      </w:tr>
    </w:tbl>
    <w:p w:rsidR="00095408" w:rsidRDefault="00A32BA2">
      <w:pPr>
        <w:spacing w:line="240" w:lineRule="auto"/>
        <w:ind w:firstLine="0"/>
        <w:rPr>
          <w:rFonts w:ascii="Arial" w:hAnsi="Arial" w:cs="Arial"/>
          <w:b/>
          <w:bCs/>
          <w:sz w:val="22"/>
        </w:rPr>
      </w:pPr>
      <w:r>
        <w:br w:type="page"/>
      </w:r>
    </w:p>
    <w:p w:rsidR="00095408" w:rsidRDefault="00A32BA2">
      <w:pPr>
        <w:pStyle w:val="Caption"/>
        <w:spacing w:after="0"/>
        <w:rPr>
          <w:rFonts w:ascii="Arial" w:hAnsi="Arial" w:cs="Arial"/>
          <w:b w:val="0"/>
          <w:bCs w:val="0"/>
          <w:sz w:val="22"/>
          <w:szCs w:val="22"/>
        </w:rPr>
      </w:pPr>
      <w:bookmarkStart w:id="9" w:name="_Toc109307595"/>
      <w:r>
        <w:rPr>
          <w:rFonts w:ascii="Arial" w:hAnsi="Arial" w:cs="Arial"/>
          <w:sz w:val="22"/>
          <w:szCs w:val="22"/>
        </w:rPr>
        <w:lastRenderedPageBreak/>
        <w:t xml:space="preserve">Table S8 </w:t>
      </w:r>
      <w:r>
        <w:rPr>
          <w:rFonts w:ascii="Arial" w:hAnsi="Arial" w:cs="Arial"/>
          <w:sz w:val="22"/>
        </w:rPr>
        <w:t>–</w:t>
      </w:r>
      <w:r>
        <w:rPr>
          <w:rFonts w:ascii="Arial" w:hAnsi="Arial" w:cs="Arial"/>
          <w:sz w:val="22"/>
          <w:szCs w:val="22"/>
        </w:rPr>
        <w:t xml:space="preserve"> Extracellular concentrations of metabolites obtained for the steady state cultures set up at different pHs (indicated).</w:t>
      </w:r>
      <w:bookmarkEnd w:id="9"/>
    </w:p>
    <w:p w:rsidR="00095408" w:rsidRDefault="00A32BA2">
      <w:pPr>
        <w:pStyle w:val="normal-legend"/>
        <w:spacing w:after="120" w:line="240" w:lineRule="auto"/>
        <w:rPr>
          <w:rFonts w:ascii="Arial" w:hAnsi="Arial" w:cs="Arial"/>
          <w:b/>
          <w:bCs/>
          <w:sz w:val="22"/>
        </w:rPr>
      </w:pPr>
      <w:r>
        <w:rPr>
          <w:rFonts w:ascii="Arial" w:hAnsi="Arial" w:cs="Arial"/>
          <w:sz w:val="22"/>
        </w:rPr>
        <w:t xml:space="preserve">The concentration values are expressed in mg of substrate per L of the culture medium. The values are the mean of at least 2 </w:t>
      </w:r>
      <w:r>
        <w:rPr>
          <w:rFonts w:ascii="Arial" w:hAnsi="Arial" w:cs="Arial"/>
          <w:sz w:val="22"/>
        </w:rPr>
        <w:t>independent experiments (n≥2). n.d. represent standard deviation and not detected, respectively</w:t>
      </w:r>
    </w:p>
    <w:tbl>
      <w:tblPr>
        <w:tblW w:w="9162" w:type="dxa"/>
        <w:tblLayout w:type="fixed"/>
        <w:tblCellMar>
          <w:top w:w="3" w:type="dxa"/>
          <w:left w:w="3" w:type="dxa"/>
          <w:right w:w="3" w:type="dxa"/>
        </w:tblCellMar>
        <w:tblLook w:val="0600" w:firstRow="0" w:lastRow="0" w:firstColumn="0" w:lastColumn="0" w:noHBand="1" w:noVBand="1"/>
      </w:tblPr>
      <w:tblGrid>
        <w:gridCol w:w="1159"/>
        <w:gridCol w:w="796"/>
        <w:gridCol w:w="796"/>
        <w:gridCol w:w="888"/>
        <w:gridCol w:w="796"/>
        <w:gridCol w:w="794"/>
        <w:gridCol w:w="796"/>
        <w:gridCol w:w="785"/>
        <w:gridCol w:w="782"/>
        <w:gridCol w:w="784"/>
        <w:gridCol w:w="786"/>
      </w:tblGrid>
      <w:tr w:rsidR="00095408">
        <w:trPr>
          <w:trHeight w:val="268"/>
        </w:trPr>
        <w:tc>
          <w:tcPr>
            <w:tcW w:w="9162" w:type="dxa"/>
            <w:gridSpan w:val="11"/>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C</w:t>
            </w:r>
            <w:r>
              <w:rPr>
                <w:rFonts w:ascii="Arial" w:eastAsia="Times New Roman" w:hAnsi="Arial" w:cs="Arial"/>
                <w:b/>
                <w:bCs/>
                <w:color w:val="000000"/>
                <w:kern w:val="2"/>
                <w:position w:val="-6"/>
                <w:sz w:val="22"/>
                <w:lang w:eastAsia="en-GB"/>
              </w:rPr>
              <w:t>out</w:t>
            </w:r>
            <w:r>
              <w:rPr>
                <w:rFonts w:ascii="Arial" w:eastAsia="Times New Roman" w:hAnsi="Arial" w:cs="Arial"/>
                <w:b/>
                <w:bCs/>
                <w:color w:val="000000"/>
                <w:kern w:val="2"/>
                <w:sz w:val="22"/>
                <w:lang w:eastAsia="en-GB"/>
              </w:rPr>
              <w:t xml:space="preserve"> </w:t>
            </w:r>
            <w:r>
              <w:rPr>
                <w:rFonts w:ascii="Arial" w:eastAsia="Times New Roman" w:hAnsi="Arial" w:cs="Arial"/>
                <w:color w:val="000000"/>
                <w:kern w:val="2"/>
                <w:sz w:val="22"/>
                <w:lang w:eastAsia="en-GB"/>
              </w:rPr>
              <w:t>(mg/L)</w:t>
            </w:r>
          </w:p>
        </w:tc>
      </w:tr>
      <w:tr w:rsidR="00095408">
        <w:trPr>
          <w:trHeight w:val="268"/>
        </w:trPr>
        <w:tc>
          <w:tcPr>
            <w:tcW w:w="1159" w:type="dxa"/>
            <w:vMerge w:val="restart"/>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External pH</w:t>
            </w:r>
          </w:p>
        </w:tc>
        <w:tc>
          <w:tcPr>
            <w:tcW w:w="1592"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[Pyruvate]</w:t>
            </w:r>
          </w:p>
        </w:tc>
        <w:tc>
          <w:tcPr>
            <w:tcW w:w="1684"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[Acetate]</w:t>
            </w:r>
          </w:p>
        </w:tc>
        <w:tc>
          <w:tcPr>
            <w:tcW w:w="1590"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[Succinate]</w:t>
            </w:r>
          </w:p>
        </w:tc>
        <w:tc>
          <w:tcPr>
            <w:tcW w:w="1567"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[Citrate]</w:t>
            </w:r>
          </w:p>
        </w:tc>
        <w:tc>
          <w:tcPr>
            <w:tcW w:w="1570" w:type="dxa"/>
            <w:gridSpan w:val="2"/>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[Glycerol]</w:t>
            </w:r>
          </w:p>
        </w:tc>
      </w:tr>
      <w:tr w:rsidR="00095408">
        <w:trPr>
          <w:trHeight w:val="268"/>
        </w:trPr>
        <w:tc>
          <w:tcPr>
            <w:tcW w:w="1159" w:type="dxa"/>
            <w:vMerge/>
            <w:tcBorders>
              <w:top w:val="single" w:sz="8" w:space="0" w:color="70AD47"/>
              <w:left w:val="single" w:sz="8" w:space="0" w:color="70AD47"/>
              <w:bottom w:val="single" w:sz="8" w:space="0" w:color="70AD47"/>
              <w:right w:val="single" w:sz="8" w:space="0" w:color="70AD47"/>
            </w:tcBorders>
            <w:tcMar>
              <w:top w:w="0" w:type="dxa"/>
              <w:left w:w="10" w:type="dxa"/>
              <w:right w:w="10" w:type="dxa"/>
            </w:tcMar>
            <w:vAlign w:val="center"/>
          </w:tcPr>
          <w:p w:rsidR="00095408" w:rsidRDefault="00095408">
            <w:pPr>
              <w:spacing w:line="240" w:lineRule="auto"/>
              <w:ind w:firstLine="0"/>
              <w:rPr>
                <w:rFonts w:ascii="Arial" w:eastAsia="Times New Roman" w:hAnsi="Arial" w:cs="Arial"/>
                <w:lang w:eastAsia="en-GB"/>
              </w:rPr>
            </w:pPr>
          </w:p>
        </w:tc>
        <w:tc>
          <w:tcPr>
            <w:tcW w:w="796"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Mean</w:t>
            </w:r>
          </w:p>
        </w:tc>
        <w:tc>
          <w:tcPr>
            <w:tcW w:w="796"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s.d.</w:t>
            </w:r>
          </w:p>
        </w:tc>
        <w:tc>
          <w:tcPr>
            <w:tcW w:w="888"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Mean</w:t>
            </w:r>
          </w:p>
        </w:tc>
        <w:tc>
          <w:tcPr>
            <w:tcW w:w="796"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s.d.</w:t>
            </w:r>
          </w:p>
        </w:tc>
        <w:tc>
          <w:tcPr>
            <w:tcW w:w="794"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Mean</w:t>
            </w:r>
          </w:p>
        </w:tc>
        <w:tc>
          <w:tcPr>
            <w:tcW w:w="796"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s.d.</w:t>
            </w:r>
          </w:p>
        </w:tc>
        <w:tc>
          <w:tcPr>
            <w:tcW w:w="785"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Mean</w:t>
            </w:r>
          </w:p>
        </w:tc>
        <w:tc>
          <w:tcPr>
            <w:tcW w:w="782"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s.d.</w:t>
            </w:r>
          </w:p>
        </w:tc>
        <w:tc>
          <w:tcPr>
            <w:tcW w:w="784"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Mean</w:t>
            </w:r>
          </w:p>
        </w:tc>
        <w:tc>
          <w:tcPr>
            <w:tcW w:w="786" w:type="dxa"/>
            <w:tcBorders>
              <w:top w:val="single" w:sz="8" w:space="0" w:color="70AD47"/>
              <w:left w:val="single" w:sz="8" w:space="0" w:color="70AD47"/>
              <w:bottom w:val="single" w:sz="8" w:space="0" w:color="70AD47"/>
              <w:right w:val="single" w:sz="8" w:space="0" w:color="70AD47"/>
            </w:tcBorders>
            <w:tcMar>
              <w:top w:w="7" w:type="dxa"/>
              <w:left w:w="7" w:type="dxa"/>
              <w:right w:w="7" w:type="dxa"/>
            </w:tcMar>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s.d.</w:t>
            </w:r>
          </w:p>
        </w:tc>
      </w:tr>
      <w:tr w:rsidR="00095408">
        <w:trPr>
          <w:trHeight w:val="536"/>
        </w:trPr>
        <w:tc>
          <w:tcPr>
            <w:tcW w:w="115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color w:val="000000"/>
                <w:kern w:val="2"/>
                <w:sz w:val="22"/>
                <w:lang w:eastAsia="en-GB"/>
              </w:rPr>
              <w:t>6.00</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sz w:val="22"/>
                <w:lang w:eastAsia="en-GB"/>
              </w:rPr>
              <w:t>n.d.</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sz w:val="22"/>
                <w:lang w:eastAsia="en-GB"/>
              </w:rPr>
              <w:t>-</w:t>
            </w:r>
          </w:p>
        </w:tc>
        <w:tc>
          <w:tcPr>
            <w:tcW w:w="88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30.400</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13.859</w:t>
            </w:r>
          </w:p>
        </w:tc>
        <w:tc>
          <w:tcPr>
            <w:tcW w:w="79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15.450</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7.283</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2.285</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0.219</w:t>
            </w:r>
          </w:p>
        </w:tc>
        <w:tc>
          <w:tcPr>
            <w:tcW w:w="78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n.d.</w:t>
            </w:r>
          </w:p>
        </w:tc>
        <w:tc>
          <w:tcPr>
            <w:tcW w:w="78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sz w:val="22"/>
                <w:lang w:eastAsia="en-GB"/>
              </w:rPr>
              <w:t>-</w:t>
            </w:r>
          </w:p>
        </w:tc>
      </w:tr>
      <w:tr w:rsidR="00095408">
        <w:trPr>
          <w:trHeight w:val="669"/>
        </w:trPr>
        <w:tc>
          <w:tcPr>
            <w:tcW w:w="115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6.50</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3.990</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0.170</w:t>
            </w:r>
          </w:p>
        </w:tc>
        <w:tc>
          <w:tcPr>
            <w:tcW w:w="88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19.600</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4.667</w:t>
            </w:r>
          </w:p>
        </w:tc>
        <w:tc>
          <w:tcPr>
            <w:tcW w:w="79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43.750</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1.202</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n.d.</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sz w:val="22"/>
                <w:lang w:eastAsia="en-GB"/>
              </w:rPr>
              <w:t>-</w:t>
            </w:r>
          </w:p>
        </w:tc>
        <w:tc>
          <w:tcPr>
            <w:tcW w:w="78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b/>
                <w:bCs/>
                <w:lang w:eastAsia="en-GB"/>
              </w:rPr>
            </w:pPr>
            <w:r>
              <w:rPr>
                <w:rFonts w:ascii="Arial" w:eastAsia="Times New Roman" w:hAnsi="Arial" w:cs="Arial"/>
                <w:b/>
                <w:bCs/>
                <w:sz w:val="22"/>
                <w:lang w:eastAsia="en-GB"/>
              </w:rPr>
              <w:t>n.d.</w:t>
            </w:r>
          </w:p>
        </w:tc>
        <w:tc>
          <w:tcPr>
            <w:tcW w:w="78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sz w:val="22"/>
                <w:lang w:eastAsia="en-GB"/>
              </w:rPr>
              <w:t>-</w:t>
            </w:r>
          </w:p>
        </w:tc>
      </w:tr>
      <w:tr w:rsidR="00095408">
        <w:trPr>
          <w:trHeight w:val="536"/>
        </w:trPr>
        <w:tc>
          <w:tcPr>
            <w:tcW w:w="115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7.00</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13.000</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2.030</w:t>
            </w:r>
          </w:p>
        </w:tc>
        <w:tc>
          <w:tcPr>
            <w:tcW w:w="88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bookmarkStart w:id="10" w:name="_Hlk107606542"/>
            <w:r>
              <w:rPr>
                <w:rFonts w:ascii="Arial" w:eastAsia="Times New Roman" w:hAnsi="Arial" w:cs="Arial"/>
                <w:b/>
                <w:bCs/>
                <w:color w:val="000000"/>
                <w:kern w:val="2"/>
                <w:sz w:val="22"/>
                <w:lang w:eastAsia="en-GB"/>
              </w:rPr>
              <w:t>21.050</w:t>
            </w:r>
            <w:bookmarkEnd w:id="10"/>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1.597</w:t>
            </w:r>
          </w:p>
        </w:tc>
        <w:tc>
          <w:tcPr>
            <w:tcW w:w="79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bookmarkStart w:id="11" w:name="_Hlk107606630"/>
            <w:r>
              <w:rPr>
                <w:rFonts w:ascii="Arial" w:eastAsia="Times New Roman" w:hAnsi="Arial" w:cs="Arial"/>
                <w:b/>
                <w:bCs/>
                <w:color w:val="000000"/>
                <w:kern w:val="2"/>
                <w:sz w:val="22"/>
                <w:lang w:eastAsia="en-GB"/>
              </w:rPr>
              <w:t>32.700</w:t>
            </w:r>
            <w:bookmarkEnd w:id="11"/>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13.947</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n.d.</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sz w:val="22"/>
                <w:lang w:eastAsia="en-GB"/>
              </w:rPr>
              <w:t>-</w:t>
            </w:r>
          </w:p>
        </w:tc>
        <w:tc>
          <w:tcPr>
            <w:tcW w:w="78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bookmarkStart w:id="12" w:name="_Hlk107606698"/>
            <w:r>
              <w:rPr>
                <w:rFonts w:ascii="Arial" w:eastAsia="Times New Roman" w:hAnsi="Arial" w:cs="Arial"/>
                <w:b/>
                <w:bCs/>
                <w:color w:val="000000"/>
                <w:kern w:val="2"/>
                <w:sz w:val="22"/>
                <w:lang w:eastAsia="en-GB"/>
              </w:rPr>
              <w:t>6.253</w:t>
            </w:r>
            <w:bookmarkEnd w:id="12"/>
          </w:p>
        </w:tc>
        <w:tc>
          <w:tcPr>
            <w:tcW w:w="78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2.910</w:t>
            </w:r>
          </w:p>
        </w:tc>
      </w:tr>
      <w:tr w:rsidR="00095408">
        <w:trPr>
          <w:trHeight w:val="669"/>
        </w:trPr>
        <w:tc>
          <w:tcPr>
            <w:tcW w:w="1159"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7.10</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bookmarkStart w:id="13" w:name="_Hlk107606574"/>
            <w:r>
              <w:rPr>
                <w:rFonts w:ascii="Arial" w:eastAsia="Times New Roman" w:hAnsi="Arial" w:cs="Arial"/>
                <w:b/>
                <w:bCs/>
                <w:color w:val="000000"/>
                <w:kern w:val="2"/>
                <w:sz w:val="22"/>
                <w:lang w:eastAsia="en-GB"/>
              </w:rPr>
              <w:t>92.750</w:t>
            </w:r>
            <w:bookmarkEnd w:id="13"/>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20.153</w:t>
            </w:r>
          </w:p>
        </w:tc>
        <w:tc>
          <w:tcPr>
            <w:tcW w:w="888"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198.500</w:t>
            </w:r>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98.288</w:t>
            </w:r>
          </w:p>
        </w:tc>
        <w:tc>
          <w:tcPr>
            <w:tcW w:w="79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bookmarkStart w:id="14" w:name="_Hlk107606652"/>
            <w:r>
              <w:rPr>
                <w:rFonts w:ascii="Arial" w:eastAsia="Times New Roman" w:hAnsi="Arial" w:cs="Arial"/>
                <w:b/>
                <w:bCs/>
                <w:color w:val="000000"/>
                <w:kern w:val="2"/>
                <w:sz w:val="22"/>
                <w:lang w:eastAsia="en-GB"/>
              </w:rPr>
              <w:t>51.800</w:t>
            </w:r>
            <w:bookmarkEnd w:id="14"/>
          </w:p>
        </w:tc>
        <w:tc>
          <w:tcPr>
            <w:tcW w:w="79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15.556</w:t>
            </w:r>
          </w:p>
        </w:tc>
        <w:tc>
          <w:tcPr>
            <w:tcW w:w="785"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n.d.</w:t>
            </w:r>
          </w:p>
        </w:tc>
        <w:tc>
          <w:tcPr>
            <w:tcW w:w="782"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sz w:val="22"/>
                <w:lang w:eastAsia="en-GB"/>
              </w:rPr>
              <w:t>-</w:t>
            </w:r>
          </w:p>
        </w:tc>
        <w:tc>
          <w:tcPr>
            <w:tcW w:w="784"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b/>
                <w:bCs/>
                <w:color w:val="000000"/>
                <w:kern w:val="2"/>
                <w:sz w:val="22"/>
                <w:lang w:eastAsia="en-GB"/>
              </w:rPr>
              <w:t>3.423</w:t>
            </w:r>
          </w:p>
        </w:tc>
        <w:tc>
          <w:tcPr>
            <w:tcW w:w="786" w:type="dxa"/>
            <w:tcBorders>
              <w:top w:val="single" w:sz="8" w:space="0" w:color="70AD47"/>
              <w:left w:val="single" w:sz="8" w:space="0" w:color="70AD47"/>
              <w:bottom w:val="single" w:sz="8" w:space="0" w:color="70AD47"/>
              <w:right w:val="single" w:sz="8" w:space="0" w:color="70AD47"/>
            </w:tcBorders>
            <w:vAlign w:val="center"/>
          </w:tcPr>
          <w:p w:rsidR="00095408" w:rsidRDefault="00A32BA2">
            <w:pPr>
              <w:spacing w:line="240" w:lineRule="auto"/>
              <w:ind w:firstLine="0"/>
              <w:jc w:val="center"/>
              <w:textAlignment w:val="bottom"/>
              <w:rPr>
                <w:rFonts w:ascii="Arial" w:eastAsia="Times New Roman" w:hAnsi="Arial" w:cs="Arial"/>
                <w:lang w:eastAsia="en-GB"/>
              </w:rPr>
            </w:pPr>
            <w:r>
              <w:rPr>
                <w:rFonts w:ascii="Arial" w:eastAsia="Times New Roman" w:hAnsi="Arial" w:cs="Arial"/>
                <w:color w:val="000000"/>
                <w:kern w:val="2"/>
                <w:sz w:val="22"/>
                <w:lang w:eastAsia="en-GB"/>
              </w:rPr>
              <w:t>0.220</w:t>
            </w:r>
          </w:p>
        </w:tc>
      </w:tr>
    </w:tbl>
    <w:p w:rsidR="00095408" w:rsidRDefault="00A32BA2">
      <w:pPr>
        <w:spacing w:line="240" w:lineRule="auto"/>
        <w:ind w:firstLine="0"/>
        <w:rPr>
          <w:rFonts w:ascii="Arial" w:hAnsi="Arial" w:cs="Arial"/>
          <w:b/>
          <w:bCs/>
          <w:szCs w:val="24"/>
        </w:rPr>
      </w:pPr>
      <w:r>
        <w:br w:type="page"/>
      </w:r>
    </w:p>
    <w:p w:rsidR="00095408" w:rsidRDefault="00A32BA2">
      <w:pPr>
        <w:keepNext/>
        <w:spacing w:after="160" w:line="259" w:lineRule="auto"/>
        <w:ind w:firstLine="0"/>
        <w:jc w:val="left"/>
      </w:pPr>
      <w:bookmarkStart w:id="15" w:name="_Toc109307597"/>
      <w:r>
        <w:rPr>
          <w:noProof/>
          <w:lang w:val="en-IN" w:eastAsia="en-IN"/>
        </w:rPr>
        <w:lastRenderedPageBreak/>
        <w:drawing>
          <wp:inline distT="0" distB="0" distL="0" distR="0">
            <wp:extent cx="4954905" cy="7924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2"/>
                    <a:stretch>
                      <a:fillRect/>
                    </a:stretch>
                  </pic:blipFill>
                  <pic:spPr bwMode="auto">
                    <a:xfrm>
                      <a:off x="0" y="0"/>
                      <a:ext cx="4954905" cy="7924800"/>
                    </a:xfrm>
                    <a:prstGeom prst="rect">
                      <a:avLst/>
                    </a:prstGeom>
                    <a:noFill/>
                  </pic:spPr>
                </pic:pic>
              </a:graphicData>
            </a:graphic>
          </wp:inline>
        </w:drawing>
      </w:r>
    </w:p>
    <w:p w:rsidR="00095408" w:rsidRDefault="00A32BA2">
      <w:pPr>
        <w:pStyle w:val="Caption"/>
        <w:rPr>
          <w:rFonts w:ascii="Arial" w:hAnsi="Arial" w:cs="Arial"/>
          <w:sz w:val="22"/>
          <w:szCs w:val="22"/>
        </w:rPr>
      </w:pPr>
      <w:r>
        <w:rPr>
          <w:rFonts w:ascii="Arial" w:hAnsi="Arial" w:cs="Arial"/>
          <w:sz w:val="22"/>
          <w:szCs w:val="22"/>
        </w:rPr>
        <w:t xml:space="preserve">Fig.  S4 </w:t>
      </w:r>
      <w:r>
        <w:rPr>
          <w:rFonts w:ascii="Arial" w:hAnsi="Arial" w:cs="Arial"/>
          <w:sz w:val="22"/>
        </w:rPr>
        <w:t>–</w:t>
      </w:r>
      <w:r>
        <w:rPr>
          <w:rFonts w:ascii="Arial" w:hAnsi="Arial" w:cs="Arial"/>
          <w:sz w:val="22"/>
          <w:szCs w:val="22"/>
        </w:rPr>
        <w:t xml:space="preserve"> </w:t>
      </w:r>
      <w:r>
        <w:rPr>
          <w:rFonts w:ascii="Arial" w:hAnsi="Arial" w:cs="Arial"/>
          <w:sz w:val="22"/>
          <w:szCs w:val="22"/>
          <w:lang w:val="en-GB"/>
        </w:rPr>
        <w:t xml:space="preserve">Vulcano plots of the different comparison made with the RNA-seq data presented in this work. </w:t>
      </w:r>
      <w:r>
        <w:rPr>
          <w:rFonts w:ascii="Arial" w:hAnsi="Arial" w:cs="Arial"/>
          <w:b w:val="0"/>
          <w:bCs w:val="0"/>
          <w:sz w:val="22"/>
          <w:szCs w:val="22"/>
          <w:lang w:val="en-GB"/>
        </w:rPr>
        <w:t>Grey colour indicates values whose log2 Fold-Change is &gt; -0.6 but &lt;0.6, or their p-value is &gt;</w:t>
      </w:r>
      <w:r>
        <w:rPr>
          <w:rFonts w:ascii="Arial" w:hAnsi="Arial" w:cs="Arial"/>
          <w:b w:val="0"/>
          <w:bCs w:val="0"/>
          <w:sz w:val="22"/>
          <w:szCs w:val="22"/>
          <w:lang w:val="en-GB"/>
        </w:rPr>
        <w:t xml:space="preserve">0.01. Blue and red represent down- and up-regulated genes, respectively. </w:t>
      </w:r>
      <w:r>
        <w:br w:type="page"/>
      </w:r>
    </w:p>
    <w:p w:rsidR="00095408" w:rsidRDefault="00A32BA2">
      <w:pPr>
        <w:keepNext/>
        <w:spacing w:after="160" w:line="259" w:lineRule="auto"/>
        <w:ind w:firstLine="0"/>
        <w:jc w:val="left"/>
      </w:pPr>
      <w:r>
        <w:rPr>
          <w:noProof/>
          <w:lang w:val="en-IN" w:eastAsia="en-IN"/>
        </w:rPr>
        <w:lastRenderedPageBreak/>
        <w:drawing>
          <wp:inline distT="0" distB="0" distL="0" distR="0">
            <wp:extent cx="5408930" cy="3907155"/>
            <wp:effectExtent l="0" t="0" r="0" b="0"/>
            <wp:docPr id="5" name="Picture 2" descr="A graph of different types of upt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A graph of different types of uptake&#10;&#10;Description automatically generated"/>
                    <pic:cNvPicPr>
                      <a:picLocks noChangeAspect="1" noChangeArrowheads="1"/>
                    </pic:cNvPicPr>
                  </pic:nvPicPr>
                  <pic:blipFill>
                    <a:blip r:embed="rId13"/>
                    <a:stretch>
                      <a:fillRect/>
                    </a:stretch>
                  </pic:blipFill>
                  <pic:spPr bwMode="auto">
                    <a:xfrm>
                      <a:off x="0" y="0"/>
                      <a:ext cx="5408930" cy="3907155"/>
                    </a:xfrm>
                    <a:prstGeom prst="rect">
                      <a:avLst/>
                    </a:prstGeom>
                    <a:noFill/>
                  </pic:spPr>
                </pic:pic>
              </a:graphicData>
            </a:graphic>
          </wp:inline>
        </w:drawing>
      </w:r>
    </w:p>
    <w:p w:rsidR="00095408" w:rsidRDefault="00A32BA2">
      <w:pPr>
        <w:pStyle w:val="Caption"/>
        <w:spacing w:after="120"/>
        <w:rPr>
          <w:rFonts w:ascii="Arial" w:hAnsi="Arial" w:cs="Arial"/>
          <w:sz w:val="22"/>
          <w:szCs w:val="22"/>
        </w:rPr>
      </w:pPr>
      <w:r>
        <w:rPr>
          <w:rFonts w:ascii="Arial" w:hAnsi="Arial" w:cs="Arial"/>
          <w:sz w:val="22"/>
          <w:szCs w:val="22"/>
        </w:rPr>
        <w:t xml:space="preserve">Fig.  S5 - </w:t>
      </w:r>
      <w:r>
        <w:rPr>
          <w:rFonts w:ascii="Arial" w:hAnsi="Arial" w:cs="Arial"/>
          <w:sz w:val="22"/>
          <w:szCs w:val="22"/>
          <w:lang w:val="en-GB"/>
        </w:rPr>
        <w:t>Changes in mRNA levels in cells shifted from pH 6.0 to pH 7.0 or 7.1 for a selection of genes typically induced by moderate alkalinization according to the literature (</w:t>
      </w:r>
      <w:r>
        <w:rPr>
          <w:rFonts w:ascii="Arial" w:hAnsi="Arial" w:cs="Arial"/>
          <w:sz w:val="22"/>
          <w:szCs w:val="22"/>
          <w:lang w:val="en-GB"/>
        </w:rPr>
        <w:t>see Discussion)</w:t>
      </w:r>
    </w:p>
    <w:p w:rsidR="00095408" w:rsidRDefault="00A32BA2">
      <w:pPr>
        <w:spacing w:after="160" w:line="259" w:lineRule="auto"/>
        <w:ind w:firstLine="0"/>
        <w:jc w:val="left"/>
        <w:rPr>
          <w:rFonts w:ascii="Arial" w:eastAsia="Times New Roman" w:hAnsi="Arial" w:cs="Arial"/>
          <w:b/>
          <w:bCs/>
          <w:sz w:val="22"/>
          <w:lang w:val="en-US"/>
        </w:rPr>
      </w:pPr>
      <w:r>
        <w:br w:type="page"/>
      </w:r>
    </w:p>
    <w:p w:rsidR="00095408" w:rsidRDefault="00A32BA2">
      <w:pPr>
        <w:spacing w:after="120" w:line="240" w:lineRule="auto"/>
        <w:ind w:firstLine="0"/>
        <w:rPr>
          <w:rFonts w:ascii="Arial" w:hAnsi="Arial" w:cs="Arial"/>
          <w:sz w:val="22"/>
          <w:szCs w:val="20"/>
        </w:rPr>
      </w:pPr>
      <w:r>
        <w:rPr>
          <w:rFonts w:ascii="Arial" w:hAnsi="Arial" w:cs="Arial"/>
          <w:b/>
          <w:bCs/>
          <w:sz w:val="22"/>
          <w:szCs w:val="20"/>
        </w:rPr>
        <w:lastRenderedPageBreak/>
        <w:t>Table S9</w:t>
      </w:r>
      <w:r>
        <w:rPr>
          <w:rFonts w:ascii="Arial" w:hAnsi="Arial" w:cs="Arial"/>
          <w:sz w:val="22"/>
          <w:szCs w:val="20"/>
        </w:rPr>
        <w:t xml:space="preserve"> - </w:t>
      </w:r>
      <w:r>
        <w:rPr>
          <w:rFonts w:ascii="Arial" w:hAnsi="Arial" w:cs="Arial"/>
          <w:b/>
          <w:bCs/>
          <w:sz w:val="22"/>
          <w:szCs w:val="20"/>
        </w:rPr>
        <w:t>Genes induced in the transition pH 6.0 to 7.1 but not when cells are shifted from pH 6.0 to 7.0.</w:t>
      </w:r>
      <w:r>
        <w:rPr>
          <w:rFonts w:ascii="Arial" w:hAnsi="Arial" w:cs="Arial"/>
          <w:sz w:val="22"/>
          <w:szCs w:val="20"/>
        </w:rPr>
        <w:t xml:space="preserve"> Genes encoding proteins involved in mitochondrial translation are highlighted in red, those related to the electronic transport ch</w:t>
      </w:r>
      <w:r>
        <w:rPr>
          <w:rFonts w:ascii="Arial" w:hAnsi="Arial" w:cs="Arial"/>
          <w:sz w:val="22"/>
          <w:szCs w:val="20"/>
        </w:rPr>
        <w:t>ain and ATP synthase function, are denoted in blue. Annotations combine GO-derived information and manual curation</w:t>
      </w:r>
    </w:p>
    <w:tbl>
      <w:tblPr>
        <w:tblStyle w:val="GridTable1Light-Accent61"/>
        <w:tblW w:w="9493" w:type="dxa"/>
        <w:tblLayout w:type="fixed"/>
        <w:tblLook w:val="04A0" w:firstRow="1" w:lastRow="0" w:firstColumn="1" w:lastColumn="0" w:noHBand="0" w:noVBand="1"/>
      </w:tblPr>
      <w:tblGrid>
        <w:gridCol w:w="1412"/>
        <w:gridCol w:w="992"/>
        <w:gridCol w:w="852"/>
        <w:gridCol w:w="1417"/>
        <w:gridCol w:w="708"/>
        <w:gridCol w:w="4112"/>
      </w:tblGrid>
      <w:tr w:rsidR="00095408" w:rsidTr="00095408">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2" w:type="dxa"/>
            <w:tcBorders>
              <w:bottom w:val="single" w:sz="12" w:space="0" w:color="8DD873"/>
            </w:tcBorders>
            <w:vAlign w:val="center"/>
          </w:tcPr>
          <w:p w:rsidR="00095408" w:rsidRDefault="00A32BA2">
            <w:pPr>
              <w:spacing w:line="240" w:lineRule="auto"/>
              <w:ind w:firstLine="0"/>
              <w:jc w:val="center"/>
              <w:rPr>
                <w:rFonts w:ascii="Arial" w:eastAsia="Times New Roman" w:hAnsi="Arial" w:cs="Arial"/>
                <w:color w:val="000000"/>
                <w:sz w:val="14"/>
                <w:szCs w:val="14"/>
                <w:lang w:eastAsia="en-GB"/>
              </w:rPr>
            </w:pPr>
            <w:r>
              <w:rPr>
                <w:rFonts w:ascii="Arial" w:eastAsia="Times New Roman" w:hAnsi="Arial" w:cs="Arial"/>
                <w:color w:val="000000"/>
                <w:sz w:val="14"/>
                <w:szCs w:val="14"/>
                <w:lang w:eastAsia="en-GB"/>
              </w:rPr>
              <w:t>Gene_id</w:t>
            </w:r>
          </w:p>
        </w:tc>
        <w:tc>
          <w:tcPr>
            <w:tcW w:w="992" w:type="dxa"/>
            <w:tcBorders>
              <w:bottom w:val="single" w:sz="12" w:space="0" w:color="8DD873"/>
            </w:tcBorders>
            <w:vAlign w:val="center"/>
          </w:tcPr>
          <w:p w:rsidR="00095408" w:rsidRDefault="00A32BA2">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en-GB"/>
              </w:rPr>
            </w:pPr>
            <w:r>
              <w:rPr>
                <w:rFonts w:ascii="Arial" w:eastAsia="Times New Roman" w:hAnsi="Arial" w:cs="Arial"/>
                <w:color w:val="000000"/>
                <w:sz w:val="14"/>
                <w:szCs w:val="14"/>
                <w:lang w:eastAsia="en-GB"/>
              </w:rPr>
              <w:t>Standard Name</w:t>
            </w:r>
          </w:p>
        </w:tc>
        <w:tc>
          <w:tcPr>
            <w:tcW w:w="852" w:type="dxa"/>
            <w:tcBorders>
              <w:bottom w:val="single" w:sz="12" w:space="0" w:color="8DD873"/>
            </w:tcBorders>
            <w:vAlign w:val="center"/>
          </w:tcPr>
          <w:p w:rsidR="00095408" w:rsidRDefault="00A32BA2">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en-GB"/>
              </w:rPr>
            </w:pPr>
            <w:r>
              <w:rPr>
                <w:rFonts w:ascii="Arial" w:eastAsia="Times New Roman" w:hAnsi="Arial" w:cs="Arial"/>
                <w:color w:val="000000"/>
                <w:sz w:val="14"/>
                <w:szCs w:val="14"/>
                <w:lang w:eastAsia="en-GB"/>
              </w:rPr>
              <w:t>ORF</w:t>
            </w:r>
          </w:p>
        </w:tc>
        <w:tc>
          <w:tcPr>
            <w:tcW w:w="1417" w:type="dxa"/>
            <w:tcBorders>
              <w:bottom w:val="single" w:sz="12" w:space="0" w:color="8DD873"/>
            </w:tcBorders>
            <w:vAlign w:val="center"/>
          </w:tcPr>
          <w:p w:rsidR="00095408" w:rsidRDefault="00A32BA2">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en-GB"/>
              </w:rPr>
            </w:pPr>
            <w:r>
              <w:rPr>
                <w:rFonts w:ascii="Arial" w:eastAsia="Times New Roman" w:hAnsi="Arial" w:cs="Arial"/>
                <w:color w:val="000000"/>
                <w:sz w:val="14"/>
                <w:szCs w:val="14"/>
                <w:lang w:eastAsia="en-GB"/>
              </w:rPr>
              <w:t>log2FoldChange</w:t>
            </w:r>
          </w:p>
        </w:tc>
        <w:tc>
          <w:tcPr>
            <w:tcW w:w="708" w:type="dxa"/>
            <w:tcBorders>
              <w:bottom w:val="single" w:sz="12" w:space="0" w:color="8DD873"/>
            </w:tcBorders>
            <w:vAlign w:val="center"/>
          </w:tcPr>
          <w:p w:rsidR="00095408" w:rsidRDefault="00A32BA2">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en-GB"/>
              </w:rPr>
            </w:pPr>
            <w:r>
              <w:rPr>
                <w:rFonts w:ascii="Arial" w:eastAsia="Times New Roman" w:hAnsi="Arial" w:cs="Arial"/>
                <w:color w:val="000000"/>
                <w:sz w:val="14"/>
                <w:szCs w:val="14"/>
                <w:lang w:eastAsia="en-GB"/>
              </w:rPr>
              <w:t>pvalue</w:t>
            </w:r>
          </w:p>
        </w:tc>
        <w:tc>
          <w:tcPr>
            <w:tcW w:w="4112" w:type="dxa"/>
            <w:tcBorders>
              <w:bottom w:val="single" w:sz="12" w:space="0" w:color="8DD873"/>
            </w:tcBorders>
            <w:vAlign w:val="center"/>
          </w:tcPr>
          <w:p w:rsidR="00095408" w:rsidRDefault="00A32BA2">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4"/>
                <w:szCs w:val="14"/>
                <w:lang w:eastAsia="en-GB"/>
              </w:rPr>
            </w:pPr>
            <w:r>
              <w:rPr>
                <w:rFonts w:ascii="Arial" w:eastAsia="Times New Roman" w:hAnsi="Arial" w:cs="Arial"/>
                <w:color w:val="000000"/>
                <w:sz w:val="14"/>
                <w:szCs w:val="14"/>
                <w:lang w:eastAsia="en-GB"/>
              </w:rPr>
              <w:t>Function Summary</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CENPK1137D_4964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LDS1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YAL018C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2.09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1.1E-03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Protein involved in ascospore </w:t>
            </w:r>
            <w:r>
              <w:rPr>
                <w:rFonts w:ascii="Arial" w:eastAsia="Times New Roman" w:hAnsi="Arial" w:cs="Arial"/>
                <w:color w:val="000000"/>
                <w:sz w:val="12"/>
                <w:szCs w:val="12"/>
                <w:lang w:eastAsia="en-GB"/>
              </w:rPr>
              <w:t>wall assembly; localizes to lipid droplets, prospore membrane, and ascospore wall</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CENPK1137D_4994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KTD1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YAR028W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1.51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8.9E-04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whose biological role is unknown; localized to the vacuole membrane in large scale studies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CENPK1137D_4907</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RFT1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YBL020W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w:t>
            </w:r>
            <w:r>
              <w:rPr>
                <w:rFonts w:ascii="Arial" w:eastAsia="Times New Roman" w:hAnsi="Arial" w:cs="Arial"/>
                <w:color w:val="000000"/>
                <w:sz w:val="12"/>
                <w:szCs w:val="12"/>
                <w:lang w:eastAsia="en-GB"/>
              </w:rPr>
              <w:t>81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5.0E-03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involved in glycolipid translocation; localizes to endoplasmic reticulum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CENPK1137D_4893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D93D9"/>
                <w:sz w:val="12"/>
                <w:szCs w:val="12"/>
                <w:lang w:eastAsia="en-GB"/>
              </w:rPr>
            </w:pPr>
            <w:r>
              <w:rPr>
                <w:rFonts w:ascii="Arial" w:eastAsia="Times New Roman" w:hAnsi="Arial" w:cs="Arial"/>
                <w:color w:val="4D93D9"/>
                <w:sz w:val="12"/>
                <w:szCs w:val="12"/>
                <w:lang w:eastAsia="en-GB"/>
              </w:rPr>
              <w:t>PET9</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YBL030C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0.94</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1.8E-04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ATP/ADP exchanger of the mitochondrial inner membrane involved in respiration and apoptosis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CENPK1137D_4885</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MRPL16</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YBL038W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0.68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9.5E-03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Component of the large subunit of the mitochondrial ribosome, which mediates translation in the mitochondrion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CENPK1137D_4881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ERD2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YBL040C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5.8E-03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HDEL sequence-binding protein involved in protein retention in endoplasmic </w:t>
            </w:r>
            <w:r>
              <w:rPr>
                <w:rFonts w:ascii="Arial" w:eastAsia="Times New Roman" w:hAnsi="Arial" w:cs="Arial"/>
                <w:color w:val="000000"/>
                <w:sz w:val="12"/>
                <w:szCs w:val="12"/>
                <w:lang w:eastAsia="en-GB"/>
              </w:rPr>
              <w:t>reticulum lumen and ER-to-Golgi vesicle-mediated transport; integral component of 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CENPK1137D_4863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D93D9"/>
                <w:sz w:val="12"/>
                <w:szCs w:val="12"/>
                <w:lang w:eastAsia="en-GB"/>
              </w:rPr>
            </w:pPr>
            <w:r>
              <w:rPr>
                <w:rFonts w:ascii="Arial" w:eastAsia="Times New Roman" w:hAnsi="Arial" w:cs="Arial"/>
                <w:color w:val="4D93D9"/>
                <w:sz w:val="12"/>
                <w:szCs w:val="12"/>
                <w:lang w:eastAsia="en-GB"/>
              </w:rPr>
              <w:t>CMC2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YBL059C-A</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1.11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9.2E-04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Mitochondrial intermembrane space protein involved in respiratory chain complex assembly; also localizes to nucleus a</w:t>
            </w:r>
            <w:r>
              <w:rPr>
                <w:rFonts w:ascii="Arial" w:eastAsia="Times New Roman" w:hAnsi="Arial" w:cs="Arial"/>
                <w:color w:val="000000"/>
                <w:sz w:val="12"/>
                <w:szCs w:val="12"/>
                <w:lang w:eastAsia="en-GB"/>
              </w:rPr>
              <w:t>nd cytoplasm</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CENPK1137D_4916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BNA4</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YBL098W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3.6E-04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Kynurenine 3-monooxygenase involved in de novo NAD biosynthesis from tryptophan; localizes to the mitochondrial outer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CENPK1137D_4558</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GRX7</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YBR014C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3.5E-03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Glutathione-disulfide </w:t>
            </w:r>
            <w:r>
              <w:rPr>
                <w:rFonts w:ascii="Arial" w:eastAsia="Times New Roman" w:hAnsi="Arial" w:cs="Arial"/>
                <w:color w:val="000000"/>
                <w:sz w:val="12"/>
                <w:szCs w:val="12"/>
                <w:lang w:eastAsia="en-GB"/>
              </w:rPr>
              <w:t>reductase involved in cellular response to oxidative stress; localizes to vacuole, golgi apparatus and lumen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CENPK1137D_4581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SCO1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YBR037C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0.90</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2.7E-03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Putative thioredoxin peroxidase involved in protein complex assembly and copper ion transport; likely </w:t>
            </w:r>
            <w:r>
              <w:rPr>
                <w:rFonts w:ascii="Arial" w:eastAsia="Times New Roman" w:hAnsi="Arial" w:cs="Arial"/>
                <w:color w:val="000000"/>
                <w:sz w:val="12"/>
                <w:szCs w:val="12"/>
                <w:lang w:eastAsia="en-GB"/>
              </w:rPr>
              <w:t>involved in response to redox state; localizes to mitochondrial inner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CENPK1137D_4585</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FAT1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YBR041W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0.94</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Long-chain fatty acid transporter involved in long-chain fatty acid uptake, protein quality control by the ubiquitin-proteasome system</w:t>
            </w:r>
            <w:r>
              <w:rPr>
                <w:rFonts w:ascii="Arial" w:eastAsia="Times New Roman" w:hAnsi="Arial" w:cs="Arial"/>
                <w:color w:val="000000"/>
                <w:sz w:val="12"/>
                <w:szCs w:val="12"/>
                <w:lang w:eastAsia="en-GB"/>
              </w:rPr>
              <w:t>; localizes to ER, lipid droplet, peroxisome, cell periphery and vacuole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CENPK1137D_4612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BAP2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YBR068C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2.8E-04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Amino acid transmembrane transporter that localizes to plasma membrane and endoplasmic reticulum</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CENPK1137D_4694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MRPS9</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YBR146W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0.87</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9.7E-04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Component of the small subunit of the mitochondrial ribosome, which mediates translation in the mitochondrion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CENPK1137D_4711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IFA38</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YBR159W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3.0E-03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Ketoreductase involved in biosynthesis of sphingolipids and very long-chain fatty acids; </w:t>
            </w:r>
            <w:r>
              <w:rPr>
                <w:rFonts w:ascii="Arial" w:eastAsia="Times New Roman" w:hAnsi="Arial" w:cs="Arial"/>
                <w:color w:val="000000"/>
                <w:sz w:val="12"/>
                <w:szCs w:val="12"/>
                <w:lang w:eastAsia="en-GB"/>
              </w:rPr>
              <w:t>localizes to 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CENPK1137D_4737</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MBA1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YBR185C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1.31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9.8E-06</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Mitochondrial ribosome-binding protein involved in organization of the mitochondrial inner membrane; required for assembly of mitochondrial respiratory chain complexes III and IV; </w:t>
            </w:r>
            <w:r>
              <w:rPr>
                <w:rFonts w:ascii="Arial" w:eastAsia="Times New Roman" w:hAnsi="Arial" w:cs="Arial"/>
                <w:color w:val="000000"/>
                <w:sz w:val="12"/>
                <w:szCs w:val="12"/>
                <w:lang w:eastAsia="en-GB"/>
              </w:rPr>
              <w:t>localizes to mitochondrial inner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CENPK1137D_4760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FTH1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YBR207W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0.67</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6.2E-03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Putative iron ion transporter involved in endocytosis; localizes to the vacuole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CENPK1137D_4800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ALG7</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YBR243C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4.8E-04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sz w:val="12"/>
                <w:szCs w:val="12"/>
                <w:lang w:eastAsia="en-GB"/>
              </w:rPr>
              <w:t xml:space="preserve">Dolichyl-P-dependent </w:t>
            </w:r>
            <w:r>
              <w:rPr>
                <w:rFonts w:ascii="Arial" w:eastAsia="Times New Roman" w:hAnsi="Arial" w:cs="Arial"/>
                <w:sz w:val="12"/>
                <w:szCs w:val="12"/>
                <w:lang w:eastAsia="en-GB"/>
              </w:rPr>
              <w:t>N-acetylglucosamine-1-P transferase (GPT) that catalyzes transfer of N-acetylglucosamine from UDP-N-acetylglucosamine to dolichyl phosphate; involved in synthesis of oligosaccharide precursor for N-linked protein glycosylation; localized in endoplasmic ret</w:t>
            </w:r>
            <w:r>
              <w:rPr>
                <w:rFonts w:ascii="Arial" w:eastAsia="Times New Roman" w:hAnsi="Arial" w:cs="Arial"/>
                <w:sz w:val="12"/>
                <w:szCs w:val="12"/>
                <w:lang w:eastAsia="en-GB"/>
              </w:rPr>
              <w:t>iculum</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CENPK1137D_4851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VBA2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YBR293W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5.5E-03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Basic amino acid transmembrane transporter localized to ER and vacuolar membranes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CENPK1137D_4519</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SLM5</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YCR024C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1.3E-03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Mitochondrial asparaginyl-tRNA synthetase that performs asparaginyl-tRNA </w:t>
            </w:r>
            <w:r>
              <w:rPr>
                <w:rFonts w:ascii="Arial" w:eastAsia="Times New Roman" w:hAnsi="Arial" w:cs="Arial"/>
                <w:color w:val="000000"/>
                <w:sz w:val="12"/>
                <w:szCs w:val="12"/>
                <w:lang w:eastAsia="en-GB"/>
              </w:rPr>
              <w:t>aminoacylation by coupling asparagine to asparaginyl-tRNA</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CENPK1137D_4530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ELO2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YCR034W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8.8E-04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Fatty acid elongase involved in very long-chain fatty acid biosynthesis, sphingolipid biosynthesis and late endosome to vacuole transport via the multivesi</w:t>
            </w:r>
            <w:r>
              <w:rPr>
                <w:rFonts w:ascii="Arial" w:eastAsia="Times New Roman" w:hAnsi="Arial" w:cs="Arial"/>
                <w:color w:val="000000"/>
                <w:sz w:val="12"/>
                <w:szCs w:val="12"/>
                <w:lang w:eastAsia="en-GB"/>
              </w:rPr>
              <w:t>cular body sorting pathway; localizes to the endoplasmic reticulum</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CENPK1137D_4443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GIT1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YCR098C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2.09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1.4E-05</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Glycerophosphodiester and glycerol-3-phosphate transmembrane transporter; involved in transport of glycerol-3-phosphate and glyceroldiester across</w:t>
            </w:r>
            <w:r>
              <w:rPr>
                <w:rFonts w:ascii="Arial" w:eastAsia="Times New Roman" w:hAnsi="Arial" w:cs="Arial"/>
                <w:color w:val="000000"/>
                <w:sz w:val="12"/>
                <w:szCs w:val="12"/>
                <w:lang w:eastAsia="en-GB"/>
              </w:rPr>
              <w:t xml:space="preserve"> plasma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CENPK1137D_3820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D93D9"/>
                <w:sz w:val="12"/>
                <w:szCs w:val="12"/>
                <w:lang w:eastAsia="en-GB"/>
              </w:rPr>
            </w:pPr>
            <w:r>
              <w:rPr>
                <w:rFonts w:ascii="Arial" w:eastAsia="Times New Roman" w:hAnsi="Arial" w:cs="Arial"/>
                <w:color w:val="4D93D9"/>
                <w:sz w:val="12"/>
                <w:szCs w:val="12"/>
                <w:lang w:eastAsia="en-GB"/>
              </w:rPr>
              <w:t>ATP16</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YDL004W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0.68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5.9E-03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Subunit of the central stalk of the F1 catalytic core of mitochondrial F1F0 ATP synthase; ATP synthase complex is localized to the mitochondrial inner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CENPK1137D_3801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MRX9</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YDL027C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whose biological role is unknown; localizes to the mitochondrion in a large-scale study</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CENPK1137D_3784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MTF2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YDL044C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RNA binding protein involved in mitochondrial translation and mRNA processing; localizes to mitochondria</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CENPK1137D_3783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FAD1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YDL045C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5.2E-03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Cytoplasmic FMN adenylyltransferase involved in biosynthesis of flavin adenine dinucleotide (FAD)</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CENPK1137D_3760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IDP1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YDL066W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6.8E-04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Mitochondrial isocitrate dehydrogenase (NADP+); has a role in glutamate </w:t>
            </w:r>
            <w:r>
              <w:rPr>
                <w:rFonts w:ascii="Arial" w:eastAsia="Times New Roman" w:hAnsi="Arial" w:cs="Arial"/>
                <w:color w:val="000000"/>
                <w:sz w:val="12"/>
                <w:szCs w:val="12"/>
                <w:lang w:eastAsia="en-GB"/>
              </w:rPr>
              <w:t>biosynthesis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CENPK1137D_4253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DLD2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YDL178W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2.4E-03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Actin- and FAD-binding protein with D-2-hydroxyglutarate (D-2HG) dehydrogenase activity; oxidizes D-2HG to alpha-ketoglutarate; minor D-lactate dehydrogenase involved in lactate catabolism; localizes </w:t>
            </w:r>
            <w:r>
              <w:rPr>
                <w:rFonts w:ascii="Arial" w:eastAsia="Times New Roman" w:hAnsi="Arial" w:cs="Arial"/>
                <w:color w:val="000000"/>
                <w:sz w:val="12"/>
                <w:szCs w:val="12"/>
                <w:lang w:eastAsia="en-GB"/>
              </w:rPr>
              <w:t>to mitochondrial matrix</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CENPK1137D_4075</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GGC1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YDL198C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7.2E-05</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Guanine nucleotide transmembrane transporter involved in guanine nucleotide and transmembrane transport; localizes to mitochondria</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CENPK1137D_3920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SHR3</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YDL212W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1.1E-03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Protein </w:t>
            </w:r>
            <w:r>
              <w:rPr>
                <w:rFonts w:ascii="Arial" w:eastAsia="Times New Roman" w:hAnsi="Arial" w:cs="Arial"/>
                <w:color w:val="000000"/>
                <w:sz w:val="12"/>
                <w:szCs w:val="12"/>
                <w:lang w:eastAsia="en-GB"/>
              </w:rPr>
              <w:t>chaperone of endoplasmic reticulum membrane, involved in COPII-coated vesicle budding; also localizes to mating projection tip</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CENPK1137D_3860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RSM10</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YDR041W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1.02</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9.7E-04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Component of the small subunit of the mitochondrial ribosome, which mediates </w:t>
            </w:r>
            <w:r>
              <w:rPr>
                <w:rFonts w:ascii="Arial" w:eastAsia="Times New Roman" w:hAnsi="Arial" w:cs="Arial"/>
                <w:color w:val="000000"/>
                <w:sz w:val="12"/>
                <w:szCs w:val="12"/>
                <w:lang w:eastAsia="en-GB"/>
              </w:rPr>
              <w:t>translation in the mitochondrion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CENPK1137D_3906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TVP23</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YDR084C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7.2E-03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Golgi membrane protein involved in vesicle-mediated transport</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CENPK1137D_3914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ILT1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YDR090C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6.3E-03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Predicted integral membrane protein whose biological role is unknown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CENPK1137D_3937</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MRPL1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YDR116C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5.5E-04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Component of the large subunit of the mitochondrial ribosome, which mediates translation in the mitochondrion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CENPK1137D_3999</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RSM24</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YDR175C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1.4E-03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Component of the small subunit of the mitochondrial </w:t>
            </w:r>
            <w:r>
              <w:rPr>
                <w:rFonts w:ascii="Arial" w:eastAsia="Times New Roman" w:hAnsi="Arial" w:cs="Arial"/>
                <w:color w:val="000000"/>
                <w:sz w:val="12"/>
                <w:szCs w:val="12"/>
                <w:lang w:eastAsia="en-GB"/>
              </w:rPr>
              <w:t>ribosome, which mediates translation in the mitochondrion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CENPK1137D_4018</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MSS116</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YDR194C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1.12</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2.0E-04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RNA helicase involved in mRNA splicing, RNA folding, mitochondrial RNA processing and RNA elongation from mitochondrial promoter; localizes to </w:t>
            </w:r>
            <w:r>
              <w:rPr>
                <w:rFonts w:ascii="Arial" w:eastAsia="Times New Roman" w:hAnsi="Arial" w:cs="Arial"/>
                <w:color w:val="000000"/>
                <w:sz w:val="12"/>
                <w:szCs w:val="12"/>
                <w:lang w:eastAsia="en-GB"/>
              </w:rPr>
              <w:t>mitochondrial matrix</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lastRenderedPageBreak/>
              <w:t>CENPK1137D_4023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CBS2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YDR197W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Mitochondrial translation regulator for the COB mRNA; localizes to mitochondrial inner membrane; associates with mitochondrial ribosomes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CENPK1137D_4093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MSW1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YDR268W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3.9E-04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Mitochondrial tryptophanyl-tRNA synthetase that performs tryptophanyl-tRNA aminoacylation by coupling tryptophan to tryptophanyl-tRNA</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CENPK1137D_4121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D93D9"/>
                <w:sz w:val="12"/>
                <w:szCs w:val="12"/>
                <w:lang w:eastAsia="en-GB"/>
              </w:rPr>
            </w:pPr>
            <w:r>
              <w:rPr>
                <w:rFonts w:ascii="Arial" w:eastAsia="Times New Roman" w:hAnsi="Arial" w:cs="Arial"/>
                <w:color w:val="4D93D9"/>
                <w:sz w:val="12"/>
                <w:szCs w:val="12"/>
                <w:lang w:eastAsia="en-GB"/>
              </w:rPr>
              <w:t>ATP5</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YDR298C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0.69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5.2E-03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Subunit of the stator stalk of the F0 coupling factor of mitochondrial F1F0 ATP</w:t>
            </w:r>
            <w:r>
              <w:rPr>
                <w:rFonts w:ascii="Arial" w:eastAsia="Times New Roman" w:hAnsi="Arial" w:cs="Arial"/>
                <w:color w:val="000000"/>
                <w:sz w:val="12"/>
                <w:szCs w:val="12"/>
                <w:lang w:eastAsia="en-GB"/>
              </w:rPr>
              <w:t xml:space="preserve"> synthase; ATP synthase complex is localized to the mitochondrial inner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CENPK1137D_4150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D93D9"/>
                <w:sz w:val="12"/>
                <w:szCs w:val="12"/>
                <w:lang w:eastAsia="en-GB"/>
              </w:rPr>
            </w:pPr>
            <w:r>
              <w:rPr>
                <w:rFonts w:ascii="Arial" w:eastAsia="Times New Roman" w:hAnsi="Arial" w:cs="Arial"/>
                <w:color w:val="4D93D9"/>
                <w:sz w:val="12"/>
                <w:szCs w:val="12"/>
                <w:lang w:eastAsia="en-GB"/>
              </w:rPr>
              <w:t>TIM11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YDR322C-A</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0.90</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2.0E-03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Structural subunit of mitochondrial proton-transporting ATP synthase complex coupling factor F(o), involved in assembly of mitoch</w:t>
            </w:r>
            <w:r>
              <w:rPr>
                <w:rFonts w:ascii="Arial" w:eastAsia="Times New Roman" w:hAnsi="Arial" w:cs="Arial"/>
                <w:color w:val="000000"/>
                <w:sz w:val="12"/>
                <w:szCs w:val="12"/>
                <w:lang w:eastAsia="en-GB"/>
              </w:rPr>
              <w:t>ondrial proton-transporting ATP synthase complex; also involved in cristae formation and ATP-synthesis coupled proton transport</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CENPK1137D_4166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MRPS28</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YDR337W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0.84</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7.9E-03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Component of the small subunit of the mitochondrial ribosome, which mediates </w:t>
            </w:r>
            <w:r>
              <w:rPr>
                <w:rFonts w:ascii="Arial" w:eastAsia="Times New Roman" w:hAnsi="Arial" w:cs="Arial"/>
                <w:color w:val="000000"/>
                <w:sz w:val="12"/>
                <w:szCs w:val="12"/>
                <w:lang w:eastAsia="en-GB"/>
              </w:rPr>
              <w:t>translation in the mitochondrion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CENPK1137D_2820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HXT6</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YDR343C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1.3E-03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Hexose transmembrane transporter; also transports glucose, fructose, and mannose; localizes to mitochondria and plasma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CENPK1137D_4203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D93D9"/>
                <w:sz w:val="12"/>
                <w:szCs w:val="12"/>
                <w:lang w:eastAsia="en-GB"/>
              </w:rPr>
            </w:pPr>
            <w:r>
              <w:rPr>
                <w:rFonts w:ascii="Arial" w:eastAsia="Times New Roman" w:hAnsi="Arial" w:cs="Arial"/>
                <w:color w:val="4D93D9"/>
                <w:sz w:val="12"/>
                <w:szCs w:val="12"/>
                <w:lang w:eastAsia="en-GB"/>
              </w:rPr>
              <w:t>ARH1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YDR376W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8.5E-03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Mitochondrial NADPH-adrenodoxin reductase involved in ubiquinone biosynthesis and iron homeostasis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CENPK1137D_4204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D93D9"/>
                <w:sz w:val="12"/>
                <w:szCs w:val="12"/>
                <w:lang w:eastAsia="en-GB"/>
              </w:rPr>
            </w:pPr>
            <w:r>
              <w:rPr>
                <w:rFonts w:ascii="Arial" w:eastAsia="Times New Roman" w:hAnsi="Arial" w:cs="Arial"/>
                <w:color w:val="4D93D9"/>
                <w:sz w:val="12"/>
                <w:szCs w:val="12"/>
                <w:lang w:eastAsia="en-GB"/>
              </w:rPr>
              <w:t>ATP17</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YDR377W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0.82</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1.5E-03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Subunit of the F0 coupling factor of mitochondrial F1F0 ATP synthase; ATP synthase complex is localized to the mi</w:t>
            </w:r>
            <w:r>
              <w:rPr>
                <w:rFonts w:ascii="Arial" w:eastAsia="Times New Roman" w:hAnsi="Arial" w:cs="Arial"/>
                <w:color w:val="000000"/>
                <w:sz w:val="12"/>
                <w:szCs w:val="12"/>
                <w:lang w:eastAsia="en-GB"/>
              </w:rPr>
              <w:t>tochondrial inner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CENPK1137D_4222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SHE9</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YDR393W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1.26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2.5E-05</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involved in organization of inner mitochondrial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CENPK1137D_4346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FPR2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YDR519W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6.1E-03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Peptidylproyl isomerase that binds the macrolide lactone FK506; localizes to </w:t>
            </w:r>
            <w:r>
              <w:rPr>
                <w:rFonts w:ascii="Arial" w:eastAsia="Times New Roman" w:hAnsi="Arial" w:cs="Arial"/>
                <w:color w:val="000000"/>
                <w:sz w:val="12"/>
                <w:szCs w:val="12"/>
                <w:lang w:eastAsia="en-GB"/>
              </w:rPr>
              <w:t>membrane, localizes to vacuoles, nucleus and cytoplasm in high-throughput studies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CENPK1137D_4357</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D93D9"/>
                <w:sz w:val="12"/>
                <w:szCs w:val="12"/>
                <w:lang w:eastAsia="en-GB"/>
              </w:rPr>
            </w:pPr>
            <w:r>
              <w:rPr>
                <w:rFonts w:ascii="Arial" w:eastAsia="Times New Roman" w:hAnsi="Arial" w:cs="Arial"/>
                <w:color w:val="4D93D9"/>
                <w:sz w:val="12"/>
                <w:szCs w:val="12"/>
                <w:lang w:eastAsia="en-GB"/>
              </w:rPr>
              <w:t>QCR7</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YDR529C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3.7E-03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Subunit of mitochondrial respiratory chain complex III, involved in electron transport and aerobic respiration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CENPK1137D_3651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YEA4</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YEL004W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2.8E-03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UDP-N-acetylglucosamine transmembrane transporter involved in chitin biosynthesis; localizes to ER</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CENPK1137D_3630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D93D9"/>
                <w:sz w:val="12"/>
                <w:szCs w:val="12"/>
                <w:lang w:eastAsia="en-GB"/>
              </w:rPr>
            </w:pPr>
            <w:r>
              <w:rPr>
                <w:rFonts w:ascii="Arial" w:eastAsia="Times New Roman" w:hAnsi="Arial" w:cs="Arial"/>
                <w:color w:val="4D93D9"/>
                <w:sz w:val="12"/>
                <w:szCs w:val="12"/>
                <w:lang w:eastAsia="en-GB"/>
              </w:rPr>
              <w:t>RIP1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YEL024W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0.69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6.7E-03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Ubiquinol-cytochrome-c reductase subunit of mitochondrial respiratory chain complex III;</w:t>
            </w:r>
            <w:r>
              <w:rPr>
                <w:rFonts w:ascii="Arial" w:eastAsia="Times New Roman" w:hAnsi="Arial" w:cs="Arial"/>
                <w:color w:val="000000"/>
                <w:sz w:val="12"/>
                <w:szCs w:val="12"/>
                <w:lang w:eastAsia="en-GB"/>
              </w:rPr>
              <w:t xml:space="preserve"> involved in aerobic respiration and mitochondrial electron transport</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CENPK1137D_3616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UTR2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YEL040W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1.18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6.1E-05</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Glycosyltransferase involved in chitin metabolism and cell wall organization; localizes to cell wall and bud neck septin ring</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CENPK1137D_3594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RML2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YEL050C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1.04</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1.5E-04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Component of the large subunit of the mitochondrial ribosome, which mediates translation in the mitochondrion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CENPK1137D_3572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AFG1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YEL052W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9.3E-03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Mitochondrial inner membrane protein involved in oxidative stress response </w:t>
            </w:r>
            <w:r>
              <w:rPr>
                <w:rFonts w:ascii="Arial" w:eastAsia="Times New Roman" w:hAnsi="Arial" w:cs="Arial"/>
                <w:color w:val="000000"/>
                <w:sz w:val="12"/>
                <w:szCs w:val="12"/>
                <w:lang w:eastAsia="en-GB"/>
              </w:rPr>
              <w:t>and protein quality control</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CENPK1137D_3673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AFG3</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YER017C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0.92</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4.4E-04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ATPase and metallopeptidase of the inner mitochondrial membrane; subunit of the m-AAA complex involved in assembly of mitochondrial membrane protein complexes, degradation of nonassembl</w:t>
            </w:r>
            <w:r>
              <w:rPr>
                <w:rFonts w:ascii="Arial" w:eastAsia="Times New Roman" w:hAnsi="Arial" w:cs="Arial"/>
                <w:color w:val="000000"/>
                <w:sz w:val="12"/>
                <w:szCs w:val="12"/>
                <w:lang w:eastAsia="en-GB"/>
              </w:rPr>
              <w:t>ed inner membrane proteins and processing of proteins imported into mitochondria</w:t>
            </w:r>
          </w:p>
        </w:tc>
      </w:tr>
      <w:tr w:rsidR="00095408" w:rsidTr="00095408">
        <w:trPr>
          <w:trHeight w:val="79"/>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CENPK1137D_3480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VTC1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YER072W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7.6E-03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mRNA-binding protein involved in vacuolar transport, fusion and microautophagy; also involved in polyphosphate metabolism; localizes</w:t>
            </w:r>
            <w:r>
              <w:rPr>
                <w:rFonts w:ascii="Arial" w:eastAsia="Times New Roman" w:hAnsi="Arial" w:cs="Arial"/>
                <w:color w:val="000000"/>
                <w:sz w:val="12"/>
                <w:szCs w:val="12"/>
                <w:lang w:eastAsia="en-GB"/>
              </w:rPr>
              <w:t xml:space="preserve"> to endoplasmic reticulum, vacuole membrane, and nuclear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CENPK1137D_3531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SHO1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YER118C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1.9E-03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Membrane protein with osmosensor activity; subunit of the HICS complex; involved in cell polarity establishment and signaling for filamentous </w:t>
            </w:r>
            <w:r>
              <w:rPr>
                <w:rFonts w:ascii="Arial" w:eastAsia="Times New Roman" w:hAnsi="Arial" w:cs="Arial"/>
                <w:color w:val="000000"/>
                <w:sz w:val="12"/>
                <w:szCs w:val="12"/>
                <w:lang w:eastAsia="en-GB"/>
              </w:rPr>
              <w:t>growth; localizes to the plasma membrane and bud</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CENPK1137D_3367</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MDJ1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YFL016C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1.20</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4.2E-04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Unfolded protein-binding ATPase activator involved in heat response, protein folding and refolding, protein quality control, and mitochondrial genome maintenance; </w:t>
            </w:r>
            <w:r>
              <w:rPr>
                <w:rFonts w:ascii="Arial" w:eastAsia="Times New Roman" w:hAnsi="Arial" w:cs="Arial"/>
                <w:color w:val="000000"/>
                <w:sz w:val="12"/>
                <w:szCs w:val="12"/>
                <w:lang w:eastAsia="en-GB"/>
              </w:rPr>
              <w:t>localizes to inner mitochondrial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CENPK1137D_3350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SNZ3</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YFL059W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1.17</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2.9E-03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Pyridoxal 5'-phosphate synthase involved in pyridoxine and thiamine biosynthesis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CENPK1137D_3393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MIC19</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YFR011C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1.24</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4.0E-05</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Subunit of mitochondrial MICOS complex </w:t>
            </w:r>
            <w:r>
              <w:rPr>
                <w:rFonts w:ascii="Arial" w:eastAsia="Times New Roman" w:hAnsi="Arial" w:cs="Arial"/>
                <w:color w:val="000000"/>
                <w:sz w:val="12"/>
                <w:szCs w:val="12"/>
                <w:lang w:eastAsia="en-GB"/>
              </w:rPr>
              <w:t>involved in maintenance of crista junctions, inner membrane architecture, and formation of contact sites to outer mitochondrial membrane; localizes to mitochondrial crista junction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CENPK1137D_3402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CSS2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YFR020W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1.30</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1.3E-04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whose biological role is</w:t>
            </w:r>
            <w:r>
              <w:rPr>
                <w:rFonts w:ascii="Arial" w:eastAsia="Times New Roman" w:hAnsi="Arial" w:cs="Arial"/>
                <w:color w:val="000000"/>
                <w:sz w:val="12"/>
                <w:szCs w:val="12"/>
                <w:lang w:eastAsia="en-GB"/>
              </w:rPr>
              <w:t xml:space="preserve"> unknown; localizes to the endoplasmic reticulum and extracellular region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CENPK1137D_3426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ERJ5</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YFR041C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9.0E-03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Endoplasmic reticulum protein involved in protein folding</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CENPK1137D_3317</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KEG1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YFR042W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3.0E-03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Membrane protein of the endoplasmic </w:t>
            </w:r>
            <w:r>
              <w:rPr>
                <w:rFonts w:ascii="Arial" w:eastAsia="Times New Roman" w:hAnsi="Arial" w:cs="Arial"/>
                <w:color w:val="000000"/>
                <w:sz w:val="12"/>
                <w:szCs w:val="12"/>
                <w:lang w:eastAsia="en-GB"/>
              </w:rPr>
              <w:t>reticulum involved in 1,6-beta-glucan biosynthesis and chromosome organization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CENPK1137D_3320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MRX20</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YFR045W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9.5E-03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involved in mitochondrial transport; localizes to mitochondrial inner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CENPK1137D_2960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ERG4</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YGL012W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3.8E-03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Sterol reductase involved in ergosterol biosynthesis; localizes to endoplasmic reticulum</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CENPK1137D_2891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GUP1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YGL084C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0.69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9.5E-03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O-acyltransferase involved in glycerol transport and catabolism, and GPI anchor biosynthesis; localizes to plasma membrane </w:t>
            </w:r>
            <w:r>
              <w:rPr>
                <w:rFonts w:ascii="Arial" w:eastAsia="Times New Roman" w:hAnsi="Arial" w:cs="Arial"/>
                <w:color w:val="000000"/>
                <w:sz w:val="12"/>
                <w:szCs w:val="12"/>
                <w:lang w:eastAsia="en-GB"/>
              </w:rPr>
              <w:t>and endoplasmic reticulum</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CENPK1137D_2867</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RMD9</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YGL107C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0.87</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2.0E-03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that binds  mRNA 3'-UTR; involved in mitochondrial mRNA processing, and in regulation of mitochondrial transcription and translational initiation; localized to mitochondrial inner</w:t>
            </w:r>
            <w:r>
              <w:rPr>
                <w:rFonts w:ascii="Arial" w:eastAsia="Times New Roman" w:hAnsi="Arial" w:cs="Arial"/>
                <w:color w:val="000000"/>
                <w:sz w:val="12"/>
                <w:szCs w:val="12"/>
                <w:lang w:eastAsia="en-GB"/>
              </w:rPr>
              <w:t xml:space="preserve">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CENPK1137D_2831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MRF1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YGL143C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3.0E-03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Translation release factor involved in mitochondrial translational termination; localizes to mitochondria</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CENPK1137D_2828</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RRT6</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YGL146C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1.07</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9.8E-04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Predicted membrane protein whose biological role is </w:t>
            </w:r>
            <w:r>
              <w:rPr>
                <w:rFonts w:ascii="Arial" w:eastAsia="Times New Roman" w:hAnsi="Arial" w:cs="Arial"/>
                <w:color w:val="000000"/>
                <w:sz w:val="12"/>
                <w:szCs w:val="12"/>
                <w:lang w:eastAsia="en-GB"/>
              </w:rPr>
              <w:t>unknown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CENPK1137D_3263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EMP24</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YGL200C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4.0E-03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involved in ER to Golgi vesicle-mediated transport, protein retention in ER lumen snd vesicle organization; localizes to COPII vesicle and ER</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CENPK1137D_2983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MCY1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YGR012W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6.2E-03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Protein </w:t>
            </w:r>
            <w:r>
              <w:rPr>
                <w:rFonts w:ascii="Arial" w:eastAsia="Times New Roman" w:hAnsi="Arial" w:cs="Arial"/>
                <w:color w:val="000000"/>
                <w:sz w:val="12"/>
                <w:szCs w:val="12"/>
                <w:lang w:eastAsia="en-GB"/>
              </w:rPr>
              <w:t>whose biological role is unknown; localizes to the mitochondrion and mitochondrial outer membrane in different large-scale studies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CENPK1137D_2996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MSP1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YGR028W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6.8E-03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ATPase involved in protein-mitochondrial targeting; localizes to peroxisomal and m</w:t>
            </w:r>
            <w:r>
              <w:rPr>
                <w:rFonts w:ascii="Arial" w:eastAsia="Times New Roman" w:hAnsi="Arial" w:cs="Arial"/>
                <w:color w:val="000000"/>
                <w:sz w:val="12"/>
                <w:szCs w:val="12"/>
                <w:lang w:eastAsia="en-GB"/>
              </w:rPr>
              <w:t>itochondrial outer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CENPK1137D_3031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VHT1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YGR065C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1.25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1.6E-06</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Biotin transmembrane transporter of the plasma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CENPK1137D_3074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VOA1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YGR106C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2.9E-03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Protein involved in cellular protein complex assembly; localizes to endoplasmic </w:t>
            </w:r>
            <w:r>
              <w:rPr>
                <w:rFonts w:ascii="Arial" w:eastAsia="Times New Roman" w:hAnsi="Arial" w:cs="Arial"/>
                <w:color w:val="000000"/>
                <w:sz w:val="12"/>
                <w:szCs w:val="12"/>
                <w:lang w:eastAsia="en-GB"/>
              </w:rPr>
              <w:t>reticulum membrane and vacuole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CENPK1137D_3081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4B3E1"/>
                <w:sz w:val="12"/>
                <w:szCs w:val="12"/>
                <w:lang w:eastAsia="en-GB"/>
              </w:rPr>
            </w:pPr>
            <w:r>
              <w:rPr>
                <w:rFonts w:ascii="Arial" w:eastAsia="Times New Roman" w:hAnsi="Arial" w:cs="Arial"/>
                <w:color w:val="44B3E1"/>
                <w:sz w:val="12"/>
                <w:szCs w:val="12"/>
                <w:lang w:eastAsia="en-GB"/>
              </w:rPr>
              <w:t>SHY1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YGR112W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1.9E-03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involved in mitochondrial respiratory chain complex IV assembly; integral component of the mitochondrial inner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CENPK1137D_3089</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YGR122W</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YGR122W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9.3E-03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that may be involved in pH regulation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CENPK1137D_3129</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MRPS35</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YGR165W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Component of the small subunit of the mitochondrial ribosome, which mediates translation in the mitochondrion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lastRenderedPageBreak/>
              <w:t>CENPK1137D_3153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CRH1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YGR189C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Glucosyltransferase that cross-links chitin to beta(1-6) and beta(1-3) glucans in the cell wall; involved in cell wall organization; localized to sites of cell wall growth, such as incipient buds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CENPK1137D_3154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HIP1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YGR191W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2.2E-03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High-affinity L-h</w:t>
            </w:r>
            <w:r>
              <w:rPr>
                <w:rFonts w:ascii="Arial" w:eastAsia="Times New Roman" w:hAnsi="Arial" w:cs="Arial"/>
                <w:color w:val="000000"/>
                <w:sz w:val="12"/>
                <w:szCs w:val="12"/>
                <w:lang w:eastAsia="en-GB"/>
              </w:rPr>
              <w:t>istidine transmembrane transporter involved in histidine and manganese transport; localizes to cell periphery, plasma membrane, and endoplasmic reticulum</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CENPK1137D_3173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CIR1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YGR207C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1.00</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6.5E-04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Protein whose biological role is unknown; localizes to the </w:t>
            </w:r>
            <w:r>
              <w:rPr>
                <w:rFonts w:ascii="Arial" w:eastAsia="Times New Roman" w:hAnsi="Arial" w:cs="Arial"/>
                <w:color w:val="000000"/>
                <w:sz w:val="12"/>
                <w:szCs w:val="12"/>
                <w:lang w:eastAsia="en-GB"/>
              </w:rPr>
              <w:t>mitochondrion in different large-scale studies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CENPK1137D_3182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RSM27</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YGR215W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1.9E-03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Component of the small subunit of the mitochondrial ribosome, which mediates translation in the mitochondrion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CENPK1137D_3186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MRPL9</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YGR220C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1.00</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1.2E-04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Component </w:t>
            </w:r>
            <w:r>
              <w:rPr>
                <w:rFonts w:ascii="Arial" w:eastAsia="Times New Roman" w:hAnsi="Arial" w:cs="Arial"/>
                <w:color w:val="000000"/>
                <w:sz w:val="12"/>
                <w:szCs w:val="12"/>
                <w:lang w:eastAsia="en-GB"/>
              </w:rPr>
              <w:t>of the large subunit of the mitochondrial ribosome, which mediates translation in the mitochondrion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CENPK1137D_3199</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YHB1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YGR234W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1.5E-03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Nitric oxide reductase involved in response to reactive nitrogen species, oxidative stress, and misfolded </w:t>
            </w:r>
            <w:r>
              <w:rPr>
                <w:rFonts w:ascii="Arial" w:eastAsia="Times New Roman" w:hAnsi="Arial" w:cs="Arial"/>
                <w:color w:val="000000"/>
                <w:sz w:val="12"/>
                <w:szCs w:val="12"/>
                <w:lang w:eastAsia="en-GB"/>
              </w:rPr>
              <w:t>protein; localizes to nucleus, mitochondria, and stress granules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CENPK1137D_3314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MAL12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YGR292W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6.8E-03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with glucan 1,4-alpha-maltotriohydrolase, maltose alpha-glucosidase, and sucrose alpha-glucosidase activities; involved in sucrose and malt</w:t>
            </w:r>
            <w:r>
              <w:rPr>
                <w:rFonts w:ascii="Arial" w:eastAsia="Times New Roman" w:hAnsi="Arial" w:cs="Arial"/>
                <w:color w:val="000000"/>
                <w:sz w:val="12"/>
                <w:szCs w:val="12"/>
                <w:lang w:eastAsia="en-GB"/>
              </w:rPr>
              <w:t>ose catabolism</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CENPK1137D_5387</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LAG1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YHL003C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4.2E-04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Sphingosine N-acyltransferase subunit of the acyl-CoA ceramide synthase complex, involved in ceramide biosynthesis and replicative cell aging</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CENPK1137D_5379</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YHL009W-A</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YHL009W-A</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6.46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2.8E-03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Retrotransposon TYA Gag gene co-transcribed with TYB Pol</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CENPK1137D_5372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YLF2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YHL014C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1.21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3.4E-04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of unknown function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CENPK1137D_5384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ARN1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YHL040C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1.16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1.1E-05</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Siderophore transmembrane transporter that locailzes to cell periphery, cytoplasmic </w:t>
            </w:r>
            <w:r>
              <w:rPr>
                <w:rFonts w:ascii="Arial" w:eastAsia="Times New Roman" w:hAnsi="Arial" w:cs="Arial"/>
                <w:color w:val="000000"/>
                <w:sz w:val="12"/>
                <w:szCs w:val="12"/>
                <w:lang w:eastAsia="en-GB"/>
              </w:rPr>
              <w:t>vesicles, endosome, vacuole, and nucleus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CENPK1137D_5449</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D93D9"/>
                <w:sz w:val="12"/>
                <w:szCs w:val="12"/>
                <w:lang w:eastAsia="en-GB"/>
              </w:rPr>
            </w:pPr>
            <w:r>
              <w:rPr>
                <w:rFonts w:ascii="Arial" w:eastAsia="Times New Roman" w:hAnsi="Arial" w:cs="Arial"/>
                <w:color w:val="4D93D9"/>
                <w:sz w:val="12"/>
                <w:szCs w:val="12"/>
                <w:lang w:eastAsia="en-GB"/>
              </w:rPr>
              <w:t>COX6</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YHR051W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4.5E-04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Subunit of the mitochondrial respiratory chain complex IV; contributes to cytochrome c oxidase activity and electron transport to oxygen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CENPK1137D_5237</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MSR1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YHR091C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4.6E-03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Putative mitochondrial arginyl-tRNA synthetase that performs arginyl-tRNA aminoacylation by coupling arginine to arginyl-tRNA</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CENPK1137D_5332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SVP26</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YHR181W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1.3E-03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COPII receptor involved in ER to Golgi vesicle-mediated transport, cell wall o</w:t>
            </w:r>
            <w:r>
              <w:rPr>
                <w:rFonts w:ascii="Arial" w:eastAsia="Times New Roman" w:hAnsi="Arial" w:cs="Arial"/>
                <w:color w:val="000000"/>
                <w:sz w:val="12"/>
                <w:szCs w:val="12"/>
                <w:lang w:eastAsia="en-GB"/>
              </w:rPr>
              <w:t>rganization and protein retention in Golgi apparatus; localizes to ER</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CENPK1137D_5356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SMN1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YHR202W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0.82</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5.7E-03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whose biological role is unknown; localizes to the cytosol in a classical study and to the vacuole in a large scale study</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CENPK1137D_5024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PRM2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YIL037C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1.20</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3.9E-03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Membrane protein involved in cell fusion and karyogamy</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CENPK1137D_5140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RHO3</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YIL118W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6.5E-03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Cytosolic GTPase involved in activation of exocytosis, upregulation of actin cable assembly, and actin cytoskeleton </w:t>
            </w:r>
            <w:r>
              <w:rPr>
                <w:rFonts w:ascii="Arial" w:eastAsia="Times New Roman" w:hAnsi="Arial" w:cs="Arial"/>
                <w:color w:val="000000"/>
                <w:sz w:val="12"/>
                <w:szCs w:val="12"/>
                <w:lang w:eastAsia="en-GB"/>
              </w:rPr>
              <w:t>polarity; localizes to plasma membrane and bud</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CENPK1137D_5116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AXL2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YIL140W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0.68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9.9E-03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involved in axial cellular bud site selection; localizes to bud neck and bud neck septin ring</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CENPK1137D_1290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SYS1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YJL004C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0.74</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7.6E-03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Protein involved in </w:t>
            </w:r>
            <w:r>
              <w:rPr>
                <w:rFonts w:ascii="Arial" w:eastAsia="Times New Roman" w:hAnsi="Arial" w:cs="Arial"/>
                <w:color w:val="000000"/>
                <w:sz w:val="12"/>
                <w:szCs w:val="12"/>
                <w:lang w:eastAsia="en-GB"/>
              </w:rPr>
              <w:t>Golgi to endosome transport and protein localization to Golgi apparatus; localizes to trans-Golgi network</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CENPK1137D_1475</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CIS3</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YJL158C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0.67</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5.1E-03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Structural protein of the cell wall</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CENPK1137D_1207</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NUC1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YJL208C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1.45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2.0E-04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Endodeoxyribonuclease </w:t>
            </w:r>
            <w:r>
              <w:rPr>
                <w:rFonts w:ascii="Arial" w:eastAsia="Times New Roman" w:hAnsi="Arial" w:cs="Arial"/>
                <w:color w:val="000000"/>
                <w:sz w:val="12"/>
                <w:szCs w:val="12"/>
                <w:lang w:eastAsia="en-GB"/>
              </w:rPr>
              <w:t>involved in apoptotic DNA fragmentation, DNA and RNA catabolism; localizes to cytosol, nucleus and mitochondria</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CENPK1137D_1339</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D93D9"/>
                <w:sz w:val="12"/>
                <w:szCs w:val="12"/>
                <w:lang w:eastAsia="en-GB"/>
              </w:rPr>
            </w:pPr>
            <w:r>
              <w:rPr>
                <w:rFonts w:ascii="Arial" w:eastAsia="Times New Roman" w:hAnsi="Arial" w:cs="Arial"/>
                <w:color w:val="4D93D9"/>
                <w:sz w:val="12"/>
                <w:szCs w:val="12"/>
                <w:lang w:eastAsia="en-GB"/>
              </w:rPr>
              <w:t>CYC1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YJR048W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1.17</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7.0E-05</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Electron carrier of the mitochondrial inter membrane space, involved in ubiquinol-to-cytochrome c and</w:t>
            </w:r>
            <w:r>
              <w:rPr>
                <w:rFonts w:ascii="Arial" w:eastAsia="Times New Roman" w:hAnsi="Arial" w:cs="Arial"/>
                <w:color w:val="000000"/>
                <w:sz w:val="12"/>
                <w:szCs w:val="12"/>
                <w:lang w:eastAsia="en-GB"/>
              </w:rPr>
              <w:t xml:space="preserve"> cytochrome c-to-oxygen electron transport</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CENPK1137D_1370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MIR1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YJR077C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5.4E-04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Inorganic phosphate transmembrane transporter involved in phosphate ion transmembrane transport; integral mitochondrial inner membrane; localizes to mitochondria</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w:t>
            </w:r>
            <w:r>
              <w:rPr>
                <w:rFonts w:ascii="Arial" w:eastAsia="Times New Roman" w:hAnsi="Arial" w:cs="Arial"/>
                <w:color w:val="000000"/>
                <w:sz w:val="12"/>
                <w:szCs w:val="12"/>
                <w:lang w:eastAsia="en-GB"/>
              </w:rPr>
              <w:t>37D_1372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AIM24</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YJR080C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1.18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6.0E-06</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with a role in organization of the mitochondrial inner membrane; integral to the inner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CENPK1137D_1394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RSM26</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YJR101W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5.9E-04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Component of the small subunit of the mitochondrial ribosome, which </w:t>
            </w:r>
            <w:r>
              <w:rPr>
                <w:rFonts w:ascii="Arial" w:eastAsia="Times New Roman" w:hAnsi="Arial" w:cs="Arial"/>
                <w:color w:val="000000"/>
                <w:sz w:val="12"/>
                <w:szCs w:val="12"/>
                <w:lang w:eastAsia="en-GB"/>
              </w:rPr>
              <w:t>mediates translation in the mitochondrion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CENPK1137D_1415</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D93D9"/>
                <w:sz w:val="12"/>
                <w:szCs w:val="12"/>
                <w:lang w:eastAsia="en-GB"/>
              </w:rPr>
            </w:pPr>
            <w:r>
              <w:rPr>
                <w:rFonts w:ascii="Arial" w:eastAsia="Times New Roman" w:hAnsi="Arial" w:cs="Arial"/>
                <w:color w:val="4D93D9"/>
                <w:sz w:val="12"/>
                <w:szCs w:val="12"/>
                <w:lang w:eastAsia="en-GB"/>
              </w:rPr>
              <w:t>ATP2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YJR121W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0.94</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1.6E-04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Subunit of the catalytic core of the F1 sector of mitochondrial F1F0 ATP synthase; ATP synthase complex is localized to the mitochondrial inner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CENPK1137D_996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CCE1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YKL011C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3.4E-03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Endodeoxyribonuclease of the mitochondrial inner membrane; involved in mitochondrial genome maintenance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CENPK1137D_920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HOT13</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YKL084W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0.94</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Zinc-binding protein involved in mitochondrial protein import; localizes to mitocho</w:t>
            </w:r>
            <w:r>
              <w:rPr>
                <w:rFonts w:ascii="Arial" w:eastAsia="Times New Roman" w:hAnsi="Arial" w:cs="Arial"/>
                <w:color w:val="000000"/>
                <w:sz w:val="12"/>
                <w:szCs w:val="12"/>
                <w:lang w:eastAsia="en-GB"/>
              </w:rPr>
              <w:t>ndrial intermembrane space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CENPK1137D_917</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4B3E1"/>
                <w:sz w:val="12"/>
                <w:szCs w:val="12"/>
                <w:lang w:eastAsia="en-GB"/>
              </w:rPr>
            </w:pPr>
            <w:r>
              <w:rPr>
                <w:rFonts w:ascii="Arial" w:eastAsia="Times New Roman" w:hAnsi="Arial" w:cs="Arial"/>
                <w:color w:val="44B3E1"/>
                <w:sz w:val="12"/>
                <w:szCs w:val="12"/>
                <w:lang w:eastAsia="en-GB"/>
              </w:rPr>
              <w:t>CYT2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YKL087C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1.87</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1.1E-03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Holocytochrome c synthase involved in cytochrome c-heme linkage; localizes to mitochondrial intermembrane space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CENPK1137D_1188</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VPH2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YKL119C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3.3E-03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Subunit of Vma12-Vma22 assembly </w:t>
            </w:r>
            <w:r>
              <w:rPr>
                <w:rFonts w:ascii="Arial" w:eastAsia="Times New Roman" w:hAnsi="Arial" w:cs="Arial"/>
                <w:color w:val="000000"/>
                <w:sz w:val="12"/>
                <w:szCs w:val="12"/>
                <w:lang w:eastAsia="en-GB"/>
              </w:rPr>
              <w:t>complex, involved in vacuolar acidification and assembly of the V-type ATPase complex; localizes to 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CENPK1137D_1173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OCT1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YKL134C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0.84</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4.7E-03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Mitochondrial metalloendopeptidase involved in protein processing and targeting, protein </w:t>
            </w:r>
            <w:r>
              <w:rPr>
                <w:rFonts w:ascii="Arial" w:eastAsia="Times New Roman" w:hAnsi="Arial" w:cs="Arial"/>
                <w:color w:val="000000"/>
                <w:sz w:val="12"/>
                <w:szCs w:val="12"/>
                <w:lang w:eastAsia="en-GB"/>
              </w:rPr>
              <w:t>stabilization, and iron homeostasis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CENPK1137D_1171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4B3E1"/>
                <w:sz w:val="12"/>
                <w:szCs w:val="12"/>
                <w:lang w:eastAsia="en-GB"/>
              </w:rPr>
            </w:pPr>
            <w:r>
              <w:rPr>
                <w:rFonts w:ascii="Arial" w:eastAsia="Times New Roman" w:hAnsi="Arial" w:cs="Arial"/>
                <w:color w:val="44B3E1"/>
                <w:sz w:val="12"/>
                <w:szCs w:val="12"/>
                <w:lang w:eastAsia="en-GB"/>
              </w:rPr>
              <w:t>CMC1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YKL137W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4.8E-03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Copper-binding protein of the mitochondrial intermembrane space; involved in assembly of cytochrome c oxidase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CENPK1137D_1166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D93D9"/>
                <w:sz w:val="12"/>
                <w:szCs w:val="12"/>
                <w:lang w:eastAsia="en-GB"/>
              </w:rPr>
            </w:pPr>
            <w:r>
              <w:rPr>
                <w:rFonts w:ascii="Arial" w:eastAsia="Times New Roman" w:hAnsi="Arial" w:cs="Arial"/>
                <w:color w:val="4D93D9"/>
                <w:sz w:val="12"/>
                <w:szCs w:val="12"/>
                <w:lang w:eastAsia="en-GB"/>
              </w:rPr>
              <w:t>SDH3</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YKL141W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0.72</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8.6E-03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Subunit of the succinate</w:t>
            </w:r>
            <w:r>
              <w:rPr>
                <w:rFonts w:ascii="Arial" w:eastAsia="Times New Roman" w:hAnsi="Arial" w:cs="Arial"/>
                <w:color w:val="000000"/>
                <w:sz w:val="12"/>
                <w:szCs w:val="12"/>
                <w:lang w:eastAsia="en-GB"/>
              </w:rPr>
              <w:t xml:space="preserve"> dehydrogenase mitochondrial respiratory chain complex, and also of the TIM22 mitochondrial inner membrane protein insertion complex; required for cellular respiration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CENPK1137D_1145</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MCD4</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YKL165C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7.6E-03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with mannose-ethanolamine phosphotran</w:t>
            </w:r>
            <w:r>
              <w:rPr>
                <w:rFonts w:ascii="Arial" w:eastAsia="Times New Roman" w:hAnsi="Arial" w:cs="Arial"/>
                <w:color w:val="000000"/>
                <w:sz w:val="12"/>
                <w:szCs w:val="12"/>
                <w:lang w:eastAsia="en-GB"/>
              </w:rPr>
              <w:t>sferase activity; involved in  ATP transport and in biosynthesis of glycosylphosphatidylinositol (GPI) anchors; localizes to the vacuole, cell wall, and endoplasmic reticulum</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CENPK1137D_1080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MST1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YKL194C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1.27</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2.1E-04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Mitochondrial threonyl-tRNA synthetase</w:t>
            </w:r>
            <w:r>
              <w:rPr>
                <w:rFonts w:ascii="Arial" w:eastAsia="Times New Roman" w:hAnsi="Arial" w:cs="Arial"/>
                <w:color w:val="000000"/>
                <w:sz w:val="12"/>
                <w:szCs w:val="12"/>
                <w:lang w:eastAsia="en-GB"/>
              </w:rPr>
              <w:t xml:space="preserve"> that performs threonyl-tRNA aminoacylation in the mitochondria by coupling threonine to threonyl-tRNA</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CENPK1137D_1152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SRY1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YKL218C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2.0E-03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Threo-3-hydroxyaspartate ammonia-lyase involved in catabolism of modified amino acids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CENPK1137D_1022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PRY2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YKR013W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3.2E-04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Sterol binding protein; involved in the export of free fatty acids and sterols; localizes to the extracellular region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CENPK1137D_1026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MIC60</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YKR016W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5.4E-04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Subunit of MICOS, a mitochondrial inner membrane complex; involved in </w:t>
            </w:r>
            <w:r>
              <w:rPr>
                <w:rFonts w:ascii="Arial" w:eastAsia="Times New Roman" w:hAnsi="Arial" w:cs="Arial"/>
                <w:color w:val="000000"/>
                <w:sz w:val="12"/>
                <w:szCs w:val="12"/>
                <w:lang w:eastAsia="en-GB"/>
              </w:rPr>
              <w:t>mitochondrial cristae formation and the import of proteins into the mitochondrial intermembrane space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CENPK1137D_1041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GMH1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YKR030W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1.20</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2.5E-05</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Golgi integral membrane protein involved in vesicle-mediated transport</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CENPK1137D_1099</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OMA1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YKR087C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0.74</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9.1E-03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Metalloendopeptidase involved in mitochondrial protein catabolism, response to redox state and TOR signaling; localizes to mitochondrial inner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lastRenderedPageBreak/>
              <w:t>CENPK1137D_455</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MEF1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YLR069C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7.5E-04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Mitochondrial translation elongation factor</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w:t>
            </w:r>
            <w:r>
              <w:rPr>
                <w:rFonts w:ascii="Arial" w:eastAsia="Times New Roman" w:hAnsi="Arial" w:cs="Arial"/>
                <w:color w:val="000000"/>
                <w:sz w:val="12"/>
                <w:szCs w:val="12"/>
                <w:lang w:eastAsia="en-GB"/>
              </w:rPr>
              <w:t>D_570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PEX13</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YLR191W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3.5E-03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Subunit of the peroxisomal importomer complex involved in the docking of proteins in the peroxisomal matrix</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CENPK1137D_614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LIP2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YLR239C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2.3E-03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Mitochondrial ligase involved in protein lipoylation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CENPK1137D_625</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SSP120</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YLR250W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2.3E-03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whose biological role is unknown; localizes to the cytoplasm in a large-scale study</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CENPK1137D_627</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CQD2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YLR253W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5.7E-04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Protein involved in mitochondrion organization during lipid homeostatis; is an integral </w:t>
            </w:r>
            <w:r>
              <w:rPr>
                <w:rFonts w:ascii="Arial" w:eastAsia="Times New Roman" w:hAnsi="Arial" w:cs="Arial"/>
                <w:color w:val="000000"/>
                <w:sz w:val="12"/>
                <w:szCs w:val="12"/>
                <w:lang w:eastAsia="en-GB"/>
              </w:rPr>
              <w:t>component of the mitochondrial inner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CENPK1137D_686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MRPL15</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YLR312W-A</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Component of the large subunit of the mitochondrial ribosome, which mediates translation in the mitochondrion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CENPK1137D_698</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YLR326W</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YLR326W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9.3E-04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Protein </w:t>
            </w:r>
            <w:r>
              <w:rPr>
                <w:rFonts w:ascii="Arial" w:eastAsia="Times New Roman" w:hAnsi="Arial" w:cs="Arial"/>
                <w:color w:val="000000"/>
                <w:sz w:val="12"/>
                <w:szCs w:val="12"/>
                <w:lang w:eastAsia="en-GB"/>
              </w:rPr>
              <w:t>whose biological role is unknown; localizes to the cell periphery</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CENPK1137D_702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JIP3</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YLR331C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1.35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1.4E-04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whose biological role and cellular location are unknown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CENPK1137D_742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ELO3</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YLR372W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0.72</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3.4E-03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Fatty acid elongase involved in very </w:t>
            </w:r>
            <w:r>
              <w:rPr>
                <w:rFonts w:ascii="Arial" w:eastAsia="Times New Roman" w:hAnsi="Arial" w:cs="Arial"/>
                <w:color w:val="000000"/>
                <w:sz w:val="12"/>
                <w:szCs w:val="12"/>
                <w:lang w:eastAsia="en-GB"/>
              </w:rPr>
              <w:t>long-chain fatty acid biosynthesis, sphingolipid biosynthesis and late endosome to vacuole transport via the multivesicular body sorting pathway; localizes to the endoplasmic reticulum</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CENPK1137D_54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MRPL3</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YMR024W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1.21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1.3E-05</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Component of the large </w:t>
            </w:r>
            <w:r>
              <w:rPr>
                <w:rFonts w:ascii="Arial" w:eastAsia="Times New Roman" w:hAnsi="Arial" w:cs="Arial"/>
                <w:color w:val="000000"/>
                <w:sz w:val="12"/>
                <w:szCs w:val="12"/>
                <w:lang w:eastAsia="en-GB"/>
              </w:rPr>
              <w:t>subunit of the mitochondrial ribosome, which mediates translation in the mitochondrion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CENPK1137D_166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ERG29</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YMR134W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0.84</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involved in iron homeostasis, ergosterol biosynthesis, and mitochondrion organization; localizes to cytoplasm, endopla</w:t>
            </w:r>
            <w:r>
              <w:rPr>
                <w:rFonts w:ascii="Arial" w:eastAsia="Times New Roman" w:hAnsi="Arial" w:cs="Arial"/>
                <w:color w:val="000000"/>
                <w:sz w:val="12"/>
                <w:szCs w:val="12"/>
                <w:lang w:eastAsia="en-GB"/>
              </w:rPr>
              <w:t>smic reticulum, and nuclear envelope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CENPK1137D_177</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NDE1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YMR145C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1.7E-03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NADH dehydrogenase involved glycolytic fermentation to ethanol and NADH oxidation; also involved in regulation of apoptosis; localizes to mitochondria</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CENPK1137D_192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ATG16</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YMR159C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2.23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3.7E-03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sz w:val="12"/>
                <w:szCs w:val="12"/>
                <w:lang w:eastAsia="en-GB"/>
              </w:rPr>
              <w:t xml:space="preserve">Atg8 ligase (conjugates Atg8p to phosphatidylethanolamine, PE); subunit of the Atg12-Atg5-Atg16 complex; involved in macroautophagy, cytoplasm-to-vacuole targeting (CVT) pathway, late nucleophagy, piecemeal microautophagy of nucleus, </w:t>
            </w:r>
            <w:r>
              <w:rPr>
                <w:rFonts w:ascii="Arial" w:eastAsia="Times New Roman" w:hAnsi="Arial" w:cs="Arial"/>
                <w:sz w:val="12"/>
                <w:szCs w:val="12"/>
                <w:lang w:eastAsia="en-GB"/>
              </w:rPr>
              <w:t>protein lipidation and mitochondrion degradation; localizes to the pre-autophagosomal structure (PAS)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CENPK1137D_222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MRPS17</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YMR188C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7.4E-03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Component of the small subunit of the mitochondrial ribosome, which mediates translation in the mitochondrion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CENPK1137D_267</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MTF1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YMR228W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2.3E-03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Mitochondrial transcription factor involved in transcription initiation from mitochondrial promoter and activation of RNA elongation; subunit of mitochondrial DNA-directed RNA polymerase complex; localizes to mitoc</w:t>
            </w:r>
            <w:r>
              <w:rPr>
                <w:rFonts w:ascii="Arial" w:eastAsia="Times New Roman" w:hAnsi="Arial" w:cs="Arial"/>
                <w:color w:val="000000"/>
                <w:sz w:val="12"/>
                <w:szCs w:val="12"/>
                <w:lang w:eastAsia="en-GB"/>
              </w:rPr>
              <w:t>hondrial matrix and intermembrane space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CENPK1137D_348</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YME2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YMR302C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0.67</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9.4E-03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Mitochondrial inner membrane protein involved in mitochondrial genome maintenance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CENPK1137D_350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SCW10</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YMR305C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0.77</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3.0E-03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Cell wall protein with possible glucosidase </w:t>
            </w:r>
            <w:r>
              <w:rPr>
                <w:rFonts w:ascii="Arial" w:eastAsia="Times New Roman" w:hAnsi="Arial" w:cs="Arial"/>
                <w:color w:val="000000"/>
                <w:sz w:val="12"/>
                <w:szCs w:val="12"/>
                <w:lang w:eastAsia="en-GB"/>
              </w:rPr>
              <w:t>activity; appears to be involved in conjugation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CENPK1137D_352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GAS1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YMR307W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0.69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3.7E-03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sz w:val="12"/>
                <w:szCs w:val="12"/>
                <w:lang w:eastAsia="en-GB"/>
              </w:rPr>
              <w:t>1,3-beta-glucanosyltransferase, catalyzes splitting and linking of (1-&gt;3)-beta-D-glucan molecules that leads to elongation of (1-&gt;3)-beta-D-glucan chains; involved in</w:t>
            </w:r>
            <w:r>
              <w:rPr>
                <w:rFonts w:ascii="Arial" w:eastAsia="Times New Roman" w:hAnsi="Arial" w:cs="Arial"/>
                <w:sz w:val="12"/>
                <w:szCs w:val="12"/>
                <w:lang w:eastAsia="en-GB"/>
              </w:rPr>
              <w:t xml:space="preserve"> cell wall organization, also has a role in chromatin silencing; localized to cell wall, nuclear periphery and throughout secretory pathway</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CENPK1137D_2671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MRP7</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YNL005C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0.77</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5.0E-03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Component of the large subunit of the mitochondrial ribosome, which </w:t>
            </w:r>
            <w:r>
              <w:rPr>
                <w:rFonts w:ascii="Arial" w:eastAsia="Times New Roman" w:hAnsi="Arial" w:cs="Arial"/>
                <w:color w:val="000000"/>
                <w:sz w:val="12"/>
                <w:szCs w:val="12"/>
                <w:lang w:eastAsia="en-GB"/>
              </w:rPr>
              <w:t>mediates translation in the mitochondrion; may have a role in ribosomal peptidyltransferase activity</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CENPK1137D_2578</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MIC27</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YNL100W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0.82</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2.4E-03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involved in cristae formation and protein-containing complex subunit organization; subunit of MICOS com</w:t>
            </w:r>
            <w:r>
              <w:rPr>
                <w:rFonts w:ascii="Arial" w:eastAsia="Times New Roman" w:hAnsi="Arial" w:cs="Arial"/>
                <w:color w:val="000000"/>
                <w:sz w:val="12"/>
                <w:szCs w:val="12"/>
                <w:lang w:eastAsia="en-GB"/>
              </w:rPr>
              <w:t>plex; localizes to vacuole membrane and mitochondria</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CENPK1137D_2559</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TOM70</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YNL121C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sz w:val="12"/>
                <w:szCs w:val="12"/>
                <w:lang w:eastAsia="en-GB"/>
              </w:rPr>
              <w:t xml:space="preserve">Protein transmembrane transporter with mitochondrion targeting sequence binding activity involved in protein targeting to mitochondrion, protein import into </w:t>
            </w:r>
            <w:r>
              <w:rPr>
                <w:rFonts w:ascii="Arial" w:eastAsia="Times New Roman" w:hAnsi="Arial" w:cs="Arial"/>
                <w:sz w:val="12"/>
                <w:szCs w:val="12"/>
                <w:lang w:eastAsia="en-GB"/>
              </w:rPr>
              <w:t>mitochondrial matrix, and in protein insertion into mitochondrial inner membrane; subunit of mitochondrial outer membrane translocase complex</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CENPK1137D_2548</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TOM22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YNL131W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0.68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8.1E-03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Protein transmembrane transporter involved in protein import into </w:t>
            </w:r>
            <w:r>
              <w:rPr>
                <w:rFonts w:ascii="Arial" w:eastAsia="Times New Roman" w:hAnsi="Arial" w:cs="Arial"/>
                <w:color w:val="000000"/>
                <w:sz w:val="12"/>
                <w:szCs w:val="12"/>
                <w:lang w:eastAsia="en-GB"/>
              </w:rPr>
              <w:t>mitochondrial matrix and protein insertion into mitochondrial outer membrane; subunit of mitochondrial outer membrane translocase complex</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CENPK1137D_2542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NAM9</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YNL137C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1.13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4.9E-05</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Component of the small subunit of the mitochondrial ribosome, which </w:t>
            </w:r>
            <w:r>
              <w:rPr>
                <w:rFonts w:ascii="Arial" w:eastAsia="Times New Roman" w:hAnsi="Arial" w:cs="Arial"/>
                <w:color w:val="000000"/>
                <w:sz w:val="12"/>
                <w:szCs w:val="12"/>
                <w:lang w:eastAsia="en-GB"/>
              </w:rPr>
              <w:t>mediates translation in the mitochondrion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CENPK1137D_2756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MRPL10</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YNL284C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1.1E-03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Component of the large subunit of the mitochondrial ribosome, which mediates translation in the mitochondrion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CENPK1137D_2774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PFA3</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YNL326C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0.90</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3.0E-03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Vacuolar </w:t>
            </w:r>
            <w:r>
              <w:rPr>
                <w:rFonts w:ascii="Arial" w:eastAsia="Times New Roman" w:hAnsi="Arial" w:cs="Arial"/>
                <w:color w:val="000000"/>
                <w:sz w:val="12"/>
                <w:szCs w:val="12"/>
                <w:lang w:eastAsia="en-GB"/>
              </w:rPr>
              <w:t>membrane palmitoyltransferase involved in non-autophagic vacuole fusion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CENPK1137D_2014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CSI2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YOL007C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1.10</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1.3E-03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whose biological role is unknown; localizes to the bud neck and vacuole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CENPK1137D_2000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TAT2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YOL020W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7.7E-03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Aromatic amino </w:t>
            </w:r>
            <w:r>
              <w:rPr>
                <w:rFonts w:ascii="Arial" w:eastAsia="Times New Roman" w:hAnsi="Arial" w:cs="Arial"/>
                <w:color w:val="000000"/>
                <w:sz w:val="12"/>
                <w:szCs w:val="12"/>
                <w:lang w:eastAsia="en-GB"/>
              </w:rPr>
              <w:t>acid transmembrane transporter involved in tryptophan transport; localizes to eisosome, plasma membrane and ER</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CENPK1137D_1997</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IFM1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YOL023W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6.4E-03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Mitochondrial translation initiation factor; binds tRNA and has GTPase activity</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CENPK1137D_1992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MDM38</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YOL027C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0.69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7.5E-03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sz w:val="12"/>
                <w:szCs w:val="12"/>
                <w:lang w:eastAsia="en-GB"/>
              </w:rPr>
              <w:t xml:space="preserve">Ribosome binding protein that positively regulates mitochondrial translation with Mba1p; involved in cellular potassium ion homeostasis by transporting potassium ions with Rbk1p and YDL183Cp; plays a role in biogenesis of both </w:t>
            </w:r>
            <w:r>
              <w:rPr>
                <w:rFonts w:ascii="Arial" w:eastAsia="Times New Roman" w:hAnsi="Arial" w:cs="Arial"/>
                <w:sz w:val="12"/>
                <w:szCs w:val="12"/>
                <w:lang w:eastAsia="en-GB"/>
              </w:rPr>
              <w:t>cytochrome bc(1) and cytochrome c oxidase complexes; localized to mitochondrial inner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CENPK1137D_1967</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AIM39</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YOL053W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0.80</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whose biological role is unknown; localizes to the mitochondrion in a large scale study</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CENPK1137D_2414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ITR2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YOL103W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0.92</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1.8E-03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Myo-inositol transmembrane transporter that localizes to cell periphery, plasma membrane, and vacuole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CENPK1137D_1982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FRE7</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YOL152W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1.35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6.5E-05</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Iron chelate reductase involved in copper and iron transport; localizes to plasma </w:t>
            </w:r>
            <w:r>
              <w:rPr>
                <w:rFonts w:ascii="Arial" w:eastAsia="Times New Roman" w:hAnsi="Arial" w:cs="Arial"/>
                <w:color w:val="000000"/>
                <w:sz w:val="12"/>
                <w:szCs w:val="12"/>
                <w:lang w:eastAsia="en-GB"/>
              </w:rPr>
              <w:t>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CENPK1137D_2085</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D93D9"/>
                <w:sz w:val="12"/>
                <w:szCs w:val="12"/>
                <w:lang w:eastAsia="en-GB"/>
              </w:rPr>
            </w:pPr>
            <w:r>
              <w:rPr>
                <w:rFonts w:ascii="Arial" w:eastAsia="Times New Roman" w:hAnsi="Arial" w:cs="Arial"/>
                <w:color w:val="4D93D9"/>
                <w:sz w:val="12"/>
                <w:szCs w:val="12"/>
                <w:lang w:eastAsia="en-GB"/>
              </w:rPr>
              <w:t>CYT1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YOR065W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4.8E-04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Subunit of mitochonrial respiratory complex III, acts as an electron carrier that moves electrons within the ubiquinol-cytochrome c reductase complex; localized to mitochondrial inner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CENPK1137D_2098</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ATX2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YOR079C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4.7E-03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Manganese ion transmembrane transporter involved in manganese ion homeostasis; localizes to endoplasmic reticulum, Golgi membrane, trans-Golgi network, and late endosome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CENPK1137D_2122</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PIN2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YOR104W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Predicted integral membrane protein whose biological role is unknown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lastRenderedPageBreak/>
              <w:t>CENPK1137D_2153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IDH2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YOR136W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0.77</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9.3E-03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Catalytic subunit of the mitochondrial isocitrate dehydrogenase complex; has roles in isocitrate metabolism, glutamate biosynthesis, and the </w:t>
            </w:r>
            <w:r>
              <w:rPr>
                <w:rFonts w:ascii="Arial" w:eastAsia="Times New Roman" w:hAnsi="Arial" w:cs="Arial"/>
                <w:color w:val="000000"/>
                <w:sz w:val="12"/>
                <w:szCs w:val="12"/>
                <w:lang w:eastAsia="en-GB"/>
              </w:rPr>
              <w:t>tricarboxylic acid cycle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CENPK1137D_2203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TUF1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YOR187W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1.13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3.4E-05</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Mitochondrial translation elongation factor, catalyzes the binding of aminoacyl-tRNA to ribosomes and possesses an intrinsic GTPase activity</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CENPK1137D_2231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SPR2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YOR214C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2.52</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4.1E-04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whose biological role is unknown; localizes to the cell wall</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CENPK1137D_2303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MPD1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YOR288C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0.84</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3.6E-03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disulfide isomerase involved in protein folding; localizes to ER and vacuole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CENPK1137D_2323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RRG7</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YOR305W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1.15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8.7E-03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Protein whose </w:t>
            </w:r>
            <w:r>
              <w:rPr>
                <w:rFonts w:ascii="Arial" w:eastAsia="Times New Roman" w:hAnsi="Arial" w:cs="Arial"/>
                <w:color w:val="000000"/>
                <w:sz w:val="12"/>
                <w:szCs w:val="12"/>
                <w:lang w:eastAsia="en-GB"/>
              </w:rPr>
              <w:t>biological role is unknown; localizes to the mitochondrion in a large-scale study</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CENPK1137D_1661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ISM1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YPL040C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1.6E-03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Mitochondrial isoleucine-tRNA ligase that couples isoleucine to isoleucyl-tRNA</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CENPK1137D_1651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MNN9</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YPL050C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0.67</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9.1E-03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Alpha-1,6-mannosyltransferase involved in protein N-linked glycosylation; localizes to ER and cis-Golgi network</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CENPK1137D_1643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SUR1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YPL057C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0.68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6.4E-03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Catalytic subunit of mannosylinositol phosphorylceramide (MIPC) synthase; required for biosynthesis </w:t>
            </w:r>
            <w:r>
              <w:rPr>
                <w:rFonts w:ascii="Arial" w:eastAsia="Times New Roman" w:hAnsi="Arial" w:cs="Arial"/>
                <w:color w:val="000000"/>
                <w:sz w:val="12"/>
                <w:szCs w:val="12"/>
                <w:lang w:eastAsia="en-GB"/>
              </w:rPr>
              <w:t>of mature sphingolipids; predicted to be integral to membranes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CENPK1137D_1621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D93D9"/>
                <w:sz w:val="12"/>
                <w:szCs w:val="12"/>
                <w:lang w:eastAsia="en-GB"/>
              </w:rPr>
            </w:pPr>
            <w:r>
              <w:rPr>
                <w:rFonts w:ascii="Arial" w:eastAsia="Times New Roman" w:hAnsi="Arial" w:cs="Arial"/>
                <w:color w:val="4D93D9"/>
                <w:sz w:val="12"/>
                <w:szCs w:val="12"/>
                <w:lang w:eastAsia="en-GB"/>
              </w:rPr>
              <w:t>ATP4</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YPL078C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2.3E-03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Subunit of stator stalk of F0 coupling factor of mitochondrial F1F0 ATP synthase; also has a role in oligomerization of the ATP synthase complex, </w:t>
            </w:r>
            <w:r>
              <w:rPr>
                <w:rFonts w:ascii="Arial" w:eastAsia="Times New Roman" w:hAnsi="Arial" w:cs="Arial"/>
                <w:color w:val="000000"/>
                <w:sz w:val="12"/>
                <w:szCs w:val="12"/>
                <w:lang w:eastAsia="en-GB"/>
              </w:rPr>
              <w:t>which is localized to mitochondrial inner membrane; involved in ATP-synthesis coupled proton transport</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CENPK1137D_1613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YDC1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YPL087W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0.79</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5.0E-03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Dihydroceramidase involved in ceramide metabolism; localizes to endoplasmic reticulum and vacuole membrane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w:t>
            </w:r>
            <w:r>
              <w:rPr>
                <w:rFonts w:ascii="Arial" w:eastAsia="Times New Roman" w:hAnsi="Arial" w:cs="Arial"/>
                <w:color w:val="000000"/>
                <w:sz w:val="12"/>
                <w:szCs w:val="12"/>
                <w:lang w:eastAsia="en-GB"/>
              </w:rPr>
              <w:t>NPK1137D_1603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MSY1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YPL097W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1.23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1.2E-04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Mitochondrial tyrosyl-tRNA synthetase that performs mitochondrial tyrosyl-tRNA aminoacylation by coupling tyrosine to tyrosyl-tRNA</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CENPK1137D_1597</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FMP30</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YPL103C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0.82</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8.7E-03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Putative NAPE-specific phospholipase D </w:t>
            </w:r>
            <w:r>
              <w:rPr>
                <w:rFonts w:ascii="Arial" w:eastAsia="Times New Roman" w:hAnsi="Arial" w:cs="Arial"/>
                <w:color w:val="000000"/>
                <w:sz w:val="12"/>
                <w:szCs w:val="12"/>
                <w:lang w:eastAsia="en-GB"/>
              </w:rPr>
              <w:t>involved in N-acylethanolamine and N-acylphosphatidylethanolamine metabolism; localizes to mitochondria</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CENPK1137D_1596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MSD1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YPL104W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6.7E-04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Mitochondrial aspartyl-tRNA synthetase that performs aspartyl-tRNA aminoacylation by coupling aspartate to </w:t>
            </w:r>
            <w:r>
              <w:rPr>
                <w:rFonts w:ascii="Arial" w:eastAsia="Times New Roman" w:hAnsi="Arial" w:cs="Arial"/>
                <w:color w:val="000000"/>
                <w:sz w:val="12"/>
                <w:szCs w:val="12"/>
                <w:lang w:eastAsia="en-GB"/>
              </w:rPr>
              <w:t>aspartyl-tRNA</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CENPK1137D_1566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D93D9"/>
                <w:sz w:val="12"/>
                <w:szCs w:val="12"/>
                <w:lang w:eastAsia="en-GB"/>
              </w:rPr>
            </w:pPr>
            <w:r>
              <w:rPr>
                <w:rFonts w:ascii="Arial" w:eastAsia="Times New Roman" w:hAnsi="Arial" w:cs="Arial"/>
                <w:color w:val="4D93D9"/>
                <w:sz w:val="12"/>
                <w:szCs w:val="12"/>
                <w:lang w:eastAsia="en-GB"/>
              </w:rPr>
              <w:t>COX11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YPL132W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0.96</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8.7E-04</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Mitochondrial inner membrane protein that binds copper and is involved in respiratory chain complex assembly</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CENPK1137D_1526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D93D9"/>
                <w:sz w:val="12"/>
                <w:szCs w:val="12"/>
                <w:lang w:eastAsia="en-GB"/>
              </w:rPr>
            </w:pPr>
            <w:r>
              <w:rPr>
                <w:rFonts w:ascii="Arial" w:eastAsia="Times New Roman" w:hAnsi="Arial" w:cs="Arial"/>
                <w:color w:val="4D93D9"/>
                <w:sz w:val="12"/>
                <w:szCs w:val="12"/>
                <w:lang w:eastAsia="en-GB"/>
              </w:rPr>
              <w:t>COX10</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YPL172C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1.10</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1.7E-03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Putative protoheme IX farnesyltransferase, </w:t>
            </w:r>
            <w:r>
              <w:rPr>
                <w:rFonts w:ascii="Arial" w:eastAsia="Times New Roman" w:hAnsi="Arial" w:cs="Arial"/>
                <w:color w:val="000000"/>
                <w:sz w:val="12"/>
                <w:szCs w:val="12"/>
                <w:lang w:eastAsia="en-GB"/>
              </w:rPr>
              <w:t>catalyzes conversion of protoheme to heme A in heme A biosynthesis; localized to mitochondria in high-throughput experiments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CENPK1137D_1918</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TYW1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YPL207W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6.2E-03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S-adenosyl-L-methionine binding protein involved in wybutosine biosynthesis; localizes t</w:t>
            </w:r>
            <w:r>
              <w:rPr>
                <w:rFonts w:ascii="Arial" w:eastAsia="Times New Roman" w:hAnsi="Arial" w:cs="Arial"/>
                <w:color w:val="000000"/>
                <w:sz w:val="12"/>
                <w:szCs w:val="12"/>
                <w:lang w:eastAsia="en-GB"/>
              </w:rPr>
              <w:t>o endoplasmic reticulum</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CENPK1137D_1855</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VMA11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YPL234C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2.4E-03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Subunit of V0 vacuolar domain of V-ATPase involved in vacuolar acidification; localizes to vacuole membrane and cell periphery</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CENPK1137D_1733</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RBD2</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YPL246C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8.3E-03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Predicted integral</w:t>
            </w:r>
            <w:r>
              <w:rPr>
                <w:rFonts w:ascii="Arial" w:eastAsia="Times New Roman" w:hAnsi="Arial" w:cs="Arial"/>
                <w:color w:val="000000"/>
                <w:sz w:val="12"/>
                <w:szCs w:val="12"/>
                <w:lang w:eastAsia="en-GB"/>
              </w:rPr>
              <w:t xml:space="preserve"> membrane protein whose biological role is unknown; colocalizes with COPI-coated vesicles and localizes to the Golgi apparatus in multiple large-scale studies; localizes to the nuclear periphery</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CENPK1137D_1524</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SAM3</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YPL274W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0.68</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5.4E-03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Plasma membrane pr</w:t>
            </w:r>
            <w:r>
              <w:rPr>
                <w:rFonts w:ascii="Arial" w:eastAsia="Times New Roman" w:hAnsi="Arial" w:cs="Arial"/>
                <w:color w:val="000000"/>
                <w:sz w:val="12"/>
                <w:szCs w:val="12"/>
                <w:lang w:eastAsia="en-GB"/>
              </w:rPr>
              <w:t>otein involved in transporting spermidine, putrescine, and S-adenosyl-L-methionine</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CENPK1137D_1726</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YME1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YPR024W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0.83</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2.3E-03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ATP-dependent peptidase of the inner mitochondrial membrane; subunit of the i-AAA complex involved in mitochondrial protein </w:t>
            </w:r>
            <w:r>
              <w:rPr>
                <w:rFonts w:ascii="Arial" w:eastAsia="Times New Roman" w:hAnsi="Arial" w:cs="Arial"/>
                <w:color w:val="000000"/>
                <w:sz w:val="12"/>
                <w:szCs w:val="12"/>
                <w:lang w:eastAsia="en-GB"/>
              </w:rPr>
              <w:t>turnover; also involved in protein import, folding and maturation</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CENPK1137D_1728</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YPR027C</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YPR027C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8.1E-03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Protein whose biological role is unknown; localizes to the endoplasmic reticulum</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CENPK1137D_1749</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2"/>
                <w:szCs w:val="12"/>
                <w:lang w:eastAsia="en-GB"/>
              </w:rPr>
            </w:pPr>
            <w:r>
              <w:rPr>
                <w:rFonts w:ascii="Arial" w:eastAsia="Times New Roman" w:hAnsi="Arial" w:cs="Arial"/>
                <w:color w:val="FF0000"/>
                <w:sz w:val="12"/>
                <w:szCs w:val="12"/>
                <w:lang w:eastAsia="en-GB"/>
              </w:rPr>
              <w:t>MSF1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YPR047W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1.2E-03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Mitochondrial </w:t>
            </w:r>
            <w:r>
              <w:rPr>
                <w:rFonts w:ascii="Arial" w:eastAsia="Times New Roman" w:hAnsi="Arial" w:cs="Arial"/>
                <w:color w:val="000000"/>
                <w:sz w:val="12"/>
                <w:szCs w:val="12"/>
                <w:lang w:eastAsia="en-GB"/>
              </w:rPr>
              <w:t>phenylalanyl-tRNA synthetase that catalyzes phenylalanyl-tRNA aminoacylation through the coupling of phenylalanine to phenylalanyl-tRNA</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CENPK1137D_1780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DIB1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YPR082C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0.91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5.2E-03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Subunit of the U4/U6 x U5 tri-small nuclear RNP (snRNP) complex involved in m</w:t>
            </w:r>
            <w:r>
              <w:rPr>
                <w:rFonts w:ascii="Arial" w:eastAsia="Times New Roman" w:hAnsi="Arial" w:cs="Arial"/>
                <w:color w:val="000000"/>
                <w:sz w:val="12"/>
                <w:szCs w:val="12"/>
                <w:lang w:eastAsia="en-GB"/>
              </w:rPr>
              <w:t>essenger RNA (mRNA) splicing via spliceosome; localizes to U5 snRNP</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CENPK1137D_1831</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LOA1</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YPR139C</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1.05</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6.8E-05</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Lysophosphatidic acid acyltransferase that transfers acyl groups from an acyl-CoA to lysophosphatidic acid to form phosphatidic acid; involved in</w:t>
            </w:r>
            <w:r>
              <w:rPr>
                <w:rFonts w:ascii="Arial" w:eastAsia="Times New Roman" w:hAnsi="Arial" w:cs="Arial"/>
                <w:color w:val="000000"/>
                <w:sz w:val="12"/>
                <w:szCs w:val="12"/>
                <w:lang w:eastAsia="en-GB"/>
              </w:rPr>
              <w:t xml:space="preserve"> triglyceride homeostasis and lipid droplet organization; localized to the ER and lipid droplets</w:t>
            </w:r>
          </w:p>
        </w:tc>
      </w:tr>
      <w:tr w:rsidR="00095408" w:rsidTr="00095408">
        <w:trPr>
          <w:trHeight w:val="290"/>
        </w:trPr>
        <w:tc>
          <w:tcPr>
            <w:cnfStyle w:val="001000000000" w:firstRow="0" w:lastRow="0" w:firstColumn="1" w:lastColumn="0" w:oddVBand="0" w:evenVBand="0" w:oddHBand="0" w:evenHBand="0" w:firstRowFirstColumn="0" w:firstRowLastColumn="0" w:lastRowFirstColumn="0" w:lastRowLastColumn="0"/>
            <w:tcW w:w="1412" w:type="dxa"/>
            <w:vAlign w:val="center"/>
          </w:tcPr>
          <w:p w:rsidR="00095408" w:rsidRDefault="00A32BA2">
            <w:pPr>
              <w:spacing w:line="240" w:lineRule="auto"/>
              <w:ind w:firstLine="0"/>
              <w:jc w:val="center"/>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CENPK1137D_1850</w:t>
            </w:r>
          </w:p>
        </w:tc>
        <w:tc>
          <w:tcPr>
            <w:tcW w:w="99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KRE6</w:t>
            </w:r>
          </w:p>
        </w:tc>
        <w:tc>
          <w:tcPr>
            <w:tcW w:w="85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YPR159W</w:t>
            </w:r>
          </w:p>
        </w:tc>
        <w:tc>
          <w:tcPr>
            <w:tcW w:w="1417"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0.71</w:t>
            </w:r>
          </w:p>
        </w:tc>
        <w:tc>
          <w:tcPr>
            <w:tcW w:w="708"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2"/>
                <w:szCs w:val="12"/>
                <w:lang w:eastAsia="en-GB"/>
              </w:rPr>
            </w:pPr>
            <w:r>
              <w:rPr>
                <w:rFonts w:ascii="Arial" w:eastAsia="Times New Roman" w:hAnsi="Arial" w:cs="Arial"/>
                <w:color w:val="000000"/>
                <w:sz w:val="12"/>
                <w:szCs w:val="12"/>
                <w:lang w:eastAsia="en-GB"/>
              </w:rPr>
              <w:t>7.0E-03</w:t>
            </w:r>
          </w:p>
        </w:tc>
        <w:tc>
          <w:tcPr>
            <w:tcW w:w="4112" w:type="dxa"/>
            <w:vAlign w:val="center"/>
          </w:tcPr>
          <w:p w:rsidR="00095408" w:rsidRDefault="00A32BA2">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2"/>
                <w:szCs w:val="12"/>
                <w:lang w:eastAsia="en-GB"/>
              </w:rPr>
            </w:pPr>
            <w:r>
              <w:rPr>
                <w:rFonts w:ascii="Arial" w:eastAsia="Times New Roman" w:hAnsi="Arial" w:cs="Arial"/>
                <w:color w:val="000000"/>
                <w:sz w:val="12"/>
                <w:szCs w:val="12"/>
                <w:lang w:eastAsia="en-GB"/>
              </w:rPr>
              <w:t xml:space="preserve">Glucosyl hydrolase (transglucosidase); involved in biosynthesis of Î² (1-&gt;6)-D-glucan, a key component of the cell </w:t>
            </w:r>
            <w:r>
              <w:rPr>
                <w:rFonts w:ascii="Arial" w:eastAsia="Times New Roman" w:hAnsi="Arial" w:cs="Arial"/>
                <w:color w:val="000000"/>
                <w:sz w:val="12"/>
                <w:szCs w:val="12"/>
                <w:lang w:eastAsia="en-GB"/>
              </w:rPr>
              <w:t>wall; integral component of membranes of the ER and transport vesicles; and of the plasma membrane</w:t>
            </w:r>
          </w:p>
        </w:tc>
      </w:tr>
    </w:tbl>
    <w:p w:rsidR="00095408" w:rsidRDefault="00095408">
      <w:pPr>
        <w:spacing w:after="160" w:line="259" w:lineRule="auto"/>
        <w:ind w:firstLine="0"/>
        <w:rPr>
          <w:rFonts w:ascii="Arial" w:hAnsi="Arial" w:cs="Arial"/>
          <w:sz w:val="22"/>
          <w:szCs w:val="20"/>
        </w:rPr>
      </w:pPr>
    </w:p>
    <w:p w:rsidR="00095408" w:rsidRDefault="00A32BA2">
      <w:pPr>
        <w:spacing w:after="160" w:line="259" w:lineRule="auto"/>
        <w:ind w:firstLine="0"/>
        <w:jc w:val="left"/>
      </w:pPr>
      <w:r>
        <w:br w:type="page"/>
      </w:r>
    </w:p>
    <w:p w:rsidR="00095408" w:rsidRDefault="00095408">
      <w:pPr>
        <w:keepNext/>
        <w:spacing w:after="160" w:line="259" w:lineRule="auto"/>
        <w:ind w:firstLine="0"/>
        <w:jc w:val="left"/>
      </w:pPr>
    </w:p>
    <w:p w:rsidR="00095408" w:rsidRDefault="00A32BA2">
      <w:pPr>
        <w:pStyle w:val="Caption"/>
        <w:spacing w:line="276" w:lineRule="auto"/>
        <w:rPr>
          <w:rFonts w:ascii="Arial" w:hAnsi="Arial" w:cs="Arial"/>
        </w:rPr>
      </w:pPr>
      <w:r>
        <w:rPr>
          <w:noProof/>
          <w:lang w:val="en-IN" w:eastAsia="en-IN"/>
        </w:rPr>
        <w:drawing>
          <wp:inline distT="0" distB="0" distL="0" distR="0">
            <wp:extent cx="5731510" cy="4062730"/>
            <wp:effectExtent l="0" t="0" r="0" b="0"/>
            <wp:docPr id="6" name="Image4" descr="A group of graphs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descr="A group of graphs with text&#10;&#10;Description automatically generated with medium confidence"/>
                    <pic:cNvPicPr>
                      <a:picLocks noChangeAspect="1" noChangeArrowheads="1"/>
                    </pic:cNvPicPr>
                  </pic:nvPicPr>
                  <pic:blipFill>
                    <a:blip r:embed="rId14"/>
                    <a:stretch>
                      <a:fillRect/>
                    </a:stretch>
                  </pic:blipFill>
                  <pic:spPr bwMode="auto">
                    <a:xfrm>
                      <a:off x="0" y="0"/>
                      <a:ext cx="5731510" cy="4062730"/>
                    </a:xfrm>
                    <a:prstGeom prst="rect">
                      <a:avLst/>
                    </a:prstGeom>
                    <a:noFill/>
                  </pic:spPr>
                </pic:pic>
              </a:graphicData>
            </a:graphic>
          </wp:inline>
        </w:drawing>
      </w:r>
    </w:p>
    <w:p w:rsidR="00095408" w:rsidRDefault="00A32BA2">
      <w:pPr>
        <w:pStyle w:val="Caption"/>
        <w:rPr>
          <w:rFonts w:ascii="Arial" w:hAnsi="Arial" w:cs="Arial"/>
          <w:b w:val="0"/>
          <w:bCs w:val="0"/>
          <w:sz w:val="22"/>
          <w:lang w:val="en-GB"/>
        </w:rPr>
      </w:pPr>
      <w:r>
        <w:rPr>
          <w:rFonts w:ascii="Arial" w:hAnsi="Arial" w:cs="Arial"/>
          <w:sz w:val="22"/>
          <w:szCs w:val="22"/>
        </w:rPr>
        <w:t xml:space="preserve">Fig. S6 – </w:t>
      </w:r>
      <w:r>
        <w:rPr>
          <w:rFonts w:ascii="Arial" w:hAnsi="Arial" w:cs="Arial"/>
          <w:sz w:val="22"/>
          <w:lang w:val="en-GB"/>
        </w:rPr>
        <w:t xml:space="preserve">Multiple comparisons of enrichment for specific Gene Ontology terms of differentially up-regulated (A) and down-regulated (B) genes. </w:t>
      </w:r>
      <w:r>
        <w:rPr>
          <w:rFonts w:ascii="Arial" w:hAnsi="Arial" w:cs="Arial"/>
          <w:b w:val="0"/>
          <w:bCs w:val="0"/>
          <w:sz w:val="22"/>
          <w:lang w:val="en-GB"/>
        </w:rPr>
        <w:t xml:space="preserve">MF, </w:t>
      </w:r>
      <w:r>
        <w:rPr>
          <w:rFonts w:ascii="Arial" w:hAnsi="Arial" w:cs="Arial"/>
          <w:b w:val="0"/>
          <w:bCs w:val="0"/>
          <w:sz w:val="22"/>
          <w:lang w:val="en-GB"/>
        </w:rPr>
        <w:t>molecular function; BP, biological process; CC, cellular component. The pH comparisons are represented by colour bars: blue, for pH7.1vspH6.0; yellow, for pH7.1vspH6.5; grey, for pH7.1vspH7.0; orange, for pH7.0vspH6.0 and green, for pH6.5vspH6.0.The p-valu</w:t>
      </w:r>
      <w:r>
        <w:rPr>
          <w:rFonts w:ascii="Arial" w:hAnsi="Arial" w:cs="Arial"/>
          <w:b w:val="0"/>
          <w:bCs w:val="0"/>
          <w:sz w:val="22"/>
          <w:lang w:val="en-GB"/>
        </w:rPr>
        <w:t>e threshold for significance was set at 0.05.</w:t>
      </w:r>
      <w:bookmarkEnd w:id="15"/>
      <w:r>
        <w:br w:type="page"/>
      </w:r>
    </w:p>
    <w:p w:rsidR="00095408" w:rsidRDefault="00A32BA2">
      <w:pPr>
        <w:spacing w:after="120"/>
        <w:ind w:firstLine="0"/>
        <w:rPr>
          <w:rFonts w:ascii="Arial" w:hAnsi="Arial" w:cs="Arial"/>
          <w:b/>
          <w:bCs/>
        </w:rPr>
      </w:pPr>
      <w:r>
        <w:rPr>
          <w:rFonts w:ascii="Arial" w:hAnsi="Arial" w:cs="Arial"/>
          <w:b/>
          <w:bCs/>
        </w:rPr>
        <w:lastRenderedPageBreak/>
        <w:t>References</w:t>
      </w:r>
    </w:p>
    <w:p w:rsidR="00095408" w:rsidRDefault="00A32BA2">
      <w:pPr>
        <w:widowControl w:val="0"/>
        <w:spacing w:line="240" w:lineRule="auto"/>
        <w:ind w:left="640" w:hanging="640"/>
        <w:rPr>
          <w:rFonts w:ascii="Arial" w:hAnsi="Arial" w:cs="Arial"/>
        </w:rPr>
      </w:pPr>
      <w:r>
        <w:fldChar w:fldCharType="begin"/>
      </w:r>
      <w:r>
        <w:rPr>
          <w:rFonts w:ascii="Arial" w:hAnsi="Arial" w:cs="Arial"/>
        </w:rPr>
        <w:instrText>ADDIN Mendeley Bibliography CSL_BIBLIOGRAPHY</w:instrText>
      </w:r>
      <w:r>
        <w:rPr>
          <w:rFonts w:ascii="Arial" w:hAnsi="Arial" w:cs="Arial"/>
        </w:rPr>
        <w:fldChar w:fldCharType="separate"/>
      </w:r>
      <w:r>
        <w:t xml:space="preserve">1. </w:t>
      </w:r>
      <w:r>
        <w:tab/>
        <w:t xml:space="preserve">Turcotte B, Liang XB, Robert F, Soontorngun N (2010) Transcriptional regulation of nonfermentable carbon utilization in budding yeast. FEMS Yeast Res </w:t>
      </w:r>
      <w:r>
        <w:t>10:2–13. https://doi.org/10.1111/j.1567-1364.2009.00555.x</w:t>
      </w:r>
    </w:p>
    <w:p w:rsidR="00095408" w:rsidRDefault="00A32BA2">
      <w:pPr>
        <w:spacing w:line="240" w:lineRule="auto"/>
        <w:ind w:firstLine="0"/>
      </w:pPr>
      <w:r>
        <w:rPr>
          <w:rFonts w:ascii="Arial" w:hAnsi="Arial" w:cs="Arial"/>
        </w:rPr>
        <w:fldChar w:fldCharType="end"/>
      </w:r>
    </w:p>
    <w:sectPr w:rsidR="00095408">
      <w:footerReference w:type="even" r:id="rId15"/>
      <w:footerReference w:type="default" r:id="rId16"/>
      <w:footerReference w:type="first" r:id="rId17"/>
      <w:pgSz w:w="11906" w:h="16838"/>
      <w:pgMar w:top="1440" w:right="1440" w:bottom="1440" w:left="1440" w:header="0" w:footer="708" w:gutter="0"/>
      <w:lnNumType w:countBy="1" w:distance="283" w:restart="continuous"/>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A32BA2">
      <w:pPr>
        <w:spacing w:line="240" w:lineRule="auto"/>
      </w:pPr>
      <w:r>
        <w:separator/>
      </w:r>
    </w:p>
  </w:endnote>
  <w:endnote w:type="continuationSeparator" w:id="0">
    <w:p w:rsidR="00000000" w:rsidRDefault="00A32B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NewsGotT">
    <w:altName w:val="Times New Roman"/>
    <w:charset w:val="01"/>
    <w:family w:val="roman"/>
    <w:pitch w:val="variable"/>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inion Pro">
    <w:charset w:val="01"/>
    <w:family w:val="roman"/>
    <w:pitch w:val="variable"/>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Warnock Pro">
    <w:altName w:val="Warnock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n-e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408" w:rsidRDefault="000954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5391862"/>
      <w:docPartObj>
        <w:docPartGallery w:val="Page Numbers (Bottom of Page)"/>
        <w:docPartUnique/>
      </w:docPartObj>
    </w:sdtPr>
    <w:sdtEndPr/>
    <w:sdtContent>
      <w:p w:rsidR="00095408" w:rsidRDefault="00A32BA2">
        <w:pPr>
          <w:pStyle w:val="Footer"/>
          <w:jc w:val="right"/>
          <w:rPr>
            <w:rFonts w:ascii="Arial" w:hAnsi="Arial" w:cs="Arial"/>
          </w:rPr>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1</w:t>
        </w:r>
        <w:r>
          <w:rPr>
            <w:rFonts w:ascii="Arial" w:hAnsi="Arial" w:cs="Arial"/>
          </w:rPr>
          <w:fldChar w:fldCharType="end"/>
        </w:r>
      </w:p>
    </w:sdtContent>
  </w:sdt>
  <w:p w:rsidR="00095408" w:rsidRDefault="0009540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3388922"/>
      <w:docPartObj>
        <w:docPartGallery w:val="Page Numbers (Bottom of Page)"/>
        <w:docPartUnique/>
      </w:docPartObj>
    </w:sdtPr>
    <w:sdtEndPr/>
    <w:sdtContent>
      <w:p w:rsidR="00095408" w:rsidRDefault="00A32BA2">
        <w:pPr>
          <w:pStyle w:val="Footer"/>
          <w:jc w:val="right"/>
          <w:rPr>
            <w:rFonts w:ascii="Arial" w:hAnsi="Arial" w:cs="Arial"/>
          </w:rPr>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1</w:t>
        </w:r>
        <w:r>
          <w:rPr>
            <w:rFonts w:ascii="Arial" w:hAnsi="Arial" w:cs="Arial"/>
          </w:rPr>
          <w:fldChar w:fldCharType="end"/>
        </w:r>
      </w:p>
    </w:sdtContent>
  </w:sdt>
  <w:p w:rsidR="00095408" w:rsidRDefault="000954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A32BA2">
      <w:pPr>
        <w:spacing w:line="240" w:lineRule="auto"/>
      </w:pPr>
      <w:r>
        <w:separator/>
      </w:r>
    </w:p>
  </w:footnote>
  <w:footnote w:type="continuationSeparator" w:id="0">
    <w:p w:rsidR="00000000" w:rsidRDefault="00A32BA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30F9E"/>
    <w:multiLevelType w:val="multilevel"/>
    <w:tmpl w:val="CAA0080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nsid w:val="345262FC"/>
    <w:multiLevelType w:val="multilevel"/>
    <w:tmpl w:val="3B3E28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5C696B84"/>
    <w:multiLevelType w:val="multilevel"/>
    <w:tmpl w:val="E14243B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408"/>
    <w:rsid w:val="00095408"/>
    <w:rsid w:val="00A32BA2"/>
    <w:rsid w:val="00EB008C"/>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14:ligatures w14:val="standardContextual"/>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BFF"/>
    <w:pPr>
      <w:spacing w:line="360" w:lineRule="auto"/>
      <w:ind w:firstLine="567"/>
      <w:jc w:val="both"/>
    </w:pPr>
    <w:rPr>
      <w:rFonts w:ascii="NewsGotT" w:hAnsi="NewsGotT"/>
      <w:kern w:val="0"/>
      <w:sz w:val="24"/>
    </w:rPr>
  </w:style>
  <w:style w:type="paragraph" w:styleId="Heading1">
    <w:name w:val="heading 1"/>
    <w:basedOn w:val="Normal"/>
    <w:next w:val="Normal"/>
    <w:link w:val="Heading1Char"/>
    <w:uiPriority w:val="9"/>
    <w:qFormat/>
    <w:rsid w:val="004C1A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1A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C1A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C1A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1A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1AE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1AE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1AE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1AE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4C1A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sid w:val="004C1A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sid w:val="004C1A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qFormat/>
    <w:rsid w:val="004C1A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4C1A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4C1A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4C1A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4C1A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4C1AE4"/>
    <w:rPr>
      <w:rFonts w:eastAsiaTheme="majorEastAsia" w:cstheme="majorBidi"/>
      <w:color w:val="272727" w:themeColor="text1" w:themeTint="D8"/>
    </w:rPr>
  </w:style>
  <w:style w:type="character" w:customStyle="1" w:styleId="TitleChar">
    <w:name w:val="Title Char"/>
    <w:basedOn w:val="DefaultParagraphFont"/>
    <w:link w:val="Title"/>
    <w:uiPriority w:val="99"/>
    <w:qFormat/>
    <w:rsid w:val="004C1AE4"/>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4C1AE4"/>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4C1AE4"/>
    <w:rPr>
      <w:i/>
      <w:iCs/>
      <w:color w:val="404040" w:themeColor="text1" w:themeTint="BF"/>
    </w:rPr>
  </w:style>
  <w:style w:type="character" w:styleId="IntenseEmphasis">
    <w:name w:val="Intense Emphasis"/>
    <w:basedOn w:val="DefaultParagraphFont"/>
    <w:uiPriority w:val="21"/>
    <w:qFormat/>
    <w:rsid w:val="004C1AE4"/>
    <w:rPr>
      <w:i/>
      <w:iCs/>
      <w:color w:val="0F4761" w:themeColor="accent1" w:themeShade="BF"/>
    </w:rPr>
  </w:style>
  <w:style w:type="character" w:customStyle="1" w:styleId="IntenseQuoteChar">
    <w:name w:val="Intense Quote Char"/>
    <w:basedOn w:val="DefaultParagraphFont"/>
    <w:link w:val="IntenseQuote"/>
    <w:uiPriority w:val="30"/>
    <w:qFormat/>
    <w:rsid w:val="004C1AE4"/>
    <w:rPr>
      <w:i/>
      <w:iCs/>
      <w:color w:val="0F4761" w:themeColor="accent1" w:themeShade="BF"/>
    </w:rPr>
  </w:style>
  <w:style w:type="character" w:styleId="IntenseReference">
    <w:name w:val="Intense Reference"/>
    <w:basedOn w:val="DefaultParagraphFont"/>
    <w:uiPriority w:val="32"/>
    <w:qFormat/>
    <w:rsid w:val="004C1AE4"/>
    <w:rPr>
      <w:b/>
      <w:bCs/>
      <w:smallCaps/>
      <w:color w:val="0F4761" w:themeColor="accent1" w:themeShade="BF"/>
      <w:spacing w:val="5"/>
    </w:rPr>
  </w:style>
  <w:style w:type="character" w:styleId="Hyperlink">
    <w:name w:val="Hyperlink"/>
    <w:basedOn w:val="DefaultParagraphFont"/>
    <w:uiPriority w:val="99"/>
    <w:unhideWhenUsed/>
    <w:rsid w:val="00EC4BFF"/>
    <w:rPr>
      <w:color w:val="467886" w:themeColor="hyperlink"/>
      <w:u w:val="single"/>
    </w:rPr>
  </w:style>
  <w:style w:type="character" w:customStyle="1" w:styleId="HeaderChar">
    <w:name w:val="Header Char"/>
    <w:basedOn w:val="DefaultParagraphFont"/>
    <w:link w:val="Header"/>
    <w:uiPriority w:val="99"/>
    <w:qFormat/>
    <w:rsid w:val="00EC4BFF"/>
    <w:rPr>
      <w:rFonts w:ascii="NewsGotT" w:hAnsi="NewsGotT"/>
      <w:kern w:val="0"/>
      <w:sz w:val="24"/>
    </w:rPr>
  </w:style>
  <w:style w:type="character" w:customStyle="1" w:styleId="FooterChar">
    <w:name w:val="Footer Char"/>
    <w:basedOn w:val="DefaultParagraphFont"/>
    <w:link w:val="Footer"/>
    <w:uiPriority w:val="99"/>
    <w:qFormat/>
    <w:rsid w:val="00EC4BFF"/>
    <w:rPr>
      <w:rFonts w:ascii="NewsGotT" w:hAnsi="NewsGotT"/>
      <w:kern w:val="0"/>
      <w:sz w:val="24"/>
    </w:rPr>
  </w:style>
  <w:style w:type="character" w:styleId="PlaceholderText">
    <w:name w:val="Placeholder Text"/>
    <w:basedOn w:val="DefaultParagraphFont"/>
    <w:uiPriority w:val="99"/>
    <w:semiHidden/>
    <w:qFormat/>
    <w:rsid w:val="00EC4BFF"/>
    <w:rPr>
      <w:color w:val="808080"/>
    </w:rPr>
  </w:style>
  <w:style w:type="character" w:customStyle="1" w:styleId="BalloonTextChar">
    <w:name w:val="Balloon Text Char"/>
    <w:basedOn w:val="DefaultParagraphFont"/>
    <w:link w:val="BalloonText"/>
    <w:uiPriority w:val="99"/>
    <w:semiHidden/>
    <w:qFormat/>
    <w:rsid w:val="00EC4BFF"/>
    <w:rPr>
      <w:rFonts w:ascii="Segoe UI" w:eastAsiaTheme="minorEastAsia" w:hAnsi="Segoe UI" w:cs="Segoe UI"/>
      <w:kern w:val="0"/>
      <w:sz w:val="18"/>
      <w:szCs w:val="18"/>
      <w:lang w:val="en-US"/>
    </w:rPr>
  </w:style>
  <w:style w:type="character" w:styleId="CommentReference">
    <w:name w:val="annotation reference"/>
    <w:basedOn w:val="DefaultParagraphFont"/>
    <w:uiPriority w:val="99"/>
    <w:semiHidden/>
    <w:unhideWhenUsed/>
    <w:qFormat/>
    <w:rsid w:val="00EC4BFF"/>
    <w:rPr>
      <w:sz w:val="16"/>
      <w:szCs w:val="16"/>
    </w:rPr>
  </w:style>
  <w:style w:type="character" w:customStyle="1" w:styleId="CommentTextChar">
    <w:name w:val="Comment Text Char"/>
    <w:basedOn w:val="DefaultParagraphFont"/>
    <w:link w:val="CommentText"/>
    <w:uiPriority w:val="99"/>
    <w:qFormat/>
    <w:rsid w:val="00EC4BFF"/>
    <w:rPr>
      <w:rFonts w:ascii="Times New Roman" w:eastAsia="Times New Roman" w:hAnsi="Times New Roman" w:cs="Times New Roman"/>
      <w:kern w:val="0"/>
      <w:sz w:val="20"/>
      <w:szCs w:val="20"/>
      <w:lang w:val="en-US"/>
    </w:rPr>
  </w:style>
  <w:style w:type="character" w:customStyle="1" w:styleId="CommentSubjectChar">
    <w:name w:val="Comment Subject Char"/>
    <w:basedOn w:val="CommentTextChar"/>
    <w:link w:val="CommentSubject"/>
    <w:uiPriority w:val="99"/>
    <w:semiHidden/>
    <w:qFormat/>
    <w:rsid w:val="00EC4BFF"/>
    <w:rPr>
      <w:rFonts w:ascii="Times New Roman" w:eastAsia="Times New Roman" w:hAnsi="Times New Roman" w:cs="Times New Roman"/>
      <w:b/>
      <w:bCs/>
      <w:kern w:val="0"/>
      <w:sz w:val="20"/>
      <w:szCs w:val="20"/>
      <w:lang w:val="en-US"/>
    </w:rPr>
  </w:style>
  <w:style w:type="character" w:customStyle="1" w:styleId="bkciteavail">
    <w:name w:val="bk_cite_avail"/>
    <w:basedOn w:val="DefaultParagraphFont"/>
    <w:qFormat/>
    <w:rsid w:val="00EC4BFF"/>
  </w:style>
  <w:style w:type="character" w:customStyle="1" w:styleId="tlid-translation">
    <w:name w:val="tlid-translation"/>
    <w:basedOn w:val="DefaultParagraphFont"/>
    <w:qFormat/>
    <w:rsid w:val="00EC4BFF"/>
  </w:style>
  <w:style w:type="character" w:customStyle="1" w:styleId="FootnoteTextChar">
    <w:name w:val="Footnote Text Char"/>
    <w:basedOn w:val="DefaultParagraphFont"/>
    <w:link w:val="FootnoteText"/>
    <w:uiPriority w:val="99"/>
    <w:semiHidden/>
    <w:qFormat/>
    <w:rsid w:val="00EC4BFF"/>
    <w:rPr>
      <w:rFonts w:ascii="Times New Roman" w:eastAsia="Times New Roman" w:hAnsi="Times New Roman" w:cs="Times New Roman"/>
      <w:kern w:val="0"/>
      <w:sz w:val="20"/>
      <w:szCs w:val="20"/>
      <w:lang w:val="en-US"/>
    </w:rPr>
  </w:style>
  <w:style w:type="character" w:customStyle="1" w:styleId="FootnoteCharacters">
    <w:name w:val="Footnote Characters"/>
    <w:basedOn w:val="DefaultParagraphFont"/>
    <w:uiPriority w:val="99"/>
    <w:semiHidden/>
    <w:unhideWhenUsed/>
    <w:qFormat/>
    <w:rsid w:val="00EC4BFF"/>
    <w:rPr>
      <w:vertAlign w:val="superscript"/>
    </w:rPr>
  </w:style>
  <w:style w:type="character" w:styleId="FootnoteReference">
    <w:name w:val="footnote reference"/>
    <w:rPr>
      <w:vertAlign w:val="superscript"/>
    </w:rPr>
  </w:style>
  <w:style w:type="character" w:customStyle="1" w:styleId="5yl5">
    <w:name w:val="_5yl5"/>
    <w:basedOn w:val="DefaultParagraphFont"/>
    <w:qFormat/>
    <w:rsid w:val="00EC4BFF"/>
  </w:style>
  <w:style w:type="character" w:styleId="Strong">
    <w:name w:val="Strong"/>
    <w:basedOn w:val="DefaultParagraphFont"/>
    <w:uiPriority w:val="22"/>
    <w:qFormat/>
    <w:rsid w:val="00EC4BFF"/>
    <w:rPr>
      <w:b/>
      <w:bCs/>
    </w:rPr>
  </w:style>
  <w:style w:type="character" w:customStyle="1" w:styleId="hgkelc">
    <w:name w:val="hgkelc"/>
    <w:basedOn w:val="DefaultParagraphFont"/>
    <w:qFormat/>
    <w:rsid w:val="00EC4BFF"/>
  </w:style>
  <w:style w:type="character" w:customStyle="1" w:styleId="il">
    <w:name w:val="il"/>
    <w:basedOn w:val="DefaultParagraphFont"/>
    <w:qFormat/>
    <w:rsid w:val="00EC4BFF"/>
  </w:style>
  <w:style w:type="character" w:customStyle="1" w:styleId="UnresolvedMention1">
    <w:name w:val="Unresolved Mention1"/>
    <w:basedOn w:val="DefaultParagraphFont"/>
    <w:uiPriority w:val="99"/>
    <w:semiHidden/>
    <w:unhideWhenUsed/>
    <w:qFormat/>
    <w:rsid w:val="00EC4BFF"/>
    <w:rPr>
      <w:color w:val="605E5C"/>
      <w:shd w:val="clear" w:color="auto" w:fill="E1DFDD"/>
    </w:rPr>
  </w:style>
  <w:style w:type="character" w:styleId="Emphasis">
    <w:name w:val="Emphasis"/>
    <w:basedOn w:val="DefaultParagraphFont"/>
    <w:uiPriority w:val="20"/>
    <w:qFormat/>
    <w:rsid w:val="00EC4BFF"/>
    <w:rPr>
      <w:i/>
      <w:iCs/>
    </w:rPr>
  </w:style>
  <w:style w:type="character" w:customStyle="1" w:styleId="title-text">
    <w:name w:val="title-text"/>
    <w:basedOn w:val="DefaultParagraphFont"/>
    <w:qFormat/>
    <w:rsid w:val="00EC4BFF"/>
  </w:style>
  <w:style w:type="character" w:styleId="LineNumber">
    <w:name w:val="line number"/>
    <w:basedOn w:val="DefaultParagraphFont"/>
    <w:uiPriority w:val="99"/>
    <w:semiHidden/>
    <w:unhideWhenUsed/>
    <w:rsid w:val="00EC4BFF"/>
  </w:style>
  <w:style w:type="character" w:customStyle="1" w:styleId="identifier">
    <w:name w:val="identifier"/>
    <w:basedOn w:val="DefaultParagraphFont"/>
    <w:qFormat/>
    <w:rsid w:val="00EC4BFF"/>
  </w:style>
  <w:style w:type="character" w:customStyle="1" w:styleId="id-label">
    <w:name w:val="id-label"/>
    <w:basedOn w:val="DefaultParagraphFont"/>
    <w:qFormat/>
    <w:rsid w:val="00EC4BFF"/>
  </w:style>
  <w:style w:type="character" w:customStyle="1" w:styleId="citation-doi">
    <w:name w:val="citation-doi"/>
    <w:basedOn w:val="DefaultParagraphFont"/>
    <w:qFormat/>
    <w:rsid w:val="00EC4BFF"/>
  </w:style>
  <w:style w:type="character" w:customStyle="1" w:styleId="doi">
    <w:name w:val="doi"/>
    <w:basedOn w:val="DefaultParagraphFont"/>
    <w:qFormat/>
    <w:rsid w:val="00EC4BFF"/>
  </w:style>
  <w:style w:type="character" w:customStyle="1" w:styleId="normaltextrun">
    <w:name w:val="normaltextrun"/>
    <w:basedOn w:val="DefaultParagraphFont"/>
    <w:qFormat/>
    <w:rsid w:val="00EC4BFF"/>
  </w:style>
  <w:style w:type="character" w:customStyle="1" w:styleId="spellingerror">
    <w:name w:val="spellingerror"/>
    <w:basedOn w:val="DefaultParagraphFont"/>
    <w:qFormat/>
    <w:rsid w:val="00EC4BFF"/>
  </w:style>
  <w:style w:type="character" w:customStyle="1" w:styleId="eop">
    <w:name w:val="eop"/>
    <w:basedOn w:val="DefaultParagraphFont"/>
    <w:qFormat/>
    <w:rsid w:val="00EC4BFF"/>
  </w:style>
  <w:style w:type="character" w:styleId="FollowedHyperlink">
    <w:name w:val="FollowedHyperlink"/>
    <w:basedOn w:val="DefaultParagraphFont"/>
    <w:uiPriority w:val="99"/>
    <w:semiHidden/>
    <w:unhideWhenUsed/>
    <w:rsid w:val="00EC4BFF"/>
    <w:rPr>
      <w:color w:val="96607D" w:themeColor="followedHyperlink"/>
      <w:u w:val="single"/>
    </w:rPr>
  </w:style>
  <w:style w:type="character" w:customStyle="1" w:styleId="apple-converted-space">
    <w:name w:val="apple-converted-space"/>
    <w:basedOn w:val="DefaultParagraphFont"/>
    <w:qFormat/>
    <w:rsid w:val="00EC4BFF"/>
  </w:style>
  <w:style w:type="character" w:customStyle="1" w:styleId="UnresolvedMention2">
    <w:name w:val="Unresolved Mention2"/>
    <w:basedOn w:val="DefaultParagraphFont"/>
    <w:uiPriority w:val="99"/>
    <w:semiHidden/>
    <w:unhideWhenUsed/>
    <w:qFormat/>
    <w:rsid w:val="00EC4BFF"/>
    <w:rPr>
      <w:color w:val="605E5C"/>
      <w:shd w:val="clear" w:color="auto" w:fill="E1DFDD"/>
    </w:rPr>
  </w:style>
  <w:style w:type="character" w:customStyle="1" w:styleId="HTMLPreformattedChar">
    <w:name w:val="HTML Preformatted Char"/>
    <w:basedOn w:val="DefaultParagraphFont"/>
    <w:link w:val="HTMLPreformatted"/>
    <w:uiPriority w:val="99"/>
    <w:semiHidden/>
    <w:qFormat/>
    <w:rsid w:val="00EC4BFF"/>
    <w:rPr>
      <w:rFonts w:ascii="Courier New" w:eastAsia="Times New Roman" w:hAnsi="Courier New" w:cs="Courier New"/>
      <w:kern w:val="0"/>
      <w:sz w:val="20"/>
      <w:szCs w:val="20"/>
      <w:lang w:val="pt-PT" w:eastAsia="en-GB"/>
    </w:rPr>
  </w:style>
  <w:style w:type="character" w:customStyle="1" w:styleId="UnresolvedMention3">
    <w:name w:val="Unresolved Mention3"/>
    <w:basedOn w:val="DefaultParagraphFont"/>
    <w:uiPriority w:val="99"/>
    <w:semiHidden/>
    <w:unhideWhenUsed/>
    <w:qFormat/>
    <w:rsid w:val="00EC4BFF"/>
    <w:rPr>
      <w:color w:val="605E5C"/>
      <w:shd w:val="clear" w:color="auto" w:fill="E1DFDD"/>
    </w:rPr>
  </w:style>
  <w:style w:type="character" w:customStyle="1" w:styleId="EndnoteCharacters">
    <w:name w:val="Endnote Characters"/>
    <w:basedOn w:val="DefaultParagraphFont"/>
    <w:uiPriority w:val="99"/>
    <w:semiHidden/>
    <w:unhideWhenUsed/>
    <w:qFormat/>
    <w:rsid w:val="00EC4BFF"/>
    <w:rPr>
      <w:vertAlign w:val="superscript"/>
    </w:rPr>
  </w:style>
  <w:style w:type="character" w:styleId="EndnoteReference">
    <w:name w:val="endnote reference"/>
    <w:rPr>
      <w:vertAlign w:val="superscript"/>
    </w:rPr>
  </w:style>
  <w:style w:type="character" w:styleId="SubtleEmphasis">
    <w:name w:val="Subtle Emphasis"/>
    <w:basedOn w:val="DefaultParagraphFont"/>
    <w:uiPriority w:val="19"/>
    <w:qFormat/>
    <w:rsid w:val="00EC4BFF"/>
    <w:rPr>
      <w:i/>
      <w:iCs/>
    </w:rPr>
  </w:style>
  <w:style w:type="character" w:styleId="SubtleReference">
    <w:name w:val="Subtle Reference"/>
    <w:basedOn w:val="DefaultParagraphFont"/>
    <w:uiPriority w:val="31"/>
    <w:qFormat/>
    <w:rsid w:val="00EC4BFF"/>
    <w:rPr>
      <w:smallCaps/>
      <w:color w:val="595959" w:themeColor="text1" w:themeTint="A6"/>
    </w:rPr>
  </w:style>
  <w:style w:type="character" w:styleId="BookTitle">
    <w:name w:val="Book Title"/>
    <w:basedOn w:val="DefaultParagraphFont"/>
    <w:uiPriority w:val="33"/>
    <w:qFormat/>
    <w:rsid w:val="00EC4BFF"/>
    <w:rPr>
      <w:b/>
      <w:bCs/>
      <w:smallCaps/>
      <w:spacing w:val="7"/>
      <w:sz w:val="21"/>
      <w:szCs w:val="21"/>
    </w:rPr>
  </w:style>
  <w:style w:type="character" w:customStyle="1" w:styleId="cf01">
    <w:name w:val="cf01"/>
    <w:basedOn w:val="DefaultParagraphFont"/>
    <w:qFormat/>
    <w:rsid w:val="00EC4BFF"/>
    <w:rPr>
      <w:rFonts w:ascii="Segoe UI" w:hAnsi="Segoe UI" w:cs="Segoe UI"/>
      <w:sz w:val="18"/>
      <w:szCs w:val="18"/>
    </w:rPr>
  </w:style>
  <w:style w:type="character" w:customStyle="1" w:styleId="cf11">
    <w:name w:val="cf11"/>
    <w:basedOn w:val="DefaultParagraphFont"/>
    <w:qFormat/>
    <w:rsid w:val="00EC4BFF"/>
    <w:rPr>
      <w:rFonts w:ascii="Segoe UI" w:hAnsi="Segoe UI" w:cs="Segoe UI"/>
      <w:sz w:val="18"/>
      <w:szCs w:val="18"/>
      <w:u w:val="single"/>
    </w:rPr>
  </w:style>
  <w:style w:type="character" w:customStyle="1" w:styleId="cf21">
    <w:name w:val="cf21"/>
    <w:basedOn w:val="DefaultParagraphFont"/>
    <w:qFormat/>
    <w:rsid w:val="00EC4BFF"/>
    <w:rPr>
      <w:rFonts w:ascii="Segoe UI" w:hAnsi="Segoe UI" w:cs="Segoe UI"/>
      <w:b/>
      <w:bCs/>
      <w:sz w:val="18"/>
      <w:szCs w:val="18"/>
    </w:rPr>
  </w:style>
  <w:style w:type="character" w:customStyle="1" w:styleId="cf31">
    <w:name w:val="cf31"/>
    <w:basedOn w:val="DefaultParagraphFont"/>
    <w:qFormat/>
    <w:rsid w:val="00EC4BFF"/>
    <w:rPr>
      <w:rFonts w:ascii="Segoe UI" w:hAnsi="Segoe UI" w:cs="Segoe UI"/>
      <w:b/>
      <w:bCs/>
      <w:sz w:val="18"/>
      <w:szCs w:val="18"/>
      <w:u w:val="single"/>
    </w:rPr>
  </w:style>
  <w:style w:type="character" w:customStyle="1" w:styleId="fm-vol-iss-date">
    <w:name w:val="fm-vol-iss-date"/>
    <w:basedOn w:val="DefaultParagraphFont"/>
    <w:qFormat/>
    <w:rsid w:val="00EC4BFF"/>
  </w:style>
  <w:style w:type="character" w:customStyle="1" w:styleId="fm-citation-ids-label">
    <w:name w:val="fm-citation-ids-label"/>
    <w:basedOn w:val="DefaultParagraphFont"/>
    <w:qFormat/>
    <w:rsid w:val="00EC4BFF"/>
  </w:style>
  <w:style w:type="character" w:customStyle="1" w:styleId="UnresolvedMention4">
    <w:name w:val="Unresolved Mention4"/>
    <w:basedOn w:val="DefaultParagraphFont"/>
    <w:uiPriority w:val="99"/>
    <w:semiHidden/>
    <w:unhideWhenUsed/>
    <w:qFormat/>
    <w:rsid w:val="00EC4BFF"/>
    <w:rPr>
      <w:color w:val="605E5C"/>
      <w:shd w:val="clear" w:color="auto" w:fill="E1DFDD"/>
    </w:rPr>
  </w:style>
  <w:style w:type="character" w:customStyle="1" w:styleId="UnresolvedMention5">
    <w:name w:val="Unresolved Mention5"/>
    <w:basedOn w:val="DefaultParagraphFont"/>
    <w:uiPriority w:val="99"/>
    <w:semiHidden/>
    <w:unhideWhenUsed/>
    <w:qFormat/>
    <w:rsid w:val="00EC4BFF"/>
    <w:rPr>
      <w:color w:val="605E5C"/>
      <w:shd w:val="clear" w:color="auto" w:fill="E1DFDD"/>
    </w:rPr>
  </w:style>
  <w:style w:type="character" w:customStyle="1" w:styleId="A15">
    <w:name w:val="A15"/>
    <w:uiPriority w:val="99"/>
    <w:qFormat/>
    <w:rsid w:val="00EC4BFF"/>
    <w:rPr>
      <w:rFonts w:ascii="Minion Pro" w:hAnsi="Minion Pro" w:cs="Minion Pro"/>
      <w:color w:val="000000"/>
      <w:sz w:val="13"/>
      <w:szCs w:val="13"/>
    </w:rPr>
  </w:style>
  <w:style w:type="character" w:customStyle="1" w:styleId="UnresolvedMention6">
    <w:name w:val="Unresolved Mention6"/>
    <w:basedOn w:val="DefaultParagraphFont"/>
    <w:uiPriority w:val="99"/>
    <w:semiHidden/>
    <w:unhideWhenUsed/>
    <w:qFormat/>
    <w:rsid w:val="00EC4BFF"/>
    <w:rPr>
      <w:color w:val="605E5C"/>
      <w:shd w:val="clear" w:color="auto" w:fill="E1DFDD"/>
    </w:rPr>
  </w:style>
  <w:style w:type="character" w:customStyle="1" w:styleId="UnresolvedMention7">
    <w:name w:val="Unresolved Mention7"/>
    <w:basedOn w:val="DefaultParagraphFont"/>
    <w:uiPriority w:val="99"/>
    <w:semiHidden/>
    <w:unhideWhenUsed/>
    <w:qFormat/>
    <w:rsid w:val="00EC4BFF"/>
    <w:rPr>
      <w:color w:val="605E5C"/>
      <w:shd w:val="clear" w:color="auto" w:fill="E1DFDD"/>
    </w:rPr>
  </w:style>
  <w:style w:type="character" w:customStyle="1" w:styleId="UnresolvedMention8">
    <w:name w:val="Unresolved Mention8"/>
    <w:basedOn w:val="DefaultParagraphFont"/>
    <w:uiPriority w:val="99"/>
    <w:semiHidden/>
    <w:unhideWhenUsed/>
    <w:qFormat/>
    <w:rsid w:val="00EC4BFF"/>
    <w:rPr>
      <w:color w:val="605E5C"/>
      <w:shd w:val="clear" w:color="auto" w:fill="E1DFDD"/>
    </w:rPr>
  </w:style>
  <w:style w:type="character" w:customStyle="1" w:styleId="UnresolvedMention9">
    <w:name w:val="Unresolved Mention9"/>
    <w:basedOn w:val="DefaultParagraphFont"/>
    <w:uiPriority w:val="99"/>
    <w:semiHidden/>
    <w:unhideWhenUsed/>
    <w:qFormat/>
    <w:rsid w:val="00EC4BFF"/>
    <w:rPr>
      <w:color w:val="605E5C"/>
      <w:shd w:val="clear" w:color="auto" w:fill="E1DFDD"/>
    </w:rPr>
  </w:style>
  <w:style w:type="character" w:customStyle="1" w:styleId="UnresolvedMention">
    <w:name w:val="Unresolved Mention"/>
    <w:basedOn w:val="DefaultParagraphFont"/>
    <w:uiPriority w:val="99"/>
    <w:semiHidden/>
    <w:unhideWhenUsed/>
    <w:qFormat/>
    <w:rsid w:val="00EC4BFF"/>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next w:val="Normal"/>
    <w:uiPriority w:val="35"/>
    <w:unhideWhenUsed/>
    <w:qFormat/>
    <w:rsid w:val="00EC4BFF"/>
    <w:pPr>
      <w:spacing w:after="200" w:line="240" w:lineRule="auto"/>
      <w:ind w:firstLine="0"/>
    </w:pPr>
    <w:rPr>
      <w:rFonts w:eastAsia="Times New Roman" w:cs="Times New Roman"/>
      <w:b/>
      <w:bCs/>
      <w:sz w:val="20"/>
      <w:szCs w:val="20"/>
      <w:lang w:val="en-US"/>
    </w:rPr>
  </w:style>
  <w:style w:type="paragraph" w:customStyle="1" w:styleId="Index">
    <w:name w:val="Index"/>
    <w:basedOn w:val="Normal"/>
    <w:qFormat/>
    <w:pPr>
      <w:suppressLineNumbers/>
    </w:pPr>
    <w:rPr>
      <w:rFonts w:cs="Lohit Devanagari"/>
    </w:rPr>
  </w:style>
  <w:style w:type="paragraph" w:styleId="Title">
    <w:name w:val="Title"/>
    <w:basedOn w:val="Normal"/>
    <w:next w:val="Normal"/>
    <w:link w:val="TitleChar"/>
    <w:uiPriority w:val="10"/>
    <w:qFormat/>
    <w:rsid w:val="004C1AE4"/>
    <w:pPr>
      <w:spacing w:after="80" w:line="240" w:lineRule="auto"/>
      <w:contextualSpacing/>
    </w:pPr>
    <w:rPr>
      <w:rFonts w:asciiTheme="majorHAnsi" w:eastAsiaTheme="majorEastAsia" w:hAnsiTheme="majorHAnsi" w:cstheme="majorBidi"/>
      <w:spacing w:val="-10"/>
      <w:kern w:val="2"/>
      <w:sz w:val="56"/>
      <w:szCs w:val="56"/>
    </w:rPr>
  </w:style>
  <w:style w:type="paragraph" w:styleId="Subtitle">
    <w:name w:val="Subtitle"/>
    <w:basedOn w:val="Normal"/>
    <w:next w:val="Normal"/>
    <w:link w:val="SubtitleChar"/>
    <w:uiPriority w:val="11"/>
    <w:qFormat/>
    <w:rsid w:val="004C1A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1AE4"/>
    <w:pPr>
      <w:spacing w:before="160"/>
      <w:jc w:val="center"/>
    </w:pPr>
    <w:rPr>
      <w:i/>
      <w:iCs/>
      <w:color w:val="404040" w:themeColor="text1" w:themeTint="BF"/>
    </w:rPr>
  </w:style>
  <w:style w:type="paragraph" w:styleId="ListParagraph">
    <w:name w:val="List Paragraph"/>
    <w:basedOn w:val="Normal"/>
    <w:uiPriority w:val="34"/>
    <w:qFormat/>
    <w:rsid w:val="004C1AE4"/>
    <w:pPr>
      <w:ind w:left="720"/>
      <w:contextualSpacing/>
    </w:pPr>
  </w:style>
  <w:style w:type="paragraph" w:styleId="IntenseQuote">
    <w:name w:val="Intense Quote"/>
    <w:basedOn w:val="Normal"/>
    <w:next w:val="Normal"/>
    <w:link w:val="IntenseQuoteChar"/>
    <w:uiPriority w:val="30"/>
    <w:qFormat/>
    <w:rsid w:val="004C1A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Default">
    <w:name w:val="Default"/>
    <w:qFormat/>
    <w:rsid w:val="00EC4BFF"/>
    <w:rPr>
      <w:rFonts w:ascii="NewsGotT" w:eastAsia="Aptos" w:hAnsi="NewsGotT" w:cs="NewsGotT"/>
      <w:color w:val="000000"/>
      <w:kern w:val="0"/>
      <w:sz w:val="24"/>
      <w:szCs w:val="24"/>
      <w:lang w:val="pt-PT"/>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C4BFF"/>
    <w:pPr>
      <w:suppressLineNumbers/>
      <w:tabs>
        <w:tab w:val="center" w:pos="4513"/>
        <w:tab w:val="right" w:pos="9026"/>
      </w:tabs>
      <w:spacing w:line="240" w:lineRule="auto"/>
    </w:pPr>
  </w:style>
  <w:style w:type="paragraph" w:styleId="Footer">
    <w:name w:val="footer"/>
    <w:basedOn w:val="Normal"/>
    <w:link w:val="FooterChar"/>
    <w:uiPriority w:val="99"/>
    <w:unhideWhenUsed/>
    <w:rsid w:val="00EC4BFF"/>
    <w:pPr>
      <w:suppressLineNumbers/>
      <w:tabs>
        <w:tab w:val="center" w:pos="4513"/>
        <w:tab w:val="right" w:pos="9026"/>
      </w:tabs>
      <w:spacing w:line="240" w:lineRule="auto"/>
    </w:pPr>
  </w:style>
  <w:style w:type="paragraph" w:styleId="BalloonText">
    <w:name w:val="Balloon Text"/>
    <w:basedOn w:val="Normal"/>
    <w:link w:val="BalloonTextChar"/>
    <w:uiPriority w:val="99"/>
    <w:semiHidden/>
    <w:unhideWhenUsed/>
    <w:qFormat/>
    <w:rsid w:val="00EC4BFF"/>
    <w:pPr>
      <w:spacing w:line="240" w:lineRule="auto"/>
    </w:pPr>
    <w:rPr>
      <w:rFonts w:ascii="Segoe UI" w:eastAsiaTheme="minorEastAsia" w:hAnsi="Segoe UI" w:cs="Segoe UI"/>
      <w:sz w:val="18"/>
      <w:szCs w:val="18"/>
      <w:lang w:val="en-US"/>
    </w:rPr>
  </w:style>
  <w:style w:type="paragraph" w:styleId="CommentText">
    <w:name w:val="annotation text"/>
    <w:basedOn w:val="Normal"/>
    <w:link w:val="CommentTextChar"/>
    <w:uiPriority w:val="99"/>
    <w:unhideWhenUsed/>
    <w:rsid w:val="00EC4BFF"/>
    <w:pPr>
      <w:spacing w:line="240" w:lineRule="auto"/>
    </w:pPr>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qFormat/>
    <w:rsid w:val="00EC4BFF"/>
    <w:rPr>
      <w:b/>
      <w:bCs/>
    </w:rPr>
  </w:style>
  <w:style w:type="paragraph" w:styleId="NormalWeb">
    <w:name w:val="Normal (Web)"/>
    <w:basedOn w:val="Normal"/>
    <w:uiPriority w:val="99"/>
    <w:unhideWhenUsed/>
    <w:qFormat/>
    <w:rsid w:val="00EC4BFF"/>
    <w:pPr>
      <w:spacing w:beforeAutospacing="1" w:afterAutospacing="1" w:line="240" w:lineRule="auto"/>
    </w:pPr>
    <w:rPr>
      <w:rFonts w:ascii="Times New Roman" w:eastAsia="Times New Roman" w:hAnsi="Times New Roman" w:cs="Times New Roman"/>
      <w:szCs w:val="24"/>
      <w:lang w:eastAsia="en-GB"/>
    </w:rPr>
  </w:style>
  <w:style w:type="paragraph" w:styleId="Revision">
    <w:name w:val="Revision"/>
    <w:uiPriority w:val="99"/>
    <w:semiHidden/>
    <w:qFormat/>
    <w:rsid w:val="00EC4BFF"/>
    <w:rPr>
      <w:rFonts w:ascii="Times New Roman" w:eastAsia="Times New Roman" w:hAnsi="Times New Roman" w:cs="Times New Roman"/>
      <w:kern w:val="0"/>
      <w:sz w:val="24"/>
      <w:szCs w:val="24"/>
      <w:lang w:val="en-US"/>
    </w:rPr>
  </w:style>
  <w:style w:type="paragraph" w:styleId="FootnoteText">
    <w:name w:val="footnote text"/>
    <w:basedOn w:val="Normal"/>
    <w:link w:val="FootnoteTextChar"/>
    <w:uiPriority w:val="99"/>
    <w:semiHidden/>
    <w:unhideWhenUsed/>
    <w:rsid w:val="00EC4BFF"/>
    <w:pPr>
      <w:spacing w:line="240" w:lineRule="auto"/>
    </w:pPr>
    <w:rPr>
      <w:rFonts w:ascii="Times New Roman" w:eastAsia="Times New Roman" w:hAnsi="Times New Roman" w:cs="Times New Roman"/>
      <w:sz w:val="20"/>
      <w:szCs w:val="20"/>
      <w:lang w:val="en-US"/>
    </w:rPr>
  </w:style>
  <w:style w:type="paragraph" w:customStyle="1" w:styleId="paragraph">
    <w:name w:val="paragraph"/>
    <w:basedOn w:val="Normal"/>
    <w:qFormat/>
    <w:rsid w:val="00EC4BFF"/>
    <w:pPr>
      <w:spacing w:beforeAutospacing="1" w:afterAutospacing="1" w:line="240" w:lineRule="auto"/>
    </w:pPr>
    <w:rPr>
      <w:rFonts w:ascii="Times New Roman" w:eastAsia="Times New Roman" w:hAnsi="Times New Roman" w:cs="Times New Roman"/>
      <w:szCs w:val="24"/>
      <w:lang w:eastAsia="en-GB"/>
    </w:rPr>
  </w:style>
  <w:style w:type="paragraph" w:styleId="HTMLPreformatted">
    <w:name w:val="HTML Preformatted"/>
    <w:basedOn w:val="Normal"/>
    <w:link w:val="HTMLPreformattedChar"/>
    <w:uiPriority w:val="99"/>
    <w:semiHidden/>
    <w:unhideWhenUsed/>
    <w:qFormat/>
    <w:rsid w:val="00EC4B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pt-PT" w:eastAsia="en-GB"/>
    </w:rPr>
  </w:style>
  <w:style w:type="paragraph" w:customStyle="1" w:styleId="p">
    <w:name w:val="p"/>
    <w:basedOn w:val="Normal"/>
    <w:qFormat/>
    <w:rsid w:val="00EC4BFF"/>
    <w:pPr>
      <w:spacing w:beforeAutospacing="1" w:afterAutospacing="1" w:line="240" w:lineRule="auto"/>
    </w:pPr>
    <w:rPr>
      <w:rFonts w:ascii="Times New Roman" w:eastAsia="Times New Roman" w:hAnsi="Times New Roman" w:cs="Times New Roman"/>
      <w:szCs w:val="24"/>
      <w:lang w:eastAsia="en-GB"/>
    </w:rPr>
  </w:style>
  <w:style w:type="paragraph" w:customStyle="1" w:styleId="pf0">
    <w:name w:val="pf0"/>
    <w:basedOn w:val="Normal"/>
    <w:qFormat/>
    <w:rsid w:val="00EC4BFF"/>
    <w:pPr>
      <w:spacing w:beforeAutospacing="1" w:afterAutospacing="1" w:line="240" w:lineRule="auto"/>
    </w:pPr>
    <w:rPr>
      <w:rFonts w:ascii="Times New Roman" w:eastAsia="Times New Roman" w:hAnsi="Times New Roman" w:cs="Times New Roman"/>
      <w:szCs w:val="24"/>
      <w:lang w:eastAsia="en-GB"/>
    </w:rPr>
  </w:style>
  <w:style w:type="paragraph" w:styleId="NoSpacing">
    <w:name w:val="No Spacing"/>
    <w:uiPriority w:val="1"/>
    <w:qFormat/>
    <w:rsid w:val="00EC4BFF"/>
    <w:rPr>
      <w:rFonts w:ascii="Aptos" w:eastAsiaTheme="minorEastAsia" w:hAnsi="Aptos"/>
      <w:kern w:val="0"/>
      <w:sz w:val="21"/>
      <w:szCs w:val="21"/>
    </w:rPr>
  </w:style>
  <w:style w:type="paragraph" w:styleId="IndexHeading">
    <w:name w:val="index heading"/>
    <w:basedOn w:val="Heading"/>
  </w:style>
  <w:style w:type="paragraph" w:styleId="TOCHeading">
    <w:name w:val="TOC Heading"/>
    <w:basedOn w:val="Heading1"/>
    <w:next w:val="Normal"/>
    <w:uiPriority w:val="39"/>
    <w:unhideWhenUsed/>
    <w:qFormat/>
    <w:rsid w:val="00EC4BFF"/>
    <w:pPr>
      <w:pBdr>
        <w:top w:val="single" w:sz="18" w:space="1" w:color="4EA72E" w:themeColor="accent6"/>
        <w:bottom w:val="single" w:sz="18" w:space="1" w:color="4EA72E" w:themeColor="accent6"/>
      </w:pBdr>
      <w:spacing w:after="40" w:line="240" w:lineRule="auto"/>
      <w:outlineLvl w:val="9"/>
    </w:pPr>
    <w:rPr>
      <w:rFonts w:ascii="NewsGotT" w:hAnsi="NewsGotT"/>
      <w:b/>
      <w:color w:val="3A7C22" w:themeColor="accent6" w:themeShade="BF"/>
    </w:rPr>
  </w:style>
  <w:style w:type="paragraph" w:customStyle="1" w:styleId="xmsolistparagraph">
    <w:name w:val="x_msolistparagraph"/>
    <w:basedOn w:val="Normal"/>
    <w:qFormat/>
    <w:rsid w:val="00EC4BFF"/>
    <w:pPr>
      <w:spacing w:beforeAutospacing="1" w:afterAutospacing="1" w:line="240" w:lineRule="auto"/>
    </w:pPr>
    <w:rPr>
      <w:rFonts w:ascii="Times New Roman" w:eastAsia="Times New Roman" w:hAnsi="Times New Roman" w:cs="Times New Roman"/>
      <w:szCs w:val="24"/>
      <w:lang w:eastAsia="en-GB"/>
    </w:rPr>
  </w:style>
  <w:style w:type="paragraph" w:styleId="TOC1">
    <w:name w:val="toc 1"/>
    <w:basedOn w:val="Normal"/>
    <w:next w:val="Normal"/>
    <w:autoRedefine/>
    <w:uiPriority w:val="39"/>
    <w:unhideWhenUsed/>
    <w:rsid w:val="00EC4BFF"/>
    <w:pPr>
      <w:tabs>
        <w:tab w:val="right" w:leader="dot" w:pos="8494"/>
      </w:tabs>
      <w:ind w:firstLine="0"/>
    </w:pPr>
  </w:style>
  <w:style w:type="paragraph" w:styleId="TOC2">
    <w:name w:val="toc 2"/>
    <w:basedOn w:val="Normal"/>
    <w:next w:val="Normal"/>
    <w:autoRedefine/>
    <w:uiPriority w:val="39"/>
    <w:unhideWhenUsed/>
    <w:rsid w:val="00EC4BFF"/>
    <w:pPr>
      <w:spacing w:after="100"/>
      <w:ind w:left="240"/>
    </w:pPr>
  </w:style>
  <w:style w:type="paragraph" w:styleId="TOC3">
    <w:name w:val="toc 3"/>
    <w:basedOn w:val="Normal"/>
    <w:next w:val="Normal"/>
    <w:autoRedefine/>
    <w:uiPriority w:val="39"/>
    <w:unhideWhenUsed/>
    <w:rsid w:val="00EC4BFF"/>
    <w:pPr>
      <w:spacing w:after="100"/>
      <w:ind w:left="480"/>
    </w:pPr>
  </w:style>
  <w:style w:type="paragraph" w:styleId="TOC4">
    <w:name w:val="toc 4"/>
    <w:basedOn w:val="Normal"/>
    <w:next w:val="Normal"/>
    <w:autoRedefine/>
    <w:uiPriority w:val="39"/>
    <w:unhideWhenUsed/>
    <w:rsid w:val="00EC4BFF"/>
    <w:pPr>
      <w:spacing w:after="100" w:line="259" w:lineRule="auto"/>
      <w:ind w:left="660" w:firstLine="0"/>
      <w:jc w:val="left"/>
    </w:pPr>
    <w:rPr>
      <w:rFonts w:asciiTheme="minorHAnsi" w:eastAsiaTheme="minorEastAsia" w:hAnsiTheme="minorHAnsi"/>
      <w:sz w:val="22"/>
      <w:lang w:eastAsia="en-GB"/>
    </w:rPr>
  </w:style>
  <w:style w:type="paragraph" w:styleId="TOC5">
    <w:name w:val="toc 5"/>
    <w:basedOn w:val="Normal"/>
    <w:next w:val="Normal"/>
    <w:autoRedefine/>
    <w:uiPriority w:val="39"/>
    <w:unhideWhenUsed/>
    <w:rsid w:val="00EC4BFF"/>
    <w:pPr>
      <w:spacing w:after="100" w:line="259" w:lineRule="auto"/>
      <w:ind w:left="880" w:firstLine="0"/>
      <w:jc w:val="left"/>
    </w:pPr>
    <w:rPr>
      <w:rFonts w:asciiTheme="minorHAnsi" w:eastAsiaTheme="minorEastAsia" w:hAnsiTheme="minorHAnsi"/>
      <w:sz w:val="22"/>
      <w:lang w:eastAsia="en-GB"/>
    </w:rPr>
  </w:style>
  <w:style w:type="paragraph" w:styleId="TOC6">
    <w:name w:val="toc 6"/>
    <w:basedOn w:val="Normal"/>
    <w:next w:val="Normal"/>
    <w:autoRedefine/>
    <w:uiPriority w:val="39"/>
    <w:unhideWhenUsed/>
    <w:rsid w:val="00EC4BFF"/>
    <w:pPr>
      <w:spacing w:after="100" w:line="259" w:lineRule="auto"/>
      <w:ind w:left="1100" w:firstLine="0"/>
      <w:jc w:val="left"/>
    </w:pPr>
    <w:rPr>
      <w:rFonts w:asciiTheme="minorHAnsi" w:eastAsiaTheme="minorEastAsia" w:hAnsiTheme="minorHAnsi"/>
      <w:sz w:val="22"/>
      <w:lang w:eastAsia="en-GB"/>
    </w:rPr>
  </w:style>
  <w:style w:type="paragraph" w:styleId="TOC7">
    <w:name w:val="toc 7"/>
    <w:basedOn w:val="Normal"/>
    <w:next w:val="Normal"/>
    <w:autoRedefine/>
    <w:uiPriority w:val="39"/>
    <w:unhideWhenUsed/>
    <w:rsid w:val="00EC4BFF"/>
    <w:pPr>
      <w:spacing w:after="100" w:line="259" w:lineRule="auto"/>
      <w:ind w:left="1320" w:firstLine="0"/>
      <w:jc w:val="left"/>
    </w:pPr>
    <w:rPr>
      <w:rFonts w:asciiTheme="minorHAnsi" w:eastAsiaTheme="minorEastAsia" w:hAnsiTheme="minorHAnsi"/>
      <w:sz w:val="22"/>
      <w:lang w:eastAsia="en-GB"/>
    </w:rPr>
  </w:style>
  <w:style w:type="paragraph" w:styleId="TOC8">
    <w:name w:val="toc 8"/>
    <w:basedOn w:val="Normal"/>
    <w:next w:val="Normal"/>
    <w:autoRedefine/>
    <w:uiPriority w:val="39"/>
    <w:unhideWhenUsed/>
    <w:rsid w:val="00EC4BFF"/>
    <w:pPr>
      <w:spacing w:after="100" w:line="259" w:lineRule="auto"/>
      <w:ind w:left="1540" w:firstLine="0"/>
      <w:jc w:val="left"/>
    </w:pPr>
    <w:rPr>
      <w:rFonts w:asciiTheme="minorHAnsi" w:eastAsiaTheme="minorEastAsia" w:hAnsiTheme="minorHAnsi"/>
      <w:sz w:val="22"/>
      <w:lang w:eastAsia="en-GB"/>
    </w:rPr>
  </w:style>
  <w:style w:type="paragraph" w:styleId="TOC9">
    <w:name w:val="toc 9"/>
    <w:basedOn w:val="Normal"/>
    <w:next w:val="Normal"/>
    <w:autoRedefine/>
    <w:uiPriority w:val="39"/>
    <w:unhideWhenUsed/>
    <w:rsid w:val="00EC4BFF"/>
    <w:pPr>
      <w:spacing w:after="100" w:line="259" w:lineRule="auto"/>
      <w:ind w:left="1760" w:firstLine="0"/>
      <w:jc w:val="left"/>
    </w:pPr>
    <w:rPr>
      <w:rFonts w:asciiTheme="minorHAnsi" w:eastAsiaTheme="minorEastAsia" w:hAnsiTheme="minorHAnsi"/>
      <w:sz w:val="22"/>
      <w:lang w:eastAsia="en-GB"/>
    </w:rPr>
  </w:style>
  <w:style w:type="paragraph" w:styleId="TableofFigures">
    <w:name w:val="table of figures"/>
    <w:basedOn w:val="Normal"/>
    <w:next w:val="Normal"/>
    <w:uiPriority w:val="99"/>
    <w:unhideWhenUsed/>
    <w:rsid w:val="00EC4BFF"/>
  </w:style>
  <w:style w:type="paragraph" w:customStyle="1" w:styleId="normal-legend">
    <w:name w:val="normal - legend"/>
    <w:basedOn w:val="Normal"/>
    <w:qFormat/>
    <w:rsid w:val="00EC4BFF"/>
    <w:pPr>
      <w:spacing w:after="240" w:line="276" w:lineRule="auto"/>
      <w:ind w:firstLine="0"/>
    </w:pPr>
    <w:rPr>
      <w:sz w:val="20"/>
    </w:rPr>
  </w:style>
  <w:style w:type="paragraph" w:customStyle="1" w:styleId="Pa12">
    <w:name w:val="Pa12"/>
    <w:basedOn w:val="Default"/>
    <w:next w:val="Default"/>
    <w:uiPriority w:val="99"/>
    <w:qFormat/>
    <w:rsid w:val="00EC4BFF"/>
    <w:pPr>
      <w:spacing w:line="197" w:lineRule="atLeast"/>
    </w:pPr>
    <w:rPr>
      <w:rFonts w:ascii="Warnock Pro" w:hAnsi="Warnock Pro" w:cstheme="minorBidi"/>
      <w:color w:val="auto"/>
      <w:lang w:val="es-ES"/>
    </w:rPr>
  </w:style>
  <w:style w:type="paragraph" w:customStyle="1" w:styleId="Pa16">
    <w:name w:val="Pa16"/>
    <w:basedOn w:val="Default"/>
    <w:next w:val="Default"/>
    <w:uiPriority w:val="99"/>
    <w:qFormat/>
    <w:rsid w:val="00EC4BFF"/>
    <w:pPr>
      <w:spacing w:line="185" w:lineRule="atLeast"/>
    </w:pPr>
    <w:rPr>
      <w:rFonts w:ascii="Warnock Pro" w:hAnsi="Warnock Pro" w:cstheme="minorBidi"/>
      <w:color w:val="auto"/>
      <w:lang w:val="es-ES"/>
    </w:rPr>
  </w:style>
  <w:style w:type="paragraph" w:customStyle="1" w:styleId="msonormal0">
    <w:name w:val="msonormal"/>
    <w:basedOn w:val="Normal"/>
    <w:qFormat/>
    <w:rsid w:val="00EC4BFF"/>
    <w:pPr>
      <w:spacing w:beforeAutospacing="1" w:afterAutospacing="1" w:line="240" w:lineRule="auto"/>
      <w:ind w:firstLine="0"/>
      <w:jc w:val="left"/>
    </w:pPr>
    <w:rPr>
      <w:rFonts w:ascii="Times New Roman" w:eastAsia="Times New Roman" w:hAnsi="Times New Roman" w:cs="Times New Roman"/>
      <w:szCs w:val="24"/>
      <w:lang w:eastAsia="en-GB"/>
    </w:rPr>
  </w:style>
  <w:style w:type="paragraph" w:customStyle="1" w:styleId="xl65">
    <w:name w:val="xl65"/>
    <w:basedOn w:val="Normal"/>
    <w:qFormat/>
    <w:rsid w:val="00EC4BFF"/>
    <w:pPr>
      <w:pBdr>
        <w:bottom w:val="single" w:sz="4" w:space="0" w:color="000000"/>
      </w:pBdr>
      <w:spacing w:beforeAutospacing="1" w:afterAutospacing="1" w:line="240" w:lineRule="auto"/>
      <w:ind w:firstLine="0"/>
      <w:jc w:val="left"/>
    </w:pPr>
    <w:rPr>
      <w:rFonts w:ascii="Times New Roman" w:eastAsia="Times New Roman" w:hAnsi="Times New Roman" w:cs="Times New Roman"/>
      <w:b/>
      <w:bCs/>
      <w:szCs w:val="24"/>
      <w:lang w:eastAsia="en-GB"/>
    </w:rPr>
  </w:style>
  <w:style w:type="paragraph" w:customStyle="1" w:styleId="xl66">
    <w:name w:val="xl66"/>
    <w:basedOn w:val="Normal"/>
    <w:qFormat/>
    <w:rsid w:val="00EC4BFF"/>
    <w:pPr>
      <w:spacing w:beforeAutospacing="1" w:afterAutospacing="1" w:line="240" w:lineRule="auto"/>
      <w:ind w:firstLine="0"/>
      <w:jc w:val="center"/>
    </w:pPr>
    <w:rPr>
      <w:rFonts w:ascii="Times New Roman" w:eastAsia="Times New Roman" w:hAnsi="Times New Roman" w:cs="Times New Roman"/>
      <w:szCs w:val="24"/>
      <w:lang w:eastAsia="en-GB"/>
    </w:rPr>
  </w:style>
  <w:style w:type="paragraph" w:customStyle="1" w:styleId="xl68">
    <w:name w:val="xl68"/>
    <w:basedOn w:val="Normal"/>
    <w:qFormat/>
    <w:rsid w:val="00EC4BFF"/>
    <w:pPr>
      <w:spacing w:beforeAutospacing="1" w:afterAutospacing="1" w:line="240" w:lineRule="auto"/>
      <w:ind w:firstLine="0"/>
      <w:jc w:val="left"/>
    </w:pPr>
    <w:rPr>
      <w:rFonts w:ascii="Times New Roman" w:eastAsia="Times New Roman" w:hAnsi="Times New Roman" w:cs="Times New Roman"/>
      <w:color w:val="4D93D9"/>
      <w:szCs w:val="24"/>
      <w:lang w:eastAsia="en-GB"/>
    </w:rPr>
  </w:style>
  <w:style w:type="paragraph" w:customStyle="1" w:styleId="xl69">
    <w:name w:val="xl69"/>
    <w:basedOn w:val="Normal"/>
    <w:qFormat/>
    <w:rsid w:val="00EC4BFF"/>
    <w:pPr>
      <w:spacing w:beforeAutospacing="1" w:afterAutospacing="1" w:line="240" w:lineRule="auto"/>
      <w:ind w:firstLine="0"/>
      <w:jc w:val="left"/>
    </w:pPr>
    <w:rPr>
      <w:rFonts w:ascii="Times New Roman" w:eastAsia="Times New Roman" w:hAnsi="Times New Roman" w:cs="Times New Roman"/>
      <w:color w:val="FF0000"/>
      <w:szCs w:val="24"/>
      <w:lang w:eastAsia="en-GB"/>
    </w:rPr>
  </w:style>
  <w:style w:type="paragraph" w:customStyle="1" w:styleId="xl70">
    <w:name w:val="xl70"/>
    <w:basedOn w:val="Normal"/>
    <w:qFormat/>
    <w:rsid w:val="00EC4BFF"/>
    <w:pPr>
      <w:spacing w:beforeAutospacing="1" w:afterAutospacing="1" w:line="240" w:lineRule="auto"/>
      <w:ind w:firstLine="0"/>
      <w:jc w:val="left"/>
    </w:pPr>
    <w:rPr>
      <w:rFonts w:ascii="Times New Roman" w:eastAsia="Times New Roman" w:hAnsi="Times New Roman" w:cs="Times New Roman"/>
      <w:color w:val="44B3E1"/>
      <w:szCs w:val="24"/>
      <w:lang w:eastAsia="en-GB"/>
    </w:rPr>
  </w:style>
  <w:style w:type="paragraph" w:customStyle="1" w:styleId="xl71">
    <w:name w:val="xl71"/>
    <w:basedOn w:val="Normal"/>
    <w:qFormat/>
    <w:rsid w:val="00EC4BFF"/>
    <w:pPr>
      <w:spacing w:beforeAutospacing="1" w:afterAutospacing="1" w:line="240" w:lineRule="auto"/>
      <w:ind w:firstLine="0"/>
      <w:jc w:val="left"/>
    </w:pPr>
    <w:rPr>
      <w:rFonts w:ascii="Times New Roman" w:eastAsia="Times New Roman" w:hAnsi="Times New Roman" w:cs="Times New Roman"/>
      <w:szCs w:val="24"/>
      <w:lang w:eastAsia="en-GB"/>
    </w:rPr>
  </w:style>
  <w:style w:type="table" w:styleId="TableGrid">
    <w:name w:val="Table Grid"/>
    <w:basedOn w:val="TableNormal"/>
    <w:uiPriority w:val="39"/>
    <w:rsid w:val="00EC4B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mples21">
    <w:name w:val="Tabela Simples 21"/>
    <w:basedOn w:val="TableNormal"/>
    <w:uiPriority w:val="99"/>
    <w:rsid w:val="00EC4BF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21">
    <w:name w:val="Plain Table 21"/>
    <w:basedOn w:val="TableNormal"/>
    <w:uiPriority w:val="42"/>
    <w:rsid w:val="00EC4BF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GridTable1Light-Accent61">
    <w:name w:val="Grid Table 1 Light - Accent 61"/>
    <w:basedOn w:val="TableNormal"/>
    <w:uiPriority w:val="46"/>
    <w:rsid w:val="00EC4BFF"/>
    <w:rPr>
      <w:rFonts w:eastAsiaTheme="minorEastAsia"/>
      <w:sz w:val="21"/>
      <w:szCs w:val="21"/>
    </w:rPr>
    <w:tblPr>
      <w:tblStyleRowBandSize w:val="1"/>
      <w:tblStyleColBandSize w:val="1"/>
      <w:tblInd w:w="0" w:type="dxa"/>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CellMar>
        <w:top w:w="0" w:type="dxa"/>
        <w:left w:w="108" w:type="dxa"/>
        <w:bottom w:w="0" w:type="dxa"/>
        <w:right w:w="108" w:type="dxa"/>
      </w:tblCellMar>
    </w:tblPr>
    <w:tblStylePr w:type="firstRow">
      <w:rPr>
        <w:b/>
        <w:bCs/>
      </w:rPr>
      <w:tblPr/>
      <w:tcPr>
        <w:tcBorders>
          <w:bottom w:val="single" w:sz="12" w:space="0" w:color="4EA72E" w:themeColor="accent6"/>
        </w:tcBorders>
      </w:tcPr>
    </w:tblStylePr>
    <w:tblStylePr w:type="lastRow">
      <w:rPr>
        <w:b/>
        <w:bCs/>
      </w:rPr>
      <w:tblPr/>
      <w:tcPr>
        <w:tcBorders>
          <w:top w:val="double" w:sz="2" w:space="0" w:color="4EA72E" w:themeColor="accent6"/>
        </w:tcBorders>
      </w:tcPr>
    </w:tblStylePr>
    <w:tblStylePr w:type="firstCol">
      <w:rPr>
        <w:b/>
        <w:bCs/>
      </w:rPr>
    </w:tblStylePr>
    <w:tblStylePr w:type="lastCol">
      <w:rPr>
        <w:b/>
        <w:bCs/>
      </w:rPr>
    </w:tblStylePr>
  </w:style>
  <w:style w:type="table" w:customStyle="1" w:styleId="GridTable3-Accent61">
    <w:name w:val="Grid Table 3 - Accent 61"/>
    <w:basedOn w:val="TableNormal"/>
    <w:uiPriority w:val="48"/>
    <w:rsid w:val="00EC4BFF"/>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4EA72E" w:themeColor="accent6"/>
        </w:tcBorders>
      </w:tcPr>
    </w:tblStylePr>
    <w:tblStylePr w:type="nwCell">
      <w:tblPr/>
      <w:tcPr>
        <w:tcBorders>
          <w:bottom w:val="single" w:sz="4" w:space="0" w:color="4EA72E" w:themeColor="accent6"/>
        </w:tcBorders>
      </w:tcPr>
    </w:tblStylePr>
    <w:tblStylePr w:type="seCell">
      <w:tblPr/>
      <w:tcPr>
        <w:tcBorders>
          <w:top w:val="single" w:sz="4" w:space="0" w:color="4EA72E" w:themeColor="accent6"/>
        </w:tcBorders>
      </w:tcPr>
    </w:tblStylePr>
    <w:tblStylePr w:type="swCell">
      <w:tblPr/>
      <w:tcPr>
        <w:tcBorders>
          <w:top w:val="single" w:sz="4" w:space="0" w:color="4EA72E" w:themeColor="accent6"/>
        </w:tcBorders>
      </w:tcPr>
    </w:tblStylePr>
  </w:style>
  <w:style w:type="table" w:customStyle="1" w:styleId="GridTable4-Accent61">
    <w:name w:val="Grid Table 4 - Accent 61"/>
    <w:basedOn w:val="TableNormal"/>
    <w:uiPriority w:val="49"/>
    <w:rsid w:val="00EC4BFF"/>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1LightAccent6">
    <w:name w:val="Grid Table 1 Light Accent 6"/>
    <w:basedOn w:val="TableNormal"/>
    <w:uiPriority w:val="46"/>
    <w:rsid w:val="00EC4BFF"/>
    <w:rPr>
      <w:rFonts w:eastAsiaTheme="minorEastAsia"/>
      <w:sz w:val="21"/>
      <w:szCs w:val="21"/>
    </w:rPr>
    <w:tblPr>
      <w:tblStyleRowBandSize w:val="1"/>
      <w:tblStyleColBandSize w:val="1"/>
      <w:tblInd w:w="0" w:type="dxa"/>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CellMar>
        <w:top w:w="0" w:type="dxa"/>
        <w:left w:w="108" w:type="dxa"/>
        <w:bottom w:w="0" w:type="dxa"/>
        <w:right w:w="108" w:type="dxa"/>
      </w:tblCellMar>
    </w:tblPr>
    <w:tblStylePr w:type="firstRow">
      <w:rPr>
        <w:b/>
        <w:bCs/>
      </w:rPr>
      <w:tblPr/>
      <w:tcPr>
        <w:tcBorders>
          <w:bottom w:val="single" w:sz="12" w:space="0" w:color="4EA72E" w:themeColor="accent6"/>
        </w:tcBorders>
      </w:tcPr>
    </w:tblStylePr>
    <w:tblStylePr w:type="lastRow">
      <w:rPr>
        <w:b/>
        <w:bCs/>
      </w:rPr>
      <w:tblPr/>
      <w:tcPr>
        <w:tcBorders>
          <w:top w:val="double" w:sz="2" w:space="0" w:color="4EA72E" w:themeColor="accent6"/>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BFF"/>
    <w:pPr>
      <w:spacing w:line="360" w:lineRule="auto"/>
      <w:ind w:firstLine="567"/>
      <w:jc w:val="both"/>
    </w:pPr>
    <w:rPr>
      <w:rFonts w:ascii="NewsGotT" w:hAnsi="NewsGotT"/>
      <w:kern w:val="0"/>
      <w:sz w:val="24"/>
    </w:rPr>
  </w:style>
  <w:style w:type="paragraph" w:styleId="Heading1">
    <w:name w:val="heading 1"/>
    <w:basedOn w:val="Normal"/>
    <w:next w:val="Normal"/>
    <w:link w:val="Heading1Char"/>
    <w:uiPriority w:val="9"/>
    <w:qFormat/>
    <w:rsid w:val="004C1A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1A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C1A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C1A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1A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1AE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1AE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1AE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1AE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4C1A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sid w:val="004C1A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sid w:val="004C1A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qFormat/>
    <w:rsid w:val="004C1A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4C1A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4C1A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4C1A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4C1A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4C1AE4"/>
    <w:rPr>
      <w:rFonts w:eastAsiaTheme="majorEastAsia" w:cstheme="majorBidi"/>
      <w:color w:val="272727" w:themeColor="text1" w:themeTint="D8"/>
    </w:rPr>
  </w:style>
  <w:style w:type="character" w:customStyle="1" w:styleId="TitleChar">
    <w:name w:val="Title Char"/>
    <w:basedOn w:val="DefaultParagraphFont"/>
    <w:link w:val="Title"/>
    <w:uiPriority w:val="99"/>
    <w:qFormat/>
    <w:rsid w:val="004C1AE4"/>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4C1AE4"/>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4C1AE4"/>
    <w:rPr>
      <w:i/>
      <w:iCs/>
      <w:color w:val="404040" w:themeColor="text1" w:themeTint="BF"/>
    </w:rPr>
  </w:style>
  <w:style w:type="character" w:styleId="IntenseEmphasis">
    <w:name w:val="Intense Emphasis"/>
    <w:basedOn w:val="DefaultParagraphFont"/>
    <w:uiPriority w:val="21"/>
    <w:qFormat/>
    <w:rsid w:val="004C1AE4"/>
    <w:rPr>
      <w:i/>
      <w:iCs/>
      <w:color w:val="0F4761" w:themeColor="accent1" w:themeShade="BF"/>
    </w:rPr>
  </w:style>
  <w:style w:type="character" w:customStyle="1" w:styleId="IntenseQuoteChar">
    <w:name w:val="Intense Quote Char"/>
    <w:basedOn w:val="DefaultParagraphFont"/>
    <w:link w:val="IntenseQuote"/>
    <w:uiPriority w:val="30"/>
    <w:qFormat/>
    <w:rsid w:val="004C1AE4"/>
    <w:rPr>
      <w:i/>
      <w:iCs/>
      <w:color w:val="0F4761" w:themeColor="accent1" w:themeShade="BF"/>
    </w:rPr>
  </w:style>
  <w:style w:type="character" w:styleId="IntenseReference">
    <w:name w:val="Intense Reference"/>
    <w:basedOn w:val="DefaultParagraphFont"/>
    <w:uiPriority w:val="32"/>
    <w:qFormat/>
    <w:rsid w:val="004C1AE4"/>
    <w:rPr>
      <w:b/>
      <w:bCs/>
      <w:smallCaps/>
      <w:color w:val="0F4761" w:themeColor="accent1" w:themeShade="BF"/>
      <w:spacing w:val="5"/>
    </w:rPr>
  </w:style>
  <w:style w:type="character" w:styleId="Hyperlink">
    <w:name w:val="Hyperlink"/>
    <w:basedOn w:val="DefaultParagraphFont"/>
    <w:uiPriority w:val="99"/>
    <w:unhideWhenUsed/>
    <w:rsid w:val="00EC4BFF"/>
    <w:rPr>
      <w:color w:val="467886" w:themeColor="hyperlink"/>
      <w:u w:val="single"/>
    </w:rPr>
  </w:style>
  <w:style w:type="character" w:customStyle="1" w:styleId="HeaderChar">
    <w:name w:val="Header Char"/>
    <w:basedOn w:val="DefaultParagraphFont"/>
    <w:link w:val="Header"/>
    <w:uiPriority w:val="99"/>
    <w:qFormat/>
    <w:rsid w:val="00EC4BFF"/>
    <w:rPr>
      <w:rFonts w:ascii="NewsGotT" w:hAnsi="NewsGotT"/>
      <w:kern w:val="0"/>
      <w:sz w:val="24"/>
    </w:rPr>
  </w:style>
  <w:style w:type="character" w:customStyle="1" w:styleId="FooterChar">
    <w:name w:val="Footer Char"/>
    <w:basedOn w:val="DefaultParagraphFont"/>
    <w:link w:val="Footer"/>
    <w:uiPriority w:val="99"/>
    <w:qFormat/>
    <w:rsid w:val="00EC4BFF"/>
    <w:rPr>
      <w:rFonts w:ascii="NewsGotT" w:hAnsi="NewsGotT"/>
      <w:kern w:val="0"/>
      <w:sz w:val="24"/>
    </w:rPr>
  </w:style>
  <w:style w:type="character" w:styleId="PlaceholderText">
    <w:name w:val="Placeholder Text"/>
    <w:basedOn w:val="DefaultParagraphFont"/>
    <w:uiPriority w:val="99"/>
    <w:semiHidden/>
    <w:qFormat/>
    <w:rsid w:val="00EC4BFF"/>
    <w:rPr>
      <w:color w:val="808080"/>
    </w:rPr>
  </w:style>
  <w:style w:type="character" w:customStyle="1" w:styleId="BalloonTextChar">
    <w:name w:val="Balloon Text Char"/>
    <w:basedOn w:val="DefaultParagraphFont"/>
    <w:link w:val="BalloonText"/>
    <w:uiPriority w:val="99"/>
    <w:semiHidden/>
    <w:qFormat/>
    <w:rsid w:val="00EC4BFF"/>
    <w:rPr>
      <w:rFonts w:ascii="Segoe UI" w:eastAsiaTheme="minorEastAsia" w:hAnsi="Segoe UI" w:cs="Segoe UI"/>
      <w:kern w:val="0"/>
      <w:sz w:val="18"/>
      <w:szCs w:val="18"/>
      <w:lang w:val="en-US"/>
    </w:rPr>
  </w:style>
  <w:style w:type="character" w:styleId="CommentReference">
    <w:name w:val="annotation reference"/>
    <w:basedOn w:val="DefaultParagraphFont"/>
    <w:uiPriority w:val="99"/>
    <w:semiHidden/>
    <w:unhideWhenUsed/>
    <w:qFormat/>
    <w:rsid w:val="00EC4BFF"/>
    <w:rPr>
      <w:sz w:val="16"/>
      <w:szCs w:val="16"/>
    </w:rPr>
  </w:style>
  <w:style w:type="character" w:customStyle="1" w:styleId="CommentTextChar">
    <w:name w:val="Comment Text Char"/>
    <w:basedOn w:val="DefaultParagraphFont"/>
    <w:link w:val="CommentText"/>
    <w:uiPriority w:val="99"/>
    <w:qFormat/>
    <w:rsid w:val="00EC4BFF"/>
    <w:rPr>
      <w:rFonts w:ascii="Times New Roman" w:eastAsia="Times New Roman" w:hAnsi="Times New Roman" w:cs="Times New Roman"/>
      <w:kern w:val="0"/>
      <w:sz w:val="20"/>
      <w:szCs w:val="20"/>
      <w:lang w:val="en-US"/>
    </w:rPr>
  </w:style>
  <w:style w:type="character" w:customStyle="1" w:styleId="CommentSubjectChar">
    <w:name w:val="Comment Subject Char"/>
    <w:basedOn w:val="CommentTextChar"/>
    <w:link w:val="CommentSubject"/>
    <w:uiPriority w:val="99"/>
    <w:semiHidden/>
    <w:qFormat/>
    <w:rsid w:val="00EC4BFF"/>
    <w:rPr>
      <w:rFonts w:ascii="Times New Roman" w:eastAsia="Times New Roman" w:hAnsi="Times New Roman" w:cs="Times New Roman"/>
      <w:b/>
      <w:bCs/>
      <w:kern w:val="0"/>
      <w:sz w:val="20"/>
      <w:szCs w:val="20"/>
      <w:lang w:val="en-US"/>
    </w:rPr>
  </w:style>
  <w:style w:type="character" w:customStyle="1" w:styleId="bkciteavail">
    <w:name w:val="bk_cite_avail"/>
    <w:basedOn w:val="DefaultParagraphFont"/>
    <w:qFormat/>
    <w:rsid w:val="00EC4BFF"/>
  </w:style>
  <w:style w:type="character" w:customStyle="1" w:styleId="tlid-translation">
    <w:name w:val="tlid-translation"/>
    <w:basedOn w:val="DefaultParagraphFont"/>
    <w:qFormat/>
    <w:rsid w:val="00EC4BFF"/>
  </w:style>
  <w:style w:type="character" w:customStyle="1" w:styleId="FootnoteTextChar">
    <w:name w:val="Footnote Text Char"/>
    <w:basedOn w:val="DefaultParagraphFont"/>
    <w:link w:val="FootnoteText"/>
    <w:uiPriority w:val="99"/>
    <w:semiHidden/>
    <w:qFormat/>
    <w:rsid w:val="00EC4BFF"/>
    <w:rPr>
      <w:rFonts w:ascii="Times New Roman" w:eastAsia="Times New Roman" w:hAnsi="Times New Roman" w:cs="Times New Roman"/>
      <w:kern w:val="0"/>
      <w:sz w:val="20"/>
      <w:szCs w:val="20"/>
      <w:lang w:val="en-US"/>
    </w:rPr>
  </w:style>
  <w:style w:type="character" w:customStyle="1" w:styleId="FootnoteCharacters">
    <w:name w:val="Footnote Characters"/>
    <w:basedOn w:val="DefaultParagraphFont"/>
    <w:uiPriority w:val="99"/>
    <w:semiHidden/>
    <w:unhideWhenUsed/>
    <w:qFormat/>
    <w:rsid w:val="00EC4BFF"/>
    <w:rPr>
      <w:vertAlign w:val="superscript"/>
    </w:rPr>
  </w:style>
  <w:style w:type="character" w:styleId="FootnoteReference">
    <w:name w:val="footnote reference"/>
    <w:rPr>
      <w:vertAlign w:val="superscript"/>
    </w:rPr>
  </w:style>
  <w:style w:type="character" w:customStyle="1" w:styleId="5yl5">
    <w:name w:val="_5yl5"/>
    <w:basedOn w:val="DefaultParagraphFont"/>
    <w:qFormat/>
    <w:rsid w:val="00EC4BFF"/>
  </w:style>
  <w:style w:type="character" w:styleId="Strong">
    <w:name w:val="Strong"/>
    <w:basedOn w:val="DefaultParagraphFont"/>
    <w:uiPriority w:val="22"/>
    <w:qFormat/>
    <w:rsid w:val="00EC4BFF"/>
    <w:rPr>
      <w:b/>
      <w:bCs/>
    </w:rPr>
  </w:style>
  <w:style w:type="character" w:customStyle="1" w:styleId="hgkelc">
    <w:name w:val="hgkelc"/>
    <w:basedOn w:val="DefaultParagraphFont"/>
    <w:qFormat/>
    <w:rsid w:val="00EC4BFF"/>
  </w:style>
  <w:style w:type="character" w:customStyle="1" w:styleId="il">
    <w:name w:val="il"/>
    <w:basedOn w:val="DefaultParagraphFont"/>
    <w:qFormat/>
    <w:rsid w:val="00EC4BFF"/>
  </w:style>
  <w:style w:type="character" w:customStyle="1" w:styleId="UnresolvedMention1">
    <w:name w:val="Unresolved Mention1"/>
    <w:basedOn w:val="DefaultParagraphFont"/>
    <w:uiPriority w:val="99"/>
    <w:semiHidden/>
    <w:unhideWhenUsed/>
    <w:qFormat/>
    <w:rsid w:val="00EC4BFF"/>
    <w:rPr>
      <w:color w:val="605E5C"/>
      <w:shd w:val="clear" w:color="auto" w:fill="E1DFDD"/>
    </w:rPr>
  </w:style>
  <w:style w:type="character" w:styleId="Emphasis">
    <w:name w:val="Emphasis"/>
    <w:basedOn w:val="DefaultParagraphFont"/>
    <w:uiPriority w:val="20"/>
    <w:qFormat/>
    <w:rsid w:val="00EC4BFF"/>
    <w:rPr>
      <w:i/>
      <w:iCs/>
    </w:rPr>
  </w:style>
  <w:style w:type="character" w:customStyle="1" w:styleId="title-text">
    <w:name w:val="title-text"/>
    <w:basedOn w:val="DefaultParagraphFont"/>
    <w:qFormat/>
    <w:rsid w:val="00EC4BFF"/>
  </w:style>
  <w:style w:type="character" w:styleId="LineNumber">
    <w:name w:val="line number"/>
    <w:basedOn w:val="DefaultParagraphFont"/>
    <w:uiPriority w:val="99"/>
    <w:semiHidden/>
    <w:unhideWhenUsed/>
    <w:rsid w:val="00EC4BFF"/>
  </w:style>
  <w:style w:type="character" w:customStyle="1" w:styleId="identifier">
    <w:name w:val="identifier"/>
    <w:basedOn w:val="DefaultParagraphFont"/>
    <w:qFormat/>
    <w:rsid w:val="00EC4BFF"/>
  </w:style>
  <w:style w:type="character" w:customStyle="1" w:styleId="id-label">
    <w:name w:val="id-label"/>
    <w:basedOn w:val="DefaultParagraphFont"/>
    <w:qFormat/>
    <w:rsid w:val="00EC4BFF"/>
  </w:style>
  <w:style w:type="character" w:customStyle="1" w:styleId="citation-doi">
    <w:name w:val="citation-doi"/>
    <w:basedOn w:val="DefaultParagraphFont"/>
    <w:qFormat/>
    <w:rsid w:val="00EC4BFF"/>
  </w:style>
  <w:style w:type="character" w:customStyle="1" w:styleId="doi">
    <w:name w:val="doi"/>
    <w:basedOn w:val="DefaultParagraphFont"/>
    <w:qFormat/>
    <w:rsid w:val="00EC4BFF"/>
  </w:style>
  <w:style w:type="character" w:customStyle="1" w:styleId="normaltextrun">
    <w:name w:val="normaltextrun"/>
    <w:basedOn w:val="DefaultParagraphFont"/>
    <w:qFormat/>
    <w:rsid w:val="00EC4BFF"/>
  </w:style>
  <w:style w:type="character" w:customStyle="1" w:styleId="spellingerror">
    <w:name w:val="spellingerror"/>
    <w:basedOn w:val="DefaultParagraphFont"/>
    <w:qFormat/>
    <w:rsid w:val="00EC4BFF"/>
  </w:style>
  <w:style w:type="character" w:customStyle="1" w:styleId="eop">
    <w:name w:val="eop"/>
    <w:basedOn w:val="DefaultParagraphFont"/>
    <w:qFormat/>
    <w:rsid w:val="00EC4BFF"/>
  </w:style>
  <w:style w:type="character" w:styleId="FollowedHyperlink">
    <w:name w:val="FollowedHyperlink"/>
    <w:basedOn w:val="DefaultParagraphFont"/>
    <w:uiPriority w:val="99"/>
    <w:semiHidden/>
    <w:unhideWhenUsed/>
    <w:rsid w:val="00EC4BFF"/>
    <w:rPr>
      <w:color w:val="96607D" w:themeColor="followedHyperlink"/>
      <w:u w:val="single"/>
    </w:rPr>
  </w:style>
  <w:style w:type="character" w:customStyle="1" w:styleId="apple-converted-space">
    <w:name w:val="apple-converted-space"/>
    <w:basedOn w:val="DefaultParagraphFont"/>
    <w:qFormat/>
    <w:rsid w:val="00EC4BFF"/>
  </w:style>
  <w:style w:type="character" w:customStyle="1" w:styleId="UnresolvedMention2">
    <w:name w:val="Unresolved Mention2"/>
    <w:basedOn w:val="DefaultParagraphFont"/>
    <w:uiPriority w:val="99"/>
    <w:semiHidden/>
    <w:unhideWhenUsed/>
    <w:qFormat/>
    <w:rsid w:val="00EC4BFF"/>
    <w:rPr>
      <w:color w:val="605E5C"/>
      <w:shd w:val="clear" w:color="auto" w:fill="E1DFDD"/>
    </w:rPr>
  </w:style>
  <w:style w:type="character" w:customStyle="1" w:styleId="HTMLPreformattedChar">
    <w:name w:val="HTML Preformatted Char"/>
    <w:basedOn w:val="DefaultParagraphFont"/>
    <w:link w:val="HTMLPreformatted"/>
    <w:uiPriority w:val="99"/>
    <w:semiHidden/>
    <w:qFormat/>
    <w:rsid w:val="00EC4BFF"/>
    <w:rPr>
      <w:rFonts w:ascii="Courier New" w:eastAsia="Times New Roman" w:hAnsi="Courier New" w:cs="Courier New"/>
      <w:kern w:val="0"/>
      <w:sz w:val="20"/>
      <w:szCs w:val="20"/>
      <w:lang w:val="pt-PT" w:eastAsia="en-GB"/>
    </w:rPr>
  </w:style>
  <w:style w:type="character" w:customStyle="1" w:styleId="UnresolvedMention3">
    <w:name w:val="Unresolved Mention3"/>
    <w:basedOn w:val="DefaultParagraphFont"/>
    <w:uiPriority w:val="99"/>
    <w:semiHidden/>
    <w:unhideWhenUsed/>
    <w:qFormat/>
    <w:rsid w:val="00EC4BFF"/>
    <w:rPr>
      <w:color w:val="605E5C"/>
      <w:shd w:val="clear" w:color="auto" w:fill="E1DFDD"/>
    </w:rPr>
  </w:style>
  <w:style w:type="character" w:customStyle="1" w:styleId="EndnoteCharacters">
    <w:name w:val="Endnote Characters"/>
    <w:basedOn w:val="DefaultParagraphFont"/>
    <w:uiPriority w:val="99"/>
    <w:semiHidden/>
    <w:unhideWhenUsed/>
    <w:qFormat/>
    <w:rsid w:val="00EC4BFF"/>
    <w:rPr>
      <w:vertAlign w:val="superscript"/>
    </w:rPr>
  </w:style>
  <w:style w:type="character" w:styleId="EndnoteReference">
    <w:name w:val="endnote reference"/>
    <w:rPr>
      <w:vertAlign w:val="superscript"/>
    </w:rPr>
  </w:style>
  <w:style w:type="character" w:styleId="SubtleEmphasis">
    <w:name w:val="Subtle Emphasis"/>
    <w:basedOn w:val="DefaultParagraphFont"/>
    <w:uiPriority w:val="19"/>
    <w:qFormat/>
    <w:rsid w:val="00EC4BFF"/>
    <w:rPr>
      <w:i/>
      <w:iCs/>
    </w:rPr>
  </w:style>
  <w:style w:type="character" w:styleId="SubtleReference">
    <w:name w:val="Subtle Reference"/>
    <w:basedOn w:val="DefaultParagraphFont"/>
    <w:uiPriority w:val="31"/>
    <w:qFormat/>
    <w:rsid w:val="00EC4BFF"/>
    <w:rPr>
      <w:smallCaps/>
      <w:color w:val="595959" w:themeColor="text1" w:themeTint="A6"/>
    </w:rPr>
  </w:style>
  <w:style w:type="character" w:styleId="BookTitle">
    <w:name w:val="Book Title"/>
    <w:basedOn w:val="DefaultParagraphFont"/>
    <w:uiPriority w:val="33"/>
    <w:qFormat/>
    <w:rsid w:val="00EC4BFF"/>
    <w:rPr>
      <w:b/>
      <w:bCs/>
      <w:smallCaps/>
      <w:spacing w:val="7"/>
      <w:sz w:val="21"/>
      <w:szCs w:val="21"/>
    </w:rPr>
  </w:style>
  <w:style w:type="character" w:customStyle="1" w:styleId="cf01">
    <w:name w:val="cf01"/>
    <w:basedOn w:val="DefaultParagraphFont"/>
    <w:qFormat/>
    <w:rsid w:val="00EC4BFF"/>
    <w:rPr>
      <w:rFonts w:ascii="Segoe UI" w:hAnsi="Segoe UI" w:cs="Segoe UI"/>
      <w:sz w:val="18"/>
      <w:szCs w:val="18"/>
    </w:rPr>
  </w:style>
  <w:style w:type="character" w:customStyle="1" w:styleId="cf11">
    <w:name w:val="cf11"/>
    <w:basedOn w:val="DefaultParagraphFont"/>
    <w:qFormat/>
    <w:rsid w:val="00EC4BFF"/>
    <w:rPr>
      <w:rFonts w:ascii="Segoe UI" w:hAnsi="Segoe UI" w:cs="Segoe UI"/>
      <w:sz w:val="18"/>
      <w:szCs w:val="18"/>
      <w:u w:val="single"/>
    </w:rPr>
  </w:style>
  <w:style w:type="character" w:customStyle="1" w:styleId="cf21">
    <w:name w:val="cf21"/>
    <w:basedOn w:val="DefaultParagraphFont"/>
    <w:qFormat/>
    <w:rsid w:val="00EC4BFF"/>
    <w:rPr>
      <w:rFonts w:ascii="Segoe UI" w:hAnsi="Segoe UI" w:cs="Segoe UI"/>
      <w:b/>
      <w:bCs/>
      <w:sz w:val="18"/>
      <w:szCs w:val="18"/>
    </w:rPr>
  </w:style>
  <w:style w:type="character" w:customStyle="1" w:styleId="cf31">
    <w:name w:val="cf31"/>
    <w:basedOn w:val="DefaultParagraphFont"/>
    <w:qFormat/>
    <w:rsid w:val="00EC4BFF"/>
    <w:rPr>
      <w:rFonts w:ascii="Segoe UI" w:hAnsi="Segoe UI" w:cs="Segoe UI"/>
      <w:b/>
      <w:bCs/>
      <w:sz w:val="18"/>
      <w:szCs w:val="18"/>
      <w:u w:val="single"/>
    </w:rPr>
  </w:style>
  <w:style w:type="character" w:customStyle="1" w:styleId="fm-vol-iss-date">
    <w:name w:val="fm-vol-iss-date"/>
    <w:basedOn w:val="DefaultParagraphFont"/>
    <w:qFormat/>
    <w:rsid w:val="00EC4BFF"/>
  </w:style>
  <w:style w:type="character" w:customStyle="1" w:styleId="fm-citation-ids-label">
    <w:name w:val="fm-citation-ids-label"/>
    <w:basedOn w:val="DefaultParagraphFont"/>
    <w:qFormat/>
    <w:rsid w:val="00EC4BFF"/>
  </w:style>
  <w:style w:type="character" w:customStyle="1" w:styleId="UnresolvedMention4">
    <w:name w:val="Unresolved Mention4"/>
    <w:basedOn w:val="DefaultParagraphFont"/>
    <w:uiPriority w:val="99"/>
    <w:semiHidden/>
    <w:unhideWhenUsed/>
    <w:qFormat/>
    <w:rsid w:val="00EC4BFF"/>
    <w:rPr>
      <w:color w:val="605E5C"/>
      <w:shd w:val="clear" w:color="auto" w:fill="E1DFDD"/>
    </w:rPr>
  </w:style>
  <w:style w:type="character" w:customStyle="1" w:styleId="UnresolvedMention5">
    <w:name w:val="Unresolved Mention5"/>
    <w:basedOn w:val="DefaultParagraphFont"/>
    <w:uiPriority w:val="99"/>
    <w:semiHidden/>
    <w:unhideWhenUsed/>
    <w:qFormat/>
    <w:rsid w:val="00EC4BFF"/>
    <w:rPr>
      <w:color w:val="605E5C"/>
      <w:shd w:val="clear" w:color="auto" w:fill="E1DFDD"/>
    </w:rPr>
  </w:style>
  <w:style w:type="character" w:customStyle="1" w:styleId="A15">
    <w:name w:val="A15"/>
    <w:uiPriority w:val="99"/>
    <w:qFormat/>
    <w:rsid w:val="00EC4BFF"/>
    <w:rPr>
      <w:rFonts w:ascii="Minion Pro" w:hAnsi="Minion Pro" w:cs="Minion Pro"/>
      <w:color w:val="000000"/>
      <w:sz w:val="13"/>
      <w:szCs w:val="13"/>
    </w:rPr>
  </w:style>
  <w:style w:type="character" w:customStyle="1" w:styleId="UnresolvedMention6">
    <w:name w:val="Unresolved Mention6"/>
    <w:basedOn w:val="DefaultParagraphFont"/>
    <w:uiPriority w:val="99"/>
    <w:semiHidden/>
    <w:unhideWhenUsed/>
    <w:qFormat/>
    <w:rsid w:val="00EC4BFF"/>
    <w:rPr>
      <w:color w:val="605E5C"/>
      <w:shd w:val="clear" w:color="auto" w:fill="E1DFDD"/>
    </w:rPr>
  </w:style>
  <w:style w:type="character" w:customStyle="1" w:styleId="UnresolvedMention7">
    <w:name w:val="Unresolved Mention7"/>
    <w:basedOn w:val="DefaultParagraphFont"/>
    <w:uiPriority w:val="99"/>
    <w:semiHidden/>
    <w:unhideWhenUsed/>
    <w:qFormat/>
    <w:rsid w:val="00EC4BFF"/>
    <w:rPr>
      <w:color w:val="605E5C"/>
      <w:shd w:val="clear" w:color="auto" w:fill="E1DFDD"/>
    </w:rPr>
  </w:style>
  <w:style w:type="character" w:customStyle="1" w:styleId="UnresolvedMention8">
    <w:name w:val="Unresolved Mention8"/>
    <w:basedOn w:val="DefaultParagraphFont"/>
    <w:uiPriority w:val="99"/>
    <w:semiHidden/>
    <w:unhideWhenUsed/>
    <w:qFormat/>
    <w:rsid w:val="00EC4BFF"/>
    <w:rPr>
      <w:color w:val="605E5C"/>
      <w:shd w:val="clear" w:color="auto" w:fill="E1DFDD"/>
    </w:rPr>
  </w:style>
  <w:style w:type="character" w:customStyle="1" w:styleId="UnresolvedMention9">
    <w:name w:val="Unresolved Mention9"/>
    <w:basedOn w:val="DefaultParagraphFont"/>
    <w:uiPriority w:val="99"/>
    <w:semiHidden/>
    <w:unhideWhenUsed/>
    <w:qFormat/>
    <w:rsid w:val="00EC4BFF"/>
    <w:rPr>
      <w:color w:val="605E5C"/>
      <w:shd w:val="clear" w:color="auto" w:fill="E1DFDD"/>
    </w:rPr>
  </w:style>
  <w:style w:type="character" w:customStyle="1" w:styleId="UnresolvedMention">
    <w:name w:val="Unresolved Mention"/>
    <w:basedOn w:val="DefaultParagraphFont"/>
    <w:uiPriority w:val="99"/>
    <w:semiHidden/>
    <w:unhideWhenUsed/>
    <w:qFormat/>
    <w:rsid w:val="00EC4BFF"/>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next w:val="Normal"/>
    <w:uiPriority w:val="35"/>
    <w:unhideWhenUsed/>
    <w:qFormat/>
    <w:rsid w:val="00EC4BFF"/>
    <w:pPr>
      <w:spacing w:after="200" w:line="240" w:lineRule="auto"/>
      <w:ind w:firstLine="0"/>
    </w:pPr>
    <w:rPr>
      <w:rFonts w:eastAsia="Times New Roman" w:cs="Times New Roman"/>
      <w:b/>
      <w:bCs/>
      <w:sz w:val="20"/>
      <w:szCs w:val="20"/>
      <w:lang w:val="en-US"/>
    </w:rPr>
  </w:style>
  <w:style w:type="paragraph" w:customStyle="1" w:styleId="Index">
    <w:name w:val="Index"/>
    <w:basedOn w:val="Normal"/>
    <w:qFormat/>
    <w:pPr>
      <w:suppressLineNumbers/>
    </w:pPr>
    <w:rPr>
      <w:rFonts w:cs="Lohit Devanagari"/>
    </w:rPr>
  </w:style>
  <w:style w:type="paragraph" w:styleId="Title">
    <w:name w:val="Title"/>
    <w:basedOn w:val="Normal"/>
    <w:next w:val="Normal"/>
    <w:link w:val="TitleChar"/>
    <w:uiPriority w:val="10"/>
    <w:qFormat/>
    <w:rsid w:val="004C1AE4"/>
    <w:pPr>
      <w:spacing w:after="80" w:line="240" w:lineRule="auto"/>
      <w:contextualSpacing/>
    </w:pPr>
    <w:rPr>
      <w:rFonts w:asciiTheme="majorHAnsi" w:eastAsiaTheme="majorEastAsia" w:hAnsiTheme="majorHAnsi" w:cstheme="majorBidi"/>
      <w:spacing w:val="-10"/>
      <w:kern w:val="2"/>
      <w:sz w:val="56"/>
      <w:szCs w:val="56"/>
    </w:rPr>
  </w:style>
  <w:style w:type="paragraph" w:styleId="Subtitle">
    <w:name w:val="Subtitle"/>
    <w:basedOn w:val="Normal"/>
    <w:next w:val="Normal"/>
    <w:link w:val="SubtitleChar"/>
    <w:uiPriority w:val="11"/>
    <w:qFormat/>
    <w:rsid w:val="004C1A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1AE4"/>
    <w:pPr>
      <w:spacing w:before="160"/>
      <w:jc w:val="center"/>
    </w:pPr>
    <w:rPr>
      <w:i/>
      <w:iCs/>
      <w:color w:val="404040" w:themeColor="text1" w:themeTint="BF"/>
    </w:rPr>
  </w:style>
  <w:style w:type="paragraph" w:styleId="ListParagraph">
    <w:name w:val="List Paragraph"/>
    <w:basedOn w:val="Normal"/>
    <w:uiPriority w:val="34"/>
    <w:qFormat/>
    <w:rsid w:val="004C1AE4"/>
    <w:pPr>
      <w:ind w:left="720"/>
      <w:contextualSpacing/>
    </w:pPr>
  </w:style>
  <w:style w:type="paragraph" w:styleId="IntenseQuote">
    <w:name w:val="Intense Quote"/>
    <w:basedOn w:val="Normal"/>
    <w:next w:val="Normal"/>
    <w:link w:val="IntenseQuoteChar"/>
    <w:uiPriority w:val="30"/>
    <w:qFormat/>
    <w:rsid w:val="004C1A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Default">
    <w:name w:val="Default"/>
    <w:qFormat/>
    <w:rsid w:val="00EC4BFF"/>
    <w:rPr>
      <w:rFonts w:ascii="NewsGotT" w:eastAsia="Aptos" w:hAnsi="NewsGotT" w:cs="NewsGotT"/>
      <w:color w:val="000000"/>
      <w:kern w:val="0"/>
      <w:sz w:val="24"/>
      <w:szCs w:val="24"/>
      <w:lang w:val="pt-PT"/>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C4BFF"/>
    <w:pPr>
      <w:suppressLineNumbers/>
      <w:tabs>
        <w:tab w:val="center" w:pos="4513"/>
        <w:tab w:val="right" w:pos="9026"/>
      </w:tabs>
      <w:spacing w:line="240" w:lineRule="auto"/>
    </w:pPr>
  </w:style>
  <w:style w:type="paragraph" w:styleId="Footer">
    <w:name w:val="footer"/>
    <w:basedOn w:val="Normal"/>
    <w:link w:val="FooterChar"/>
    <w:uiPriority w:val="99"/>
    <w:unhideWhenUsed/>
    <w:rsid w:val="00EC4BFF"/>
    <w:pPr>
      <w:suppressLineNumbers/>
      <w:tabs>
        <w:tab w:val="center" w:pos="4513"/>
        <w:tab w:val="right" w:pos="9026"/>
      </w:tabs>
      <w:spacing w:line="240" w:lineRule="auto"/>
    </w:pPr>
  </w:style>
  <w:style w:type="paragraph" w:styleId="BalloonText">
    <w:name w:val="Balloon Text"/>
    <w:basedOn w:val="Normal"/>
    <w:link w:val="BalloonTextChar"/>
    <w:uiPriority w:val="99"/>
    <w:semiHidden/>
    <w:unhideWhenUsed/>
    <w:qFormat/>
    <w:rsid w:val="00EC4BFF"/>
    <w:pPr>
      <w:spacing w:line="240" w:lineRule="auto"/>
    </w:pPr>
    <w:rPr>
      <w:rFonts w:ascii="Segoe UI" w:eastAsiaTheme="minorEastAsia" w:hAnsi="Segoe UI" w:cs="Segoe UI"/>
      <w:sz w:val="18"/>
      <w:szCs w:val="18"/>
      <w:lang w:val="en-US"/>
    </w:rPr>
  </w:style>
  <w:style w:type="paragraph" w:styleId="CommentText">
    <w:name w:val="annotation text"/>
    <w:basedOn w:val="Normal"/>
    <w:link w:val="CommentTextChar"/>
    <w:uiPriority w:val="99"/>
    <w:unhideWhenUsed/>
    <w:rsid w:val="00EC4BFF"/>
    <w:pPr>
      <w:spacing w:line="240" w:lineRule="auto"/>
    </w:pPr>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qFormat/>
    <w:rsid w:val="00EC4BFF"/>
    <w:rPr>
      <w:b/>
      <w:bCs/>
    </w:rPr>
  </w:style>
  <w:style w:type="paragraph" w:styleId="NormalWeb">
    <w:name w:val="Normal (Web)"/>
    <w:basedOn w:val="Normal"/>
    <w:uiPriority w:val="99"/>
    <w:unhideWhenUsed/>
    <w:qFormat/>
    <w:rsid w:val="00EC4BFF"/>
    <w:pPr>
      <w:spacing w:beforeAutospacing="1" w:afterAutospacing="1" w:line="240" w:lineRule="auto"/>
    </w:pPr>
    <w:rPr>
      <w:rFonts w:ascii="Times New Roman" w:eastAsia="Times New Roman" w:hAnsi="Times New Roman" w:cs="Times New Roman"/>
      <w:szCs w:val="24"/>
      <w:lang w:eastAsia="en-GB"/>
    </w:rPr>
  </w:style>
  <w:style w:type="paragraph" w:styleId="Revision">
    <w:name w:val="Revision"/>
    <w:uiPriority w:val="99"/>
    <w:semiHidden/>
    <w:qFormat/>
    <w:rsid w:val="00EC4BFF"/>
    <w:rPr>
      <w:rFonts w:ascii="Times New Roman" w:eastAsia="Times New Roman" w:hAnsi="Times New Roman" w:cs="Times New Roman"/>
      <w:kern w:val="0"/>
      <w:sz w:val="24"/>
      <w:szCs w:val="24"/>
      <w:lang w:val="en-US"/>
    </w:rPr>
  </w:style>
  <w:style w:type="paragraph" w:styleId="FootnoteText">
    <w:name w:val="footnote text"/>
    <w:basedOn w:val="Normal"/>
    <w:link w:val="FootnoteTextChar"/>
    <w:uiPriority w:val="99"/>
    <w:semiHidden/>
    <w:unhideWhenUsed/>
    <w:rsid w:val="00EC4BFF"/>
    <w:pPr>
      <w:spacing w:line="240" w:lineRule="auto"/>
    </w:pPr>
    <w:rPr>
      <w:rFonts w:ascii="Times New Roman" w:eastAsia="Times New Roman" w:hAnsi="Times New Roman" w:cs="Times New Roman"/>
      <w:sz w:val="20"/>
      <w:szCs w:val="20"/>
      <w:lang w:val="en-US"/>
    </w:rPr>
  </w:style>
  <w:style w:type="paragraph" w:customStyle="1" w:styleId="paragraph">
    <w:name w:val="paragraph"/>
    <w:basedOn w:val="Normal"/>
    <w:qFormat/>
    <w:rsid w:val="00EC4BFF"/>
    <w:pPr>
      <w:spacing w:beforeAutospacing="1" w:afterAutospacing="1" w:line="240" w:lineRule="auto"/>
    </w:pPr>
    <w:rPr>
      <w:rFonts w:ascii="Times New Roman" w:eastAsia="Times New Roman" w:hAnsi="Times New Roman" w:cs="Times New Roman"/>
      <w:szCs w:val="24"/>
      <w:lang w:eastAsia="en-GB"/>
    </w:rPr>
  </w:style>
  <w:style w:type="paragraph" w:styleId="HTMLPreformatted">
    <w:name w:val="HTML Preformatted"/>
    <w:basedOn w:val="Normal"/>
    <w:link w:val="HTMLPreformattedChar"/>
    <w:uiPriority w:val="99"/>
    <w:semiHidden/>
    <w:unhideWhenUsed/>
    <w:qFormat/>
    <w:rsid w:val="00EC4B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pt-PT" w:eastAsia="en-GB"/>
    </w:rPr>
  </w:style>
  <w:style w:type="paragraph" w:customStyle="1" w:styleId="p">
    <w:name w:val="p"/>
    <w:basedOn w:val="Normal"/>
    <w:qFormat/>
    <w:rsid w:val="00EC4BFF"/>
    <w:pPr>
      <w:spacing w:beforeAutospacing="1" w:afterAutospacing="1" w:line="240" w:lineRule="auto"/>
    </w:pPr>
    <w:rPr>
      <w:rFonts w:ascii="Times New Roman" w:eastAsia="Times New Roman" w:hAnsi="Times New Roman" w:cs="Times New Roman"/>
      <w:szCs w:val="24"/>
      <w:lang w:eastAsia="en-GB"/>
    </w:rPr>
  </w:style>
  <w:style w:type="paragraph" w:customStyle="1" w:styleId="pf0">
    <w:name w:val="pf0"/>
    <w:basedOn w:val="Normal"/>
    <w:qFormat/>
    <w:rsid w:val="00EC4BFF"/>
    <w:pPr>
      <w:spacing w:beforeAutospacing="1" w:afterAutospacing="1" w:line="240" w:lineRule="auto"/>
    </w:pPr>
    <w:rPr>
      <w:rFonts w:ascii="Times New Roman" w:eastAsia="Times New Roman" w:hAnsi="Times New Roman" w:cs="Times New Roman"/>
      <w:szCs w:val="24"/>
      <w:lang w:eastAsia="en-GB"/>
    </w:rPr>
  </w:style>
  <w:style w:type="paragraph" w:styleId="NoSpacing">
    <w:name w:val="No Spacing"/>
    <w:uiPriority w:val="1"/>
    <w:qFormat/>
    <w:rsid w:val="00EC4BFF"/>
    <w:rPr>
      <w:rFonts w:ascii="Aptos" w:eastAsiaTheme="minorEastAsia" w:hAnsi="Aptos"/>
      <w:kern w:val="0"/>
      <w:sz w:val="21"/>
      <w:szCs w:val="21"/>
    </w:rPr>
  </w:style>
  <w:style w:type="paragraph" w:styleId="IndexHeading">
    <w:name w:val="index heading"/>
    <w:basedOn w:val="Heading"/>
  </w:style>
  <w:style w:type="paragraph" w:styleId="TOCHeading">
    <w:name w:val="TOC Heading"/>
    <w:basedOn w:val="Heading1"/>
    <w:next w:val="Normal"/>
    <w:uiPriority w:val="39"/>
    <w:unhideWhenUsed/>
    <w:qFormat/>
    <w:rsid w:val="00EC4BFF"/>
    <w:pPr>
      <w:pBdr>
        <w:top w:val="single" w:sz="18" w:space="1" w:color="4EA72E" w:themeColor="accent6"/>
        <w:bottom w:val="single" w:sz="18" w:space="1" w:color="4EA72E" w:themeColor="accent6"/>
      </w:pBdr>
      <w:spacing w:after="40" w:line="240" w:lineRule="auto"/>
      <w:outlineLvl w:val="9"/>
    </w:pPr>
    <w:rPr>
      <w:rFonts w:ascii="NewsGotT" w:hAnsi="NewsGotT"/>
      <w:b/>
      <w:color w:val="3A7C22" w:themeColor="accent6" w:themeShade="BF"/>
    </w:rPr>
  </w:style>
  <w:style w:type="paragraph" w:customStyle="1" w:styleId="xmsolistparagraph">
    <w:name w:val="x_msolistparagraph"/>
    <w:basedOn w:val="Normal"/>
    <w:qFormat/>
    <w:rsid w:val="00EC4BFF"/>
    <w:pPr>
      <w:spacing w:beforeAutospacing="1" w:afterAutospacing="1" w:line="240" w:lineRule="auto"/>
    </w:pPr>
    <w:rPr>
      <w:rFonts w:ascii="Times New Roman" w:eastAsia="Times New Roman" w:hAnsi="Times New Roman" w:cs="Times New Roman"/>
      <w:szCs w:val="24"/>
      <w:lang w:eastAsia="en-GB"/>
    </w:rPr>
  </w:style>
  <w:style w:type="paragraph" w:styleId="TOC1">
    <w:name w:val="toc 1"/>
    <w:basedOn w:val="Normal"/>
    <w:next w:val="Normal"/>
    <w:autoRedefine/>
    <w:uiPriority w:val="39"/>
    <w:unhideWhenUsed/>
    <w:rsid w:val="00EC4BFF"/>
    <w:pPr>
      <w:tabs>
        <w:tab w:val="right" w:leader="dot" w:pos="8494"/>
      </w:tabs>
      <w:ind w:firstLine="0"/>
    </w:pPr>
  </w:style>
  <w:style w:type="paragraph" w:styleId="TOC2">
    <w:name w:val="toc 2"/>
    <w:basedOn w:val="Normal"/>
    <w:next w:val="Normal"/>
    <w:autoRedefine/>
    <w:uiPriority w:val="39"/>
    <w:unhideWhenUsed/>
    <w:rsid w:val="00EC4BFF"/>
    <w:pPr>
      <w:spacing w:after="100"/>
      <w:ind w:left="240"/>
    </w:pPr>
  </w:style>
  <w:style w:type="paragraph" w:styleId="TOC3">
    <w:name w:val="toc 3"/>
    <w:basedOn w:val="Normal"/>
    <w:next w:val="Normal"/>
    <w:autoRedefine/>
    <w:uiPriority w:val="39"/>
    <w:unhideWhenUsed/>
    <w:rsid w:val="00EC4BFF"/>
    <w:pPr>
      <w:spacing w:after="100"/>
      <w:ind w:left="480"/>
    </w:pPr>
  </w:style>
  <w:style w:type="paragraph" w:styleId="TOC4">
    <w:name w:val="toc 4"/>
    <w:basedOn w:val="Normal"/>
    <w:next w:val="Normal"/>
    <w:autoRedefine/>
    <w:uiPriority w:val="39"/>
    <w:unhideWhenUsed/>
    <w:rsid w:val="00EC4BFF"/>
    <w:pPr>
      <w:spacing w:after="100" w:line="259" w:lineRule="auto"/>
      <w:ind w:left="660" w:firstLine="0"/>
      <w:jc w:val="left"/>
    </w:pPr>
    <w:rPr>
      <w:rFonts w:asciiTheme="minorHAnsi" w:eastAsiaTheme="minorEastAsia" w:hAnsiTheme="minorHAnsi"/>
      <w:sz w:val="22"/>
      <w:lang w:eastAsia="en-GB"/>
    </w:rPr>
  </w:style>
  <w:style w:type="paragraph" w:styleId="TOC5">
    <w:name w:val="toc 5"/>
    <w:basedOn w:val="Normal"/>
    <w:next w:val="Normal"/>
    <w:autoRedefine/>
    <w:uiPriority w:val="39"/>
    <w:unhideWhenUsed/>
    <w:rsid w:val="00EC4BFF"/>
    <w:pPr>
      <w:spacing w:after="100" w:line="259" w:lineRule="auto"/>
      <w:ind w:left="880" w:firstLine="0"/>
      <w:jc w:val="left"/>
    </w:pPr>
    <w:rPr>
      <w:rFonts w:asciiTheme="minorHAnsi" w:eastAsiaTheme="minorEastAsia" w:hAnsiTheme="minorHAnsi"/>
      <w:sz w:val="22"/>
      <w:lang w:eastAsia="en-GB"/>
    </w:rPr>
  </w:style>
  <w:style w:type="paragraph" w:styleId="TOC6">
    <w:name w:val="toc 6"/>
    <w:basedOn w:val="Normal"/>
    <w:next w:val="Normal"/>
    <w:autoRedefine/>
    <w:uiPriority w:val="39"/>
    <w:unhideWhenUsed/>
    <w:rsid w:val="00EC4BFF"/>
    <w:pPr>
      <w:spacing w:after="100" w:line="259" w:lineRule="auto"/>
      <w:ind w:left="1100" w:firstLine="0"/>
      <w:jc w:val="left"/>
    </w:pPr>
    <w:rPr>
      <w:rFonts w:asciiTheme="minorHAnsi" w:eastAsiaTheme="minorEastAsia" w:hAnsiTheme="minorHAnsi"/>
      <w:sz w:val="22"/>
      <w:lang w:eastAsia="en-GB"/>
    </w:rPr>
  </w:style>
  <w:style w:type="paragraph" w:styleId="TOC7">
    <w:name w:val="toc 7"/>
    <w:basedOn w:val="Normal"/>
    <w:next w:val="Normal"/>
    <w:autoRedefine/>
    <w:uiPriority w:val="39"/>
    <w:unhideWhenUsed/>
    <w:rsid w:val="00EC4BFF"/>
    <w:pPr>
      <w:spacing w:after="100" w:line="259" w:lineRule="auto"/>
      <w:ind w:left="1320" w:firstLine="0"/>
      <w:jc w:val="left"/>
    </w:pPr>
    <w:rPr>
      <w:rFonts w:asciiTheme="minorHAnsi" w:eastAsiaTheme="minorEastAsia" w:hAnsiTheme="minorHAnsi"/>
      <w:sz w:val="22"/>
      <w:lang w:eastAsia="en-GB"/>
    </w:rPr>
  </w:style>
  <w:style w:type="paragraph" w:styleId="TOC8">
    <w:name w:val="toc 8"/>
    <w:basedOn w:val="Normal"/>
    <w:next w:val="Normal"/>
    <w:autoRedefine/>
    <w:uiPriority w:val="39"/>
    <w:unhideWhenUsed/>
    <w:rsid w:val="00EC4BFF"/>
    <w:pPr>
      <w:spacing w:after="100" w:line="259" w:lineRule="auto"/>
      <w:ind w:left="1540" w:firstLine="0"/>
      <w:jc w:val="left"/>
    </w:pPr>
    <w:rPr>
      <w:rFonts w:asciiTheme="minorHAnsi" w:eastAsiaTheme="minorEastAsia" w:hAnsiTheme="minorHAnsi"/>
      <w:sz w:val="22"/>
      <w:lang w:eastAsia="en-GB"/>
    </w:rPr>
  </w:style>
  <w:style w:type="paragraph" w:styleId="TOC9">
    <w:name w:val="toc 9"/>
    <w:basedOn w:val="Normal"/>
    <w:next w:val="Normal"/>
    <w:autoRedefine/>
    <w:uiPriority w:val="39"/>
    <w:unhideWhenUsed/>
    <w:rsid w:val="00EC4BFF"/>
    <w:pPr>
      <w:spacing w:after="100" w:line="259" w:lineRule="auto"/>
      <w:ind w:left="1760" w:firstLine="0"/>
      <w:jc w:val="left"/>
    </w:pPr>
    <w:rPr>
      <w:rFonts w:asciiTheme="minorHAnsi" w:eastAsiaTheme="minorEastAsia" w:hAnsiTheme="minorHAnsi"/>
      <w:sz w:val="22"/>
      <w:lang w:eastAsia="en-GB"/>
    </w:rPr>
  </w:style>
  <w:style w:type="paragraph" w:styleId="TableofFigures">
    <w:name w:val="table of figures"/>
    <w:basedOn w:val="Normal"/>
    <w:next w:val="Normal"/>
    <w:uiPriority w:val="99"/>
    <w:unhideWhenUsed/>
    <w:rsid w:val="00EC4BFF"/>
  </w:style>
  <w:style w:type="paragraph" w:customStyle="1" w:styleId="normal-legend">
    <w:name w:val="normal - legend"/>
    <w:basedOn w:val="Normal"/>
    <w:qFormat/>
    <w:rsid w:val="00EC4BFF"/>
    <w:pPr>
      <w:spacing w:after="240" w:line="276" w:lineRule="auto"/>
      <w:ind w:firstLine="0"/>
    </w:pPr>
    <w:rPr>
      <w:sz w:val="20"/>
    </w:rPr>
  </w:style>
  <w:style w:type="paragraph" w:customStyle="1" w:styleId="Pa12">
    <w:name w:val="Pa12"/>
    <w:basedOn w:val="Default"/>
    <w:next w:val="Default"/>
    <w:uiPriority w:val="99"/>
    <w:qFormat/>
    <w:rsid w:val="00EC4BFF"/>
    <w:pPr>
      <w:spacing w:line="197" w:lineRule="atLeast"/>
    </w:pPr>
    <w:rPr>
      <w:rFonts w:ascii="Warnock Pro" w:hAnsi="Warnock Pro" w:cstheme="minorBidi"/>
      <w:color w:val="auto"/>
      <w:lang w:val="es-ES"/>
    </w:rPr>
  </w:style>
  <w:style w:type="paragraph" w:customStyle="1" w:styleId="Pa16">
    <w:name w:val="Pa16"/>
    <w:basedOn w:val="Default"/>
    <w:next w:val="Default"/>
    <w:uiPriority w:val="99"/>
    <w:qFormat/>
    <w:rsid w:val="00EC4BFF"/>
    <w:pPr>
      <w:spacing w:line="185" w:lineRule="atLeast"/>
    </w:pPr>
    <w:rPr>
      <w:rFonts w:ascii="Warnock Pro" w:hAnsi="Warnock Pro" w:cstheme="minorBidi"/>
      <w:color w:val="auto"/>
      <w:lang w:val="es-ES"/>
    </w:rPr>
  </w:style>
  <w:style w:type="paragraph" w:customStyle="1" w:styleId="msonormal0">
    <w:name w:val="msonormal"/>
    <w:basedOn w:val="Normal"/>
    <w:qFormat/>
    <w:rsid w:val="00EC4BFF"/>
    <w:pPr>
      <w:spacing w:beforeAutospacing="1" w:afterAutospacing="1" w:line="240" w:lineRule="auto"/>
      <w:ind w:firstLine="0"/>
      <w:jc w:val="left"/>
    </w:pPr>
    <w:rPr>
      <w:rFonts w:ascii="Times New Roman" w:eastAsia="Times New Roman" w:hAnsi="Times New Roman" w:cs="Times New Roman"/>
      <w:szCs w:val="24"/>
      <w:lang w:eastAsia="en-GB"/>
    </w:rPr>
  </w:style>
  <w:style w:type="paragraph" w:customStyle="1" w:styleId="xl65">
    <w:name w:val="xl65"/>
    <w:basedOn w:val="Normal"/>
    <w:qFormat/>
    <w:rsid w:val="00EC4BFF"/>
    <w:pPr>
      <w:pBdr>
        <w:bottom w:val="single" w:sz="4" w:space="0" w:color="000000"/>
      </w:pBdr>
      <w:spacing w:beforeAutospacing="1" w:afterAutospacing="1" w:line="240" w:lineRule="auto"/>
      <w:ind w:firstLine="0"/>
      <w:jc w:val="left"/>
    </w:pPr>
    <w:rPr>
      <w:rFonts w:ascii="Times New Roman" w:eastAsia="Times New Roman" w:hAnsi="Times New Roman" w:cs="Times New Roman"/>
      <w:b/>
      <w:bCs/>
      <w:szCs w:val="24"/>
      <w:lang w:eastAsia="en-GB"/>
    </w:rPr>
  </w:style>
  <w:style w:type="paragraph" w:customStyle="1" w:styleId="xl66">
    <w:name w:val="xl66"/>
    <w:basedOn w:val="Normal"/>
    <w:qFormat/>
    <w:rsid w:val="00EC4BFF"/>
    <w:pPr>
      <w:spacing w:beforeAutospacing="1" w:afterAutospacing="1" w:line="240" w:lineRule="auto"/>
      <w:ind w:firstLine="0"/>
      <w:jc w:val="center"/>
    </w:pPr>
    <w:rPr>
      <w:rFonts w:ascii="Times New Roman" w:eastAsia="Times New Roman" w:hAnsi="Times New Roman" w:cs="Times New Roman"/>
      <w:szCs w:val="24"/>
      <w:lang w:eastAsia="en-GB"/>
    </w:rPr>
  </w:style>
  <w:style w:type="paragraph" w:customStyle="1" w:styleId="xl68">
    <w:name w:val="xl68"/>
    <w:basedOn w:val="Normal"/>
    <w:qFormat/>
    <w:rsid w:val="00EC4BFF"/>
    <w:pPr>
      <w:spacing w:beforeAutospacing="1" w:afterAutospacing="1" w:line="240" w:lineRule="auto"/>
      <w:ind w:firstLine="0"/>
      <w:jc w:val="left"/>
    </w:pPr>
    <w:rPr>
      <w:rFonts w:ascii="Times New Roman" w:eastAsia="Times New Roman" w:hAnsi="Times New Roman" w:cs="Times New Roman"/>
      <w:color w:val="4D93D9"/>
      <w:szCs w:val="24"/>
      <w:lang w:eastAsia="en-GB"/>
    </w:rPr>
  </w:style>
  <w:style w:type="paragraph" w:customStyle="1" w:styleId="xl69">
    <w:name w:val="xl69"/>
    <w:basedOn w:val="Normal"/>
    <w:qFormat/>
    <w:rsid w:val="00EC4BFF"/>
    <w:pPr>
      <w:spacing w:beforeAutospacing="1" w:afterAutospacing="1" w:line="240" w:lineRule="auto"/>
      <w:ind w:firstLine="0"/>
      <w:jc w:val="left"/>
    </w:pPr>
    <w:rPr>
      <w:rFonts w:ascii="Times New Roman" w:eastAsia="Times New Roman" w:hAnsi="Times New Roman" w:cs="Times New Roman"/>
      <w:color w:val="FF0000"/>
      <w:szCs w:val="24"/>
      <w:lang w:eastAsia="en-GB"/>
    </w:rPr>
  </w:style>
  <w:style w:type="paragraph" w:customStyle="1" w:styleId="xl70">
    <w:name w:val="xl70"/>
    <w:basedOn w:val="Normal"/>
    <w:qFormat/>
    <w:rsid w:val="00EC4BFF"/>
    <w:pPr>
      <w:spacing w:beforeAutospacing="1" w:afterAutospacing="1" w:line="240" w:lineRule="auto"/>
      <w:ind w:firstLine="0"/>
      <w:jc w:val="left"/>
    </w:pPr>
    <w:rPr>
      <w:rFonts w:ascii="Times New Roman" w:eastAsia="Times New Roman" w:hAnsi="Times New Roman" w:cs="Times New Roman"/>
      <w:color w:val="44B3E1"/>
      <w:szCs w:val="24"/>
      <w:lang w:eastAsia="en-GB"/>
    </w:rPr>
  </w:style>
  <w:style w:type="paragraph" w:customStyle="1" w:styleId="xl71">
    <w:name w:val="xl71"/>
    <w:basedOn w:val="Normal"/>
    <w:qFormat/>
    <w:rsid w:val="00EC4BFF"/>
    <w:pPr>
      <w:spacing w:beforeAutospacing="1" w:afterAutospacing="1" w:line="240" w:lineRule="auto"/>
      <w:ind w:firstLine="0"/>
      <w:jc w:val="left"/>
    </w:pPr>
    <w:rPr>
      <w:rFonts w:ascii="Times New Roman" w:eastAsia="Times New Roman" w:hAnsi="Times New Roman" w:cs="Times New Roman"/>
      <w:szCs w:val="24"/>
      <w:lang w:eastAsia="en-GB"/>
    </w:rPr>
  </w:style>
  <w:style w:type="table" w:styleId="TableGrid">
    <w:name w:val="Table Grid"/>
    <w:basedOn w:val="TableNormal"/>
    <w:uiPriority w:val="39"/>
    <w:rsid w:val="00EC4B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mples21">
    <w:name w:val="Tabela Simples 21"/>
    <w:basedOn w:val="TableNormal"/>
    <w:uiPriority w:val="99"/>
    <w:rsid w:val="00EC4BF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21">
    <w:name w:val="Plain Table 21"/>
    <w:basedOn w:val="TableNormal"/>
    <w:uiPriority w:val="42"/>
    <w:rsid w:val="00EC4BF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GridTable1Light-Accent61">
    <w:name w:val="Grid Table 1 Light - Accent 61"/>
    <w:basedOn w:val="TableNormal"/>
    <w:uiPriority w:val="46"/>
    <w:rsid w:val="00EC4BFF"/>
    <w:rPr>
      <w:rFonts w:eastAsiaTheme="minorEastAsia"/>
      <w:sz w:val="21"/>
      <w:szCs w:val="21"/>
    </w:rPr>
    <w:tblPr>
      <w:tblStyleRowBandSize w:val="1"/>
      <w:tblStyleColBandSize w:val="1"/>
      <w:tblInd w:w="0" w:type="dxa"/>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CellMar>
        <w:top w:w="0" w:type="dxa"/>
        <w:left w:w="108" w:type="dxa"/>
        <w:bottom w:w="0" w:type="dxa"/>
        <w:right w:w="108" w:type="dxa"/>
      </w:tblCellMar>
    </w:tblPr>
    <w:tblStylePr w:type="firstRow">
      <w:rPr>
        <w:b/>
        <w:bCs/>
      </w:rPr>
      <w:tblPr/>
      <w:tcPr>
        <w:tcBorders>
          <w:bottom w:val="single" w:sz="12" w:space="0" w:color="4EA72E" w:themeColor="accent6"/>
        </w:tcBorders>
      </w:tcPr>
    </w:tblStylePr>
    <w:tblStylePr w:type="lastRow">
      <w:rPr>
        <w:b/>
        <w:bCs/>
      </w:rPr>
      <w:tblPr/>
      <w:tcPr>
        <w:tcBorders>
          <w:top w:val="double" w:sz="2" w:space="0" w:color="4EA72E" w:themeColor="accent6"/>
        </w:tcBorders>
      </w:tcPr>
    </w:tblStylePr>
    <w:tblStylePr w:type="firstCol">
      <w:rPr>
        <w:b/>
        <w:bCs/>
      </w:rPr>
    </w:tblStylePr>
    <w:tblStylePr w:type="lastCol">
      <w:rPr>
        <w:b/>
        <w:bCs/>
      </w:rPr>
    </w:tblStylePr>
  </w:style>
  <w:style w:type="table" w:customStyle="1" w:styleId="GridTable3-Accent61">
    <w:name w:val="Grid Table 3 - Accent 61"/>
    <w:basedOn w:val="TableNormal"/>
    <w:uiPriority w:val="48"/>
    <w:rsid w:val="00EC4BFF"/>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4EA72E" w:themeColor="accent6"/>
        </w:tcBorders>
      </w:tcPr>
    </w:tblStylePr>
    <w:tblStylePr w:type="nwCell">
      <w:tblPr/>
      <w:tcPr>
        <w:tcBorders>
          <w:bottom w:val="single" w:sz="4" w:space="0" w:color="4EA72E" w:themeColor="accent6"/>
        </w:tcBorders>
      </w:tcPr>
    </w:tblStylePr>
    <w:tblStylePr w:type="seCell">
      <w:tblPr/>
      <w:tcPr>
        <w:tcBorders>
          <w:top w:val="single" w:sz="4" w:space="0" w:color="4EA72E" w:themeColor="accent6"/>
        </w:tcBorders>
      </w:tcPr>
    </w:tblStylePr>
    <w:tblStylePr w:type="swCell">
      <w:tblPr/>
      <w:tcPr>
        <w:tcBorders>
          <w:top w:val="single" w:sz="4" w:space="0" w:color="4EA72E" w:themeColor="accent6"/>
        </w:tcBorders>
      </w:tcPr>
    </w:tblStylePr>
  </w:style>
  <w:style w:type="table" w:customStyle="1" w:styleId="GridTable4-Accent61">
    <w:name w:val="Grid Table 4 - Accent 61"/>
    <w:basedOn w:val="TableNormal"/>
    <w:uiPriority w:val="49"/>
    <w:rsid w:val="00EC4BFF"/>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1LightAccent6">
    <w:name w:val="Grid Table 1 Light Accent 6"/>
    <w:basedOn w:val="TableNormal"/>
    <w:uiPriority w:val="46"/>
    <w:rsid w:val="00EC4BFF"/>
    <w:rPr>
      <w:rFonts w:eastAsiaTheme="minorEastAsia"/>
      <w:sz w:val="21"/>
      <w:szCs w:val="21"/>
    </w:rPr>
    <w:tblPr>
      <w:tblStyleRowBandSize w:val="1"/>
      <w:tblStyleColBandSize w:val="1"/>
      <w:tblInd w:w="0" w:type="dxa"/>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CellMar>
        <w:top w:w="0" w:type="dxa"/>
        <w:left w:w="108" w:type="dxa"/>
        <w:bottom w:w="0" w:type="dxa"/>
        <w:right w:w="108" w:type="dxa"/>
      </w:tblCellMar>
    </w:tblPr>
    <w:tblStylePr w:type="firstRow">
      <w:rPr>
        <w:b/>
        <w:bCs/>
      </w:rPr>
      <w:tblPr/>
      <w:tcPr>
        <w:tcBorders>
          <w:bottom w:val="single" w:sz="12" w:space="0" w:color="4EA72E" w:themeColor="accent6"/>
        </w:tcBorders>
      </w:tcPr>
    </w:tblStylePr>
    <w:tblStylePr w:type="lastRow">
      <w:rPr>
        <w:b/>
        <w:bCs/>
      </w:rPr>
      <w:tblPr/>
      <w:tcPr>
        <w:tcBorders>
          <w:top w:val="double" w:sz="2" w:space="0" w:color="4EA72E" w:themeColor="accent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i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tif"/><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ti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tif"/><Relationship Id="rId14" Type="http://schemas.openxmlformats.org/officeDocument/2006/relationships/image" Target="media/image6.tif"/></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majorFont>
      <a:minorFont>
        <a:latin typeface="Aptos"/>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4AD2E-3A1C-451F-9166-204ADE3AB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6655</Words>
  <Characters>37936</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Cláudia Barata</dc:creator>
  <cp:lastModifiedBy>Nancy Muruganandam</cp:lastModifiedBy>
  <cp:revision>2</cp:revision>
  <cp:lastPrinted>2025-08-14T20:25:00Z</cp:lastPrinted>
  <dcterms:created xsi:type="dcterms:W3CDTF">2026-03-03T03:57:00Z</dcterms:created>
  <dcterms:modified xsi:type="dcterms:W3CDTF">2026-03-03T03:57:00Z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http://www.zotero.org/styles/springer-basic-brackets</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http://www.zotero.org/styles/ieee</vt:lpwstr>
  </property>
  <property fmtid="{D5CDD505-2E9C-101B-9397-08002B2CF9AE}" pid="8" name="Mendeley Recent Style Id 4_1">
    <vt:lpwstr>http://www.zotero.org/styles/journal-of-cell-science</vt:lpwstr>
  </property>
  <property fmtid="{D5CDD505-2E9C-101B-9397-08002B2CF9AE}" pid="9" name="Mendeley Recent Style Id 5_1">
    <vt:lpwstr>http://www.zotero.org/styles/nature</vt:lpwstr>
  </property>
  <property fmtid="{D5CDD505-2E9C-101B-9397-08002B2CF9AE}" pid="10" name="Mendeley Recent Style Id 6_1">
    <vt:lpwstr>http://www.zotero.org/styles/springer-basic-brackets</vt:lpwstr>
  </property>
  <property fmtid="{D5CDD505-2E9C-101B-9397-08002B2CF9AE}" pid="11" name="Mendeley Recent Style Id 7_1">
    <vt:lpwstr>http://www.zotero.org/styles/journal-of-biological-chemistry</vt:lpwstr>
  </property>
  <property fmtid="{D5CDD505-2E9C-101B-9397-08002B2CF9AE}" pid="12" name="Mendeley Recent Style Id 8_1">
    <vt:lpwstr>http://www.zotero.org/styles/the-journal-of-cell-biology</vt:lpwstr>
  </property>
  <property fmtid="{D5CDD505-2E9C-101B-9397-08002B2CF9AE}" pid="13" name="Mendeley Recent Style Id 9_1">
    <vt:lpwstr>http://www.zotero.org/styles/elife</vt:lpwstr>
  </property>
  <property fmtid="{D5CDD505-2E9C-101B-9397-08002B2CF9AE}" pid="14" name="Mendeley Recent Style Name 0_1">
    <vt:lpwstr>American Medical Association 11th edition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7th edition</vt:lpwstr>
  </property>
  <property fmtid="{D5CDD505-2E9C-101B-9397-08002B2CF9AE}" pid="17" name="Mendeley Recent Style Name 3_1">
    <vt:lpwstr>IEEE</vt:lpwstr>
  </property>
  <property fmtid="{D5CDD505-2E9C-101B-9397-08002B2CF9AE}" pid="18" name="Mendeley Recent Style Name 4_1">
    <vt:lpwstr>Journal of Cell Science</vt:lpwstr>
  </property>
  <property fmtid="{D5CDD505-2E9C-101B-9397-08002B2CF9AE}" pid="19" name="Mendeley Recent Style Name 5_1">
    <vt:lpwstr>Nature</vt:lpwstr>
  </property>
  <property fmtid="{D5CDD505-2E9C-101B-9397-08002B2CF9AE}" pid="20" name="Mendeley Recent Style Name 6_1">
    <vt:lpwstr>Springer - Basic (numeric, brackets)</vt:lpwstr>
  </property>
  <property fmtid="{D5CDD505-2E9C-101B-9397-08002B2CF9AE}" pid="21" name="Mendeley Recent Style Name 7_1">
    <vt:lpwstr>The Journal of Biological Chemistry</vt:lpwstr>
  </property>
  <property fmtid="{D5CDD505-2E9C-101B-9397-08002B2CF9AE}" pid="22" name="Mendeley Recent Style Name 8_1">
    <vt:lpwstr>The Journal of Cell Biology</vt:lpwstr>
  </property>
  <property fmtid="{D5CDD505-2E9C-101B-9397-08002B2CF9AE}" pid="23" name="Mendeley Recent Style Name 9_1">
    <vt:lpwstr>eLife</vt:lpwstr>
  </property>
  <property fmtid="{D5CDD505-2E9C-101B-9397-08002B2CF9AE}" pid="24" name="Mendeley Unique User Id_1">
    <vt:lpwstr>37079b61-8289-36bb-9736-ed4bc5997080</vt:lpwstr>
  </property>
</Properties>
</file>