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0258" w14:textId="47505E6F" w:rsidR="006E096C" w:rsidRPr="00DD0C35" w:rsidRDefault="00EA1619">
      <w:pPr>
        <w:rPr>
          <w:b/>
          <w:bCs/>
          <w:lang w:val="en-GB"/>
        </w:rPr>
      </w:pPr>
      <w:r w:rsidRPr="00DD0C35">
        <w:rPr>
          <w:b/>
          <w:bCs/>
          <w:lang w:val="en-GB"/>
        </w:rPr>
        <w:t>Supplementary Material</w:t>
      </w:r>
    </w:p>
    <w:p w14:paraId="1C3A1D7D" w14:textId="7C8A1255" w:rsidR="00311D10" w:rsidRPr="00DD0C35" w:rsidRDefault="00311D10" w:rsidP="00311D10">
      <w:pPr>
        <w:jc w:val="both"/>
        <w:rPr>
          <w:rFonts w:cs="Arial"/>
          <w:b/>
          <w:bCs/>
          <w:sz w:val="22"/>
          <w:szCs w:val="22"/>
          <w:lang w:val="en-GB"/>
        </w:rPr>
      </w:pPr>
      <w:r w:rsidRPr="00DD0C35">
        <w:rPr>
          <w:b/>
          <w:bCs/>
          <w:sz w:val="22"/>
          <w:szCs w:val="22"/>
          <w:lang w:val="en-GB"/>
        </w:rPr>
        <w:t>Whole-genome sequencing</w:t>
      </w:r>
    </w:p>
    <w:p w14:paraId="2F95E3AB" w14:textId="3E591A5B" w:rsidR="00D679DE" w:rsidRPr="00DD0C35" w:rsidRDefault="00311D10" w:rsidP="00311D10">
      <w:pPr>
        <w:jc w:val="both"/>
        <w:rPr>
          <w:sz w:val="22"/>
          <w:szCs w:val="22"/>
          <w:lang w:val="en-GB"/>
        </w:rPr>
      </w:pPr>
      <w:r w:rsidRPr="00DD0C35">
        <w:rPr>
          <w:rFonts w:cs="Arial"/>
          <w:sz w:val="22"/>
          <w:szCs w:val="22"/>
          <w:lang w:val="en-GB"/>
        </w:rPr>
        <w:t xml:space="preserve">Library preparation, sequencing, read mapping, and bioinformatic analyses were carried out by </w:t>
      </w:r>
      <w:proofErr w:type="spellStart"/>
      <w:r w:rsidRPr="00DD0C35">
        <w:rPr>
          <w:rFonts w:cs="Arial"/>
          <w:sz w:val="22"/>
          <w:szCs w:val="22"/>
          <w:lang w:val="en-GB"/>
        </w:rPr>
        <w:t>Novogene</w:t>
      </w:r>
      <w:proofErr w:type="spellEnd"/>
      <w:r w:rsidRPr="00DD0C35">
        <w:rPr>
          <w:rFonts w:cs="Arial"/>
          <w:sz w:val="22"/>
          <w:szCs w:val="22"/>
          <w:lang w:val="en-GB"/>
        </w:rPr>
        <w:t xml:space="preserve"> Co., Ltd (</w:t>
      </w:r>
      <w:proofErr w:type="spellStart"/>
      <w:r w:rsidRPr="00DD0C35">
        <w:rPr>
          <w:rFonts w:cs="Arial"/>
          <w:sz w:val="22"/>
          <w:szCs w:val="22"/>
          <w:lang w:val="en-GB"/>
        </w:rPr>
        <w:t>Martinsried</w:t>
      </w:r>
      <w:proofErr w:type="spellEnd"/>
      <w:r w:rsidRPr="00DD0C35">
        <w:rPr>
          <w:rFonts w:cs="Arial"/>
          <w:sz w:val="22"/>
          <w:szCs w:val="22"/>
          <w:lang w:val="en-GB"/>
        </w:rPr>
        <w:t xml:space="preserve">, Germany). The following information was provided by </w:t>
      </w:r>
      <w:proofErr w:type="spellStart"/>
      <w:r w:rsidRPr="00DD0C35">
        <w:rPr>
          <w:rFonts w:cs="Arial"/>
          <w:sz w:val="22"/>
          <w:szCs w:val="22"/>
          <w:lang w:val="en-GB"/>
        </w:rPr>
        <w:t>Novogene</w:t>
      </w:r>
      <w:proofErr w:type="spellEnd"/>
      <w:r w:rsidRPr="00DD0C35">
        <w:rPr>
          <w:rFonts w:cs="Arial"/>
          <w:sz w:val="22"/>
          <w:szCs w:val="22"/>
          <w:lang w:val="en-GB"/>
        </w:rPr>
        <w:t xml:space="preserve">. </w:t>
      </w:r>
      <w:r w:rsidRPr="00DD0C35">
        <w:rPr>
          <w:sz w:val="22"/>
          <w:szCs w:val="22"/>
          <w:lang w:val="en-GB"/>
        </w:rPr>
        <w:t>Whole-genome sequencing of the wild-type strain (WT) and the evolved populations BA09 and BA20 was performed using an Illumina paired-end sequencing platform</w:t>
      </w:r>
      <w:r w:rsidR="003D79CA" w:rsidRPr="00DD0C35">
        <w:rPr>
          <w:sz w:val="22"/>
          <w:szCs w:val="22"/>
          <w:lang w:val="en-GB"/>
        </w:rPr>
        <w:t xml:space="preserve"> (2 × 150 bp reads)</w:t>
      </w:r>
      <w:r w:rsidRPr="00DD0C35">
        <w:rPr>
          <w:sz w:val="22"/>
          <w:szCs w:val="22"/>
          <w:lang w:val="en-GB"/>
        </w:rPr>
        <w:t>. The assembled genome sequence of the WT strain generated in this study was used as the reference genome. Sequencing quality was high for all samples (Q30 &gt; 96%), with average sequencing depths of 113.5× (WT), 176.4× (BA09), and 196.1× (BA20). Reads were aligned using BWA-MEM. Single nucleotide polymorphisms (SNPs) and insertions/deletions (</w:t>
      </w:r>
      <w:proofErr w:type="spellStart"/>
      <w:r w:rsidRPr="00DD0C35">
        <w:rPr>
          <w:sz w:val="22"/>
          <w:szCs w:val="22"/>
          <w:lang w:val="en-GB"/>
        </w:rPr>
        <w:t>InDels</w:t>
      </w:r>
      <w:proofErr w:type="spellEnd"/>
      <w:r w:rsidRPr="00DD0C35">
        <w:rPr>
          <w:sz w:val="22"/>
          <w:szCs w:val="22"/>
          <w:lang w:val="en-GB"/>
        </w:rPr>
        <w:t xml:space="preserve">) were identified using GATK </w:t>
      </w:r>
      <w:proofErr w:type="spellStart"/>
      <w:r w:rsidRPr="00DD0C35">
        <w:rPr>
          <w:sz w:val="22"/>
          <w:szCs w:val="22"/>
          <w:lang w:val="en-GB"/>
        </w:rPr>
        <w:t>HaplotypeCaller</w:t>
      </w:r>
      <w:proofErr w:type="spellEnd"/>
      <w:r w:rsidRPr="00DD0C35">
        <w:rPr>
          <w:sz w:val="22"/>
          <w:szCs w:val="22"/>
          <w:lang w:val="en-GB"/>
        </w:rPr>
        <w:t xml:space="preserve"> (</w:t>
      </w:r>
      <w:proofErr w:type="spellStart"/>
      <w:r w:rsidRPr="00DD0C35">
        <w:rPr>
          <w:sz w:val="22"/>
          <w:szCs w:val="22"/>
          <w:lang w:val="en-GB"/>
        </w:rPr>
        <w:t>DePristo</w:t>
      </w:r>
      <w:proofErr w:type="spellEnd"/>
      <w:r w:rsidRPr="00DD0C35">
        <w:rPr>
          <w:sz w:val="22"/>
          <w:szCs w:val="22"/>
          <w:lang w:val="en-GB"/>
        </w:rPr>
        <w:t xml:space="preserve"> et al., 2011) following the GATK Best Practices workflow. Variants were functionally annotated using ANNOVAR (Wang et al., 2010). Structural variants were detected using </w:t>
      </w:r>
      <w:proofErr w:type="spellStart"/>
      <w:r w:rsidRPr="00DD0C35">
        <w:rPr>
          <w:sz w:val="22"/>
          <w:szCs w:val="22"/>
          <w:lang w:val="en-GB"/>
        </w:rPr>
        <w:t>BreakDancer</w:t>
      </w:r>
      <w:proofErr w:type="spellEnd"/>
      <w:r w:rsidRPr="00DD0C35">
        <w:rPr>
          <w:sz w:val="22"/>
          <w:szCs w:val="22"/>
          <w:lang w:val="en-GB"/>
        </w:rPr>
        <w:t xml:space="preserve"> (Chen et al., 2009) and only variants supported by at least two paired-end reads were retained for further analysis.</w:t>
      </w:r>
    </w:p>
    <w:p w14:paraId="42A22436" w14:textId="77777777" w:rsidR="00DD0C35" w:rsidRPr="00DD0C35" w:rsidRDefault="00DD0C35" w:rsidP="00DD0C35">
      <w:pPr>
        <w:rPr>
          <w:b/>
          <w:bCs/>
          <w:sz w:val="22"/>
          <w:szCs w:val="22"/>
          <w:lang w:val="en-GB"/>
        </w:rPr>
      </w:pPr>
      <w:r w:rsidRPr="00DD0C35">
        <w:rPr>
          <w:b/>
          <w:bCs/>
          <w:sz w:val="22"/>
          <w:szCs w:val="22"/>
          <w:lang w:val="en-GB"/>
        </w:rPr>
        <w:t>References</w:t>
      </w:r>
    </w:p>
    <w:p w14:paraId="6607B09E" w14:textId="25E476AD" w:rsidR="00311D10" w:rsidRPr="00DD0C35" w:rsidRDefault="00311D10" w:rsidP="00311D10">
      <w:pPr>
        <w:jc w:val="both"/>
        <w:rPr>
          <w:sz w:val="22"/>
          <w:szCs w:val="22"/>
          <w:lang w:val="en-GB"/>
        </w:rPr>
      </w:pPr>
      <w:r w:rsidRPr="00DD0C35">
        <w:rPr>
          <w:sz w:val="22"/>
          <w:szCs w:val="22"/>
          <w:lang w:val="en-GB"/>
        </w:rPr>
        <w:t xml:space="preserve">Chen, K, et al. </w:t>
      </w:r>
      <w:proofErr w:type="spellStart"/>
      <w:r w:rsidRPr="00DD0C35">
        <w:rPr>
          <w:sz w:val="22"/>
          <w:szCs w:val="22"/>
          <w:lang w:val="en-GB"/>
        </w:rPr>
        <w:t>BreakDancer</w:t>
      </w:r>
      <w:proofErr w:type="spellEnd"/>
      <w:r w:rsidRPr="00DD0C35">
        <w:rPr>
          <w:sz w:val="22"/>
          <w:szCs w:val="22"/>
          <w:lang w:val="en-GB"/>
        </w:rPr>
        <w:t>: an algorithm for high-resolution mapping of genomic structural variation. Nature Methods. 2009, 6:677-681.</w:t>
      </w:r>
    </w:p>
    <w:p w14:paraId="00831C69" w14:textId="36B6CF19" w:rsidR="00311D10" w:rsidRPr="00DD0C35" w:rsidRDefault="00311D10" w:rsidP="00311D10">
      <w:pPr>
        <w:jc w:val="both"/>
        <w:rPr>
          <w:sz w:val="22"/>
          <w:szCs w:val="22"/>
          <w:lang w:val="en-GB"/>
        </w:rPr>
      </w:pPr>
      <w:proofErr w:type="spellStart"/>
      <w:r w:rsidRPr="00DD0C35">
        <w:rPr>
          <w:sz w:val="22"/>
          <w:szCs w:val="22"/>
          <w:lang w:val="en-GB"/>
        </w:rPr>
        <w:t>DePristo</w:t>
      </w:r>
      <w:proofErr w:type="spellEnd"/>
      <w:r w:rsidRPr="00DD0C35">
        <w:rPr>
          <w:sz w:val="22"/>
          <w:szCs w:val="22"/>
          <w:lang w:val="en-GB"/>
        </w:rPr>
        <w:t xml:space="preserve"> M A, Banks E, Poplin R, et al. A framework for variation discovery and genotyping using next-generation DNA sequencing data. </w:t>
      </w:r>
      <w:r w:rsidRPr="00DD0C35">
        <w:rPr>
          <w:sz w:val="22"/>
          <w:szCs w:val="22"/>
        </w:rPr>
        <w:t>Nature Genetics. 2011, 43(5):491-498.</w:t>
      </w:r>
    </w:p>
    <w:p w14:paraId="15AD7FF0" w14:textId="1B2B4521" w:rsidR="00311D10" w:rsidRPr="00DD0C35" w:rsidRDefault="00311D10" w:rsidP="00311D10">
      <w:pPr>
        <w:jc w:val="both"/>
        <w:rPr>
          <w:sz w:val="22"/>
          <w:szCs w:val="22"/>
          <w:lang w:val="en-GB"/>
        </w:rPr>
      </w:pPr>
      <w:r w:rsidRPr="00DD0C35">
        <w:rPr>
          <w:sz w:val="22"/>
          <w:szCs w:val="22"/>
          <w:lang w:val="en-GB"/>
        </w:rPr>
        <w:t xml:space="preserve">Wang K, Li M, </w:t>
      </w:r>
      <w:proofErr w:type="spellStart"/>
      <w:r w:rsidRPr="00DD0C35">
        <w:rPr>
          <w:sz w:val="22"/>
          <w:szCs w:val="22"/>
          <w:lang w:val="en-GB"/>
        </w:rPr>
        <w:t>Hakonarson</w:t>
      </w:r>
      <w:proofErr w:type="spellEnd"/>
      <w:r w:rsidRPr="00DD0C35">
        <w:rPr>
          <w:sz w:val="22"/>
          <w:szCs w:val="22"/>
          <w:lang w:val="en-GB"/>
        </w:rPr>
        <w:t xml:space="preserve"> H. ANNOVAR: functional annotation of genetic variants from high-throughput sequencing data. Nucleic Acids Research. 2010, 38(16</w:t>
      </w:r>
      <w:proofErr w:type="gramStart"/>
      <w:r w:rsidRPr="00DD0C35">
        <w:rPr>
          <w:sz w:val="22"/>
          <w:szCs w:val="22"/>
          <w:lang w:val="en-GB"/>
        </w:rPr>
        <w:t>):e</w:t>
      </w:r>
      <w:proofErr w:type="gramEnd"/>
      <w:r w:rsidRPr="00DD0C35">
        <w:rPr>
          <w:sz w:val="22"/>
          <w:szCs w:val="22"/>
          <w:lang w:val="en-GB"/>
        </w:rPr>
        <w:t>164.</w:t>
      </w:r>
    </w:p>
    <w:p w14:paraId="16335495" w14:textId="77777777" w:rsidR="00311D10" w:rsidRPr="00311D10" w:rsidRDefault="00311D10" w:rsidP="00311D10">
      <w:pPr>
        <w:jc w:val="both"/>
        <w:rPr>
          <w:lang w:val="en-GB"/>
        </w:rPr>
      </w:pPr>
    </w:p>
    <w:p w14:paraId="7A6FFB8A" w14:textId="00BCA5DB" w:rsidR="00DD0C35" w:rsidRPr="00DD0C35" w:rsidRDefault="00DD0C35" w:rsidP="00C052FB">
      <w:pPr>
        <w:keepNext/>
        <w:rPr>
          <w:b/>
          <w:bCs/>
          <w:sz w:val="22"/>
          <w:szCs w:val="22"/>
        </w:rPr>
      </w:pPr>
      <w:r w:rsidRPr="00DD0C35">
        <w:rPr>
          <w:b/>
          <w:bCs/>
          <w:sz w:val="22"/>
          <w:szCs w:val="22"/>
          <w:lang w:val="en-GB"/>
        </w:rPr>
        <w:lastRenderedPageBreak/>
        <w:t>Gene enrichment analysis</w:t>
      </w:r>
    </w:p>
    <w:p w14:paraId="5B580902" w14:textId="68720D2A" w:rsidR="00C052FB" w:rsidRDefault="00EA1619" w:rsidP="00C052FB">
      <w:pPr>
        <w:keepNext/>
      </w:pPr>
      <w:r w:rsidRPr="00EA1619">
        <w:rPr>
          <w:b/>
          <w:bCs/>
          <w:noProof/>
        </w:rPr>
        <w:drawing>
          <wp:inline distT="0" distB="0" distL="0" distR="0" wp14:anchorId="11B9C762" wp14:editId="7F280ED2">
            <wp:extent cx="5760720" cy="3926840"/>
            <wp:effectExtent l="0" t="0" r="0" b="0"/>
            <wp:docPr id="23" name="Grafik 22">
              <a:extLst xmlns:a="http://schemas.openxmlformats.org/drawingml/2006/main">
                <a:ext uri="{FF2B5EF4-FFF2-40B4-BE49-F238E27FC236}">
                  <a16:creationId xmlns:a16="http://schemas.microsoft.com/office/drawing/2014/main" id="{210FDAFE-7625-F4D0-D1F7-DEA089F84A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2">
                      <a:extLst>
                        <a:ext uri="{FF2B5EF4-FFF2-40B4-BE49-F238E27FC236}">
                          <a16:creationId xmlns:a16="http://schemas.microsoft.com/office/drawing/2014/main" id="{210FDAFE-7625-F4D0-D1F7-DEA089F84A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B2B6D" w14:textId="73D5B7D7" w:rsidR="00EA1619" w:rsidRDefault="00C052FB" w:rsidP="00C052FB">
      <w:pPr>
        <w:pStyle w:val="Beschriftung"/>
        <w:rPr>
          <w:i w:val="0"/>
          <w:iCs w:val="0"/>
          <w:color w:val="auto"/>
          <w:lang w:val="en-GB"/>
        </w:rPr>
      </w:pPr>
      <w:r w:rsidRPr="00AC3872">
        <w:rPr>
          <w:b/>
          <w:bCs/>
          <w:i w:val="0"/>
          <w:iCs w:val="0"/>
          <w:color w:val="auto"/>
          <w:lang w:val="en-GB"/>
        </w:rPr>
        <w:t xml:space="preserve">Figure </w:t>
      </w:r>
      <w:r w:rsidRPr="00AC3872">
        <w:rPr>
          <w:b/>
          <w:bCs/>
          <w:i w:val="0"/>
          <w:iCs w:val="0"/>
          <w:color w:val="auto"/>
        </w:rPr>
        <w:fldChar w:fldCharType="begin"/>
      </w:r>
      <w:r w:rsidRPr="00AC3872">
        <w:rPr>
          <w:b/>
          <w:bCs/>
          <w:i w:val="0"/>
          <w:iCs w:val="0"/>
          <w:color w:val="auto"/>
          <w:lang w:val="en-GB"/>
        </w:rPr>
        <w:instrText xml:space="preserve"> SEQ Figure \* ARABIC </w:instrText>
      </w:r>
      <w:r w:rsidRPr="00AC3872">
        <w:rPr>
          <w:b/>
          <w:bCs/>
          <w:i w:val="0"/>
          <w:iCs w:val="0"/>
          <w:color w:val="auto"/>
        </w:rPr>
        <w:fldChar w:fldCharType="separate"/>
      </w:r>
      <w:r w:rsidR="004F750C" w:rsidRPr="00AC3872">
        <w:rPr>
          <w:b/>
          <w:bCs/>
          <w:i w:val="0"/>
          <w:iCs w:val="0"/>
          <w:noProof/>
          <w:color w:val="auto"/>
          <w:lang w:val="en-GB"/>
        </w:rPr>
        <w:t>1</w:t>
      </w:r>
      <w:r w:rsidRPr="00AC3872">
        <w:rPr>
          <w:b/>
          <w:bCs/>
          <w:i w:val="0"/>
          <w:iCs w:val="0"/>
          <w:color w:val="auto"/>
        </w:rPr>
        <w:fldChar w:fldCharType="end"/>
      </w:r>
      <w:r w:rsidRPr="00AC3872">
        <w:rPr>
          <w:b/>
          <w:bCs/>
          <w:i w:val="0"/>
          <w:iCs w:val="0"/>
          <w:color w:val="auto"/>
          <w:lang w:val="en-GB"/>
        </w:rPr>
        <w:t>:</w:t>
      </w:r>
      <w:r w:rsidRPr="00C052FB">
        <w:rPr>
          <w:i w:val="0"/>
          <w:iCs w:val="0"/>
          <w:color w:val="auto"/>
          <w:lang w:val="en-GB"/>
        </w:rPr>
        <w:t xml:space="preserve"> Gene enrichment analysis from non-synonymous SNPs in coding regions</w:t>
      </w:r>
      <w:r>
        <w:rPr>
          <w:i w:val="0"/>
          <w:iCs w:val="0"/>
          <w:color w:val="auto"/>
          <w:lang w:val="en-GB"/>
        </w:rPr>
        <w:t xml:space="preserve"> performed with </w:t>
      </w:r>
      <w:proofErr w:type="gramStart"/>
      <w:r>
        <w:rPr>
          <w:i w:val="0"/>
          <w:iCs w:val="0"/>
          <w:color w:val="auto"/>
          <w:lang w:val="en-GB"/>
        </w:rPr>
        <w:t>g:Profiler</w:t>
      </w:r>
      <w:proofErr w:type="gramEnd"/>
      <w:r>
        <w:rPr>
          <w:i w:val="0"/>
          <w:iCs w:val="0"/>
          <w:color w:val="auto"/>
          <w:lang w:val="en-GB"/>
        </w:rPr>
        <w:t xml:space="preserve"> </w:t>
      </w:r>
      <w:r w:rsidR="004F750C">
        <w:rPr>
          <w:i w:val="0"/>
          <w:iCs w:val="0"/>
          <w:color w:val="auto"/>
          <w:lang w:val="en-GB"/>
        </w:rPr>
        <w:t>(Kolberg et al. 2023)</w:t>
      </w:r>
      <w:r w:rsidRPr="00C052FB">
        <w:rPr>
          <w:i w:val="0"/>
          <w:iCs w:val="0"/>
          <w:color w:val="auto"/>
          <w:lang w:val="en-GB"/>
        </w:rPr>
        <w:t xml:space="preserve">. Full Gene list in Table S1. </w:t>
      </w:r>
    </w:p>
    <w:p w14:paraId="165EED92" w14:textId="77777777" w:rsidR="00C052FB" w:rsidRDefault="00C052FB" w:rsidP="00C052FB">
      <w:pPr>
        <w:rPr>
          <w:lang w:val="en-GB"/>
        </w:rPr>
      </w:pPr>
    </w:p>
    <w:p w14:paraId="7C0B7ED4" w14:textId="77777777" w:rsidR="004F750C" w:rsidRDefault="004F750C" w:rsidP="004F750C">
      <w:pPr>
        <w:keepNext/>
      </w:pPr>
      <w:r w:rsidRPr="004F750C">
        <w:rPr>
          <w:noProof/>
        </w:rPr>
        <w:drawing>
          <wp:inline distT="0" distB="0" distL="0" distR="0" wp14:anchorId="09D4F17D" wp14:editId="76285D1E">
            <wp:extent cx="5760720" cy="3355340"/>
            <wp:effectExtent l="0" t="0" r="0" b="0"/>
            <wp:docPr id="11" name="Grafik 10">
              <a:extLst xmlns:a="http://schemas.openxmlformats.org/drawingml/2006/main">
                <a:ext uri="{FF2B5EF4-FFF2-40B4-BE49-F238E27FC236}">
                  <a16:creationId xmlns:a16="http://schemas.microsoft.com/office/drawing/2014/main" id="{B6A7AF09-6A2C-28A1-59B7-9A9E958F2D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>
                      <a:extLst>
                        <a:ext uri="{FF2B5EF4-FFF2-40B4-BE49-F238E27FC236}">
                          <a16:creationId xmlns:a16="http://schemas.microsoft.com/office/drawing/2014/main" id="{B6A7AF09-6A2C-28A1-59B7-9A9E958F2D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5EF8" w14:textId="5BEE9C4A" w:rsidR="00C052FB" w:rsidRPr="004F750C" w:rsidRDefault="004F750C" w:rsidP="004F750C">
      <w:pPr>
        <w:pStyle w:val="Beschriftung"/>
        <w:rPr>
          <w:i w:val="0"/>
          <w:iCs w:val="0"/>
          <w:color w:val="auto"/>
          <w:lang w:val="en-GB"/>
        </w:rPr>
      </w:pPr>
      <w:r w:rsidRPr="004F750C">
        <w:rPr>
          <w:b/>
          <w:bCs/>
          <w:i w:val="0"/>
          <w:iCs w:val="0"/>
          <w:color w:val="auto"/>
          <w:lang w:val="en-GB"/>
        </w:rPr>
        <w:t xml:space="preserve">Figure </w:t>
      </w:r>
      <w:r w:rsidRPr="004F750C">
        <w:rPr>
          <w:b/>
          <w:bCs/>
          <w:i w:val="0"/>
          <w:iCs w:val="0"/>
          <w:color w:val="auto"/>
        </w:rPr>
        <w:fldChar w:fldCharType="begin"/>
      </w:r>
      <w:r w:rsidRPr="004F750C">
        <w:rPr>
          <w:b/>
          <w:bCs/>
          <w:i w:val="0"/>
          <w:iCs w:val="0"/>
          <w:color w:val="auto"/>
          <w:lang w:val="en-GB"/>
        </w:rPr>
        <w:instrText xml:space="preserve"> SEQ Figure \* ARABIC </w:instrText>
      </w:r>
      <w:r w:rsidRPr="004F750C">
        <w:rPr>
          <w:b/>
          <w:bCs/>
          <w:i w:val="0"/>
          <w:iCs w:val="0"/>
          <w:color w:val="auto"/>
        </w:rPr>
        <w:fldChar w:fldCharType="separate"/>
      </w:r>
      <w:r w:rsidRPr="004F750C">
        <w:rPr>
          <w:b/>
          <w:bCs/>
          <w:i w:val="0"/>
          <w:iCs w:val="0"/>
          <w:noProof/>
          <w:color w:val="auto"/>
          <w:lang w:val="en-GB"/>
        </w:rPr>
        <w:t>2</w:t>
      </w:r>
      <w:r w:rsidRPr="004F750C">
        <w:rPr>
          <w:b/>
          <w:bCs/>
          <w:i w:val="0"/>
          <w:iCs w:val="0"/>
          <w:color w:val="auto"/>
        </w:rPr>
        <w:fldChar w:fldCharType="end"/>
      </w:r>
      <w:r w:rsidRPr="004F750C">
        <w:rPr>
          <w:b/>
          <w:bCs/>
          <w:i w:val="0"/>
          <w:iCs w:val="0"/>
          <w:color w:val="auto"/>
          <w:lang w:val="en-GB"/>
        </w:rPr>
        <w:t>:</w:t>
      </w:r>
      <w:r w:rsidRPr="004F750C">
        <w:rPr>
          <w:i w:val="0"/>
          <w:iCs w:val="0"/>
          <w:color w:val="auto"/>
          <w:lang w:val="en-GB"/>
        </w:rPr>
        <w:t xml:space="preserve"> </w:t>
      </w:r>
      <w:r w:rsidRPr="00C052FB">
        <w:rPr>
          <w:i w:val="0"/>
          <w:iCs w:val="0"/>
          <w:color w:val="auto"/>
          <w:lang w:val="en-GB"/>
        </w:rPr>
        <w:t xml:space="preserve">Gene enrichment analysis </w:t>
      </w:r>
      <w:r>
        <w:rPr>
          <w:i w:val="0"/>
          <w:iCs w:val="0"/>
          <w:color w:val="auto"/>
          <w:lang w:val="en-GB"/>
        </w:rPr>
        <w:t>of</w:t>
      </w:r>
      <w:r w:rsidRPr="004F750C">
        <w:rPr>
          <w:i w:val="0"/>
          <w:iCs w:val="0"/>
          <w:color w:val="auto"/>
          <w:lang w:val="en-GB"/>
        </w:rPr>
        <w:t xml:space="preserve"> structural variants (SVs) located in promoter regions </w:t>
      </w:r>
      <w:r>
        <w:rPr>
          <w:i w:val="0"/>
          <w:iCs w:val="0"/>
          <w:color w:val="auto"/>
          <w:lang w:val="en-GB"/>
        </w:rPr>
        <w:t xml:space="preserve">performed with </w:t>
      </w:r>
      <w:proofErr w:type="gramStart"/>
      <w:r>
        <w:rPr>
          <w:i w:val="0"/>
          <w:iCs w:val="0"/>
          <w:color w:val="auto"/>
          <w:lang w:val="en-GB"/>
        </w:rPr>
        <w:t>g:Profiler</w:t>
      </w:r>
      <w:proofErr w:type="gramEnd"/>
      <w:r>
        <w:rPr>
          <w:i w:val="0"/>
          <w:iCs w:val="0"/>
          <w:color w:val="auto"/>
          <w:lang w:val="en-GB"/>
        </w:rPr>
        <w:t xml:space="preserve"> (Kolberg et al. 2023)</w:t>
      </w:r>
      <w:r w:rsidRPr="00C052FB">
        <w:rPr>
          <w:i w:val="0"/>
          <w:iCs w:val="0"/>
          <w:color w:val="auto"/>
          <w:lang w:val="en-GB"/>
        </w:rPr>
        <w:t>. Full Gene list in Table S</w:t>
      </w:r>
      <w:r w:rsidR="00606438">
        <w:rPr>
          <w:i w:val="0"/>
          <w:iCs w:val="0"/>
          <w:color w:val="auto"/>
          <w:lang w:val="en-GB"/>
        </w:rPr>
        <w:t>3</w:t>
      </w:r>
      <w:r w:rsidRPr="00C052FB">
        <w:rPr>
          <w:i w:val="0"/>
          <w:iCs w:val="0"/>
          <w:color w:val="auto"/>
          <w:lang w:val="en-GB"/>
        </w:rPr>
        <w:t>.</w:t>
      </w:r>
    </w:p>
    <w:p w14:paraId="04D75E01" w14:textId="77777777" w:rsidR="00C052FB" w:rsidRPr="00C052FB" w:rsidRDefault="00C052FB" w:rsidP="00C052FB">
      <w:pPr>
        <w:rPr>
          <w:sz w:val="22"/>
          <w:szCs w:val="22"/>
          <w:lang w:val="en-GB"/>
        </w:rPr>
      </w:pPr>
    </w:p>
    <w:p w14:paraId="1B50BF34" w14:textId="5C7BB5D0" w:rsidR="004F750C" w:rsidRPr="00DD0C35" w:rsidRDefault="00C33075" w:rsidP="00C33075">
      <w:pPr>
        <w:rPr>
          <w:b/>
          <w:bCs/>
          <w:sz w:val="22"/>
          <w:szCs w:val="22"/>
          <w:lang w:val="en-GB"/>
        </w:rPr>
      </w:pPr>
      <w:r w:rsidRPr="00DD0C35">
        <w:rPr>
          <w:b/>
          <w:bCs/>
          <w:sz w:val="22"/>
          <w:szCs w:val="22"/>
          <w:lang w:val="en-GB"/>
        </w:rPr>
        <w:t>References</w:t>
      </w:r>
    </w:p>
    <w:p w14:paraId="7E59CC1A" w14:textId="56647BCC" w:rsidR="00C052FB" w:rsidRPr="00C33075" w:rsidRDefault="004F750C" w:rsidP="004F750C">
      <w:pPr>
        <w:pStyle w:val="CitaviBibliographyEntry"/>
        <w:rPr>
          <w:rFonts w:asciiTheme="minorHAnsi" w:hAnsiTheme="minorHAnsi"/>
        </w:rPr>
      </w:pPr>
      <w:bookmarkStart w:id="0" w:name="_CTVL001773fad2b79c646f8af519a0d4dc9cb9a"/>
      <w:r w:rsidRPr="00C33075">
        <w:rPr>
          <w:rFonts w:asciiTheme="minorHAnsi" w:hAnsiTheme="minorHAnsi"/>
        </w:rPr>
        <w:t xml:space="preserve">Kolberg, Liis; </w:t>
      </w:r>
      <w:proofErr w:type="spellStart"/>
      <w:r w:rsidRPr="00C33075">
        <w:rPr>
          <w:rFonts w:asciiTheme="minorHAnsi" w:hAnsiTheme="minorHAnsi"/>
        </w:rPr>
        <w:t>Raudvere</w:t>
      </w:r>
      <w:proofErr w:type="spellEnd"/>
      <w:r w:rsidRPr="00C33075">
        <w:rPr>
          <w:rFonts w:asciiTheme="minorHAnsi" w:hAnsiTheme="minorHAnsi"/>
        </w:rPr>
        <w:t xml:space="preserve">, Uku; Kuzmin, Ivan; Adler, Priit; Vilo, Jaak; Peterson, Hedi (2023): </w:t>
      </w:r>
      <w:proofErr w:type="gramStart"/>
      <w:r w:rsidRPr="00C33075">
        <w:rPr>
          <w:rFonts w:asciiTheme="minorHAnsi" w:hAnsiTheme="minorHAnsi"/>
        </w:rPr>
        <w:t>g:Profiler</w:t>
      </w:r>
      <w:proofErr w:type="gramEnd"/>
      <w:r w:rsidRPr="00C33075">
        <w:rPr>
          <w:rFonts w:asciiTheme="minorHAnsi" w:hAnsiTheme="minorHAnsi"/>
        </w:rPr>
        <w:t>-interoperable web service for functional enrichment analysis and gene identifier mapping (2023 update). In:</w:t>
      </w:r>
      <w:bookmarkEnd w:id="0"/>
      <w:r w:rsidRPr="00C33075">
        <w:rPr>
          <w:rFonts w:asciiTheme="minorHAnsi" w:hAnsiTheme="minorHAnsi"/>
        </w:rPr>
        <w:t xml:space="preserve"> </w:t>
      </w:r>
      <w:r w:rsidRPr="00C33075">
        <w:rPr>
          <w:rFonts w:asciiTheme="minorHAnsi" w:hAnsiTheme="minorHAnsi"/>
          <w:i/>
        </w:rPr>
        <w:t xml:space="preserve">Nucleic acids research </w:t>
      </w:r>
      <w:r w:rsidRPr="00C33075">
        <w:rPr>
          <w:rFonts w:asciiTheme="minorHAnsi" w:hAnsiTheme="minorHAnsi"/>
        </w:rPr>
        <w:t>51 (W1), W207-W212. DOI: 10.1093/</w:t>
      </w:r>
      <w:proofErr w:type="spellStart"/>
      <w:r w:rsidRPr="00C33075">
        <w:rPr>
          <w:rFonts w:asciiTheme="minorHAnsi" w:hAnsiTheme="minorHAnsi"/>
        </w:rPr>
        <w:t>nar</w:t>
      </w:r>
      <w:proofErr w:type="spellEnd"/>
      <w:r w:rsidRPr="00C33075">
        <w:rPr>
          <w:rFonts w:asciiTheme="minorHAnsi" w:hAnsiTheme="minorHAnsi"/>
        </w:rPr>
        <w:t>/gkad347.</w:t>
      </w:r>
    </w:p>
    <w:p w14:paraId="23F601FE" w14:textId="77777777" w:rsidR="00C052FB" w:rsidRPr="00C052FB" w:rsidRDefault="00C052FB" w:rsidP="00C052FB">
      <w:pPr>
        <w:rPr>
          <w:lang w:val="en-GB"/>
        </w:rPr>
      </w:pPr>
    </w:p>
    <w:sectPr w:rsidR="00C052FB" w:rsidRPr="00C052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19"/>
    <w:rsid w:val="000E4340"/>
    <w:rsid w:val="001B3413"/>
    <w:rsid w:val="002F7725"/>
    <w:rsid w:val="003113AC"/>
    <w:rsid w:val="00311D10"/>
    <w:rsid w:val="003D79CA"/>
    <w:rsid w:val="004E69D1"/>
    <w:rsid w:val="004F750C"/>
    <w:rsid w:val="00586A45"/>
    <w:rsid w:val="00606438"/>
    <w:rsid w:val="006B667C"/>
    <w:rsid w:val="006E096C"/>
    <w:rsid w:val="0086623C"/>
    <w:rsid w:val="008A520B"/>
    <w:rsid w:val="00A70C48"/>
    <w:rsid w:val="00AC3872"/>
    <w:rsid w:val="00BE7CC9"/>
    <w:rsid w:val="00C052FB"/>
    <w:rsid w:val="00C33075"/>
    <w:rsid w:val="00CF67EA"/>
    <w:rsid w:val="00D679DE"/>
    <w:rsid w:val="00D87B31"/>
    <w:rsid w:val="00DD0C35"/>
    <w:rsid w:val="00DF21C6"/>
    <w:rsid w:val="00EA1619"/>
    <w:rsid w:val="00F1067A"/>
    <w:rsid w:val="00F16BA2"/>
    <w:rsid w:val="00F9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63CD"/>
  <w15:chartTrackingRefBased/>
  <w15:docId w15:val="{18355EC3-0003-4747-935A-F4BCEEC2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A1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1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1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1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1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1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1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1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1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rsid w:val="00D87B31"/>
    <w:pPr>
      <w:suppressAutoHyphens/>
      <w:autoSpaceDN w:val="0"/>
      <w:spacing w:before="120" w:after="120" w:line="240" w:lineRule="auto"/>
    </w:pPr>
    <w:rPr>
      <w:rFonts w:ascii="Arial" w:eastAsia="Calibri" w:hAnsi="Arial" w:cs="Times New Roman"/>
      <w:kern w:val="3"/>
      <w:sz w:val="22"/>
      <w:szCs w:val="22"/>
      <w:lang w:val="en-GB"/>
      <w14:ligatures w14:val="none"/>
    </w:rPr>
  </w:style>
  <w:style w:type="character" w:customStyle="1" w:styleId="c-bibliographic-informationvalue">
    <w:name w:val="c-bibliographic-information__value"/>
    <w:basedOn w:val="Absatz-Standardschriftart"/>
    <w:rsid w:val="003113AC"/>
  </w:style>
  <w:style w:type="character" w:customStyle="1" w:styleId="berschrift1Zchn">
    <w:name w:val="Überschrift 1 Zchn"/>
    <w:basedOn w:val="Absatz-Standardschriftart"/>
    <w:link w:val="berschrift1"/>
    <w:uiPriority w:val="9"/>
    <w:rsid w:val="00EA1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1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1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161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161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161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161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161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16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1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A1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1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1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1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A161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161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A161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1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161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1619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C052F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052FB"/>
    <w:rPr>
      <w:color w:val="666666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C052FB"/>
  </w:style>
  <w:style w:type="character" w:customStyle="1" w:styleId="BeschriftungZchn">
    <w:name w:val="Beschriftung Zchn"/>
    <w:basedOn w:val="Absatz-Standardschriftart"/>
    <w:link w:val="Beschriftung"/>
    <w:uiPriority w:val="35"/>
    <w:rsid w:val="00C052FB"/>
    <w:rPr>
      <w:i/>
      <w:iCs/>
      <w:color w:val="0E2841" w:themeColor="text2"/>
      <w:sz w:val="18"/>
      <w:szCs w:val="18"/>
    </w:rPr>
  </w:style>
  <w:style w:type="character" w:customStyle="1" w:styleId="CitaviBibliographyHeadingZchn">
    <w:name w:val="Citavi Bibliography Heading Zchn"/>
    <w:basedOn w:val="BeschriftungZchn"/>
    <w:link w:val="CitaviBibliographyHeading"/>
    <w:uiPriority w:val="99"/>
    <w:rsid w:val="00C052FB"/>
    <w:rPr>
      <w:rFonts w:asciiTheme="majorHAnsi" w:eastAsiaTheme="majorEastAsia" w:hAnsiTheme="majorHAnsi" w:cstheme="majorBidi"/>
      <w:i w:val="0"/>
      <w:iCs w:val="0"/>
      <w:color w:val="0F4761" w:themeColor="accent1" w:themeShade="BF"/>
      <w:sz w:val="40"/>
      <w:szCs w:val="40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C052FB"/>
  </w:style>
  <w:style w:type="character" w:customStyle="1" w:styleId="CitaviChapterBibliographyHeadingZchn">
    <w:name w:val="Citavi Chapter Bibliography Heading Zchn"/>
    <w:basedOn w:val="BeschriftungZchn"/>
    <w:link w:val="CitaviChapterBibliographyHeading"/>
    <w:uiPriority w:val="99"/>
    <w:rsid w:val="00C052FB"/>
    <w:rPr>
      <w:rFonts w:asciiTheme="majorHAnsi" w:eastAsiaTheme="majorEastAsia" w:hAnsiTheme="majorHAnsi" w:cstheme="majorBidi"/>
      <w:i w:val="0"/>
      <w:iCs w:val="0"/>
      <w:color w:val="0F4761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C052FB"/>
    <w:pPr>
      <w:outlineLvl w:val="9"/>
    </w:pPr>
    <w:rPr>
      <w:i/>
      <w:iCs/>
      <w:lang w:val="en-GB"/>
    </w:rPr>
  </w:style>
  <w:style w:type="character" w:customStyle="1" w:styleId="CitaviBibliographySubheading1Zchn">
    <w:name w:val="Citavi Bibliography Subheading 1 Zchn"/>
    <w:basedOn w:val="BeschriftungZchn"/>
    <w:link w:val="CitaviBibliographySubheading1"/>
    <w:uiPriority w:val="99"/>
    <w:rsid w:val="00C052FB"/>
    <w:rPr>
      <w:rFonts w:asciiTheme="majorHAnsi" w:eastAsiaTheme="majorEastAsia" w:hAnsiTheme="majorHAnsi" w:cstheme="majorBidi"/>
      <w:i/>
      <w:iCs/>
      <w:color w:val="0F4761" w:themeColor="accent1" w:themeShade="BF"/>
      <w:sz w:val="32"/>
      <w:szCs w:val="32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C052FB"/>
    <w:pPr>
      <w:outlineLvl w:val="9"/>
    </w:pPr>
    <w:rPr>
      <w:i/>
      <w:iCs/>
      <w:lang w:val="en-GB"/>
    </w:rPr>
  </w:style>
  <w:style w:type="character" w:customStyle="1" w:styleId="CitaviBibliographySubheading2Zchn">
    <w:name w:val="Citavi Bibliography Subheading 2 Zchn"/>
    <w:basedOn w:val="BeschriftungZchn"/>
    <w:link w:val="CitaviBibliographySubheading2"/>
    <w:uiPriority w:val="99"/>
    <w:rsid w:val="00C052FB"/>
    <w:rPr>
      <w:rFonts w:eastAsiaTheme="majorEastAsia" w:cstheme="majorBidi"/>
      <w:i/>
      <w:iCs/>
      <w:color w:val="0F4761" w:themeColor="accent1" w:themeShade="BF"/>
      <w:sz w:val="28"/>
      <w:szCs w:val="28"/>
      <w:lang w:val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C052FB"/>
    <w:pPr>
      <w:outlineLvl w:val="9"/>
    </w:pPr>
    <w:rPr>
      <w:i w:val="0"/>
      <w:iCs w:val="0"/>
      <w:sz w:val="18"/>
      <w:szCs w:val="18"/>
      <w:lang w:val="en-GB"/>
    </w:rPr>
  </w:style>
  <w:style w:type="character" w:customStyle="1" w:styleId="CitaviBibliographySubheading3Zchn">
    <w:name w:val="Citavi Bibliography Subheading 3 Zchn"/>
    <w:basedOn w:val="BeschriftungZchn"/>
    <w:link w:val="CitaviBibliographySubheading3"/>
    <w:uiPriority w:val="99"/>
    <w:rsid w:val="00C052FB"/>
    <w:rPr>
      <w:rFonts w:eastAsiaTheme="majorEastAsia" w:cstheme="majorBidi"/>
      <w:i w:val="0"/>
      <w:iCs w:val="0"/>
      <w:color w:val="0F4761" w:themeColor="accent1" w:themeShade="BF"/>
      <w:sz w:val="18"/>
      <w:szCs w:val="18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C052FB"/>
    <w:pPr>
      <w:outlineLvl w:val="9"/>
    </w:pPr>
    <w:rPr>
      <w:i/>
      <w:iCs/>
      <w:sz w:val="18"/>
      <w:szCs w:val="18"/>
      <w:lang w:val="en-GB"/>
    </w:rPr>
  </w:style>
  <w:style w:type="character" w:customStyle="1" w:styleId="CitaviBibliographySubheading4Zchn">
    <w:name w:val="Citavi Bibliography Subheading 4 Zchn"/>
    <w:basedOn w:val="BeschriftungZchn"/>
    <w:link w:val="CitaviBibliographySubheading4"/>
    <w:uiPriority w:val="99"/>
    <w:rsid w:val="00C052FB"/>
    <w:rPr>
      <w:rFonts w:eastAsiaTheme="majorEastAsia" w:cstheme="majorBidi"/>
      <w:i/>
      <w:iCs/>
      <w:color w:val="0F4761" w:themeColor="accent1" w:themeShade="BF"/>
      <w:sz w:val="18"/>
      <w:szCs w:val="18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C052FB"/>
    <w:pPr>
      <w:outlineLvl w:val="9"/>
    </w:pPr>
    <w:rPr>
      <w:i w:val="0"/>
      <w:iCs w:val="0"/>
      <w:sz w:val="18"/>
      <w:szCs w:val="18"/>
      <w:lang w:val="en-GB"/>
    </w:rPr>
  </w:style>
  <w:style w:type="character" w:customStyle="1" w:styleId="CitaviBibliographySubheading5Zchn">
    <w:name w:val="Citavi Bibliography Subheading 5 Zchn"/>
    <w:basedOn w:val="BeschriftungZchn"/>
    <w:link w:val="CitaviBibliographySubheading5"/>
    <w:uiPriority w:val="99"/>
    <w:rsid w:val="00C052FB"/>
    <w:rPr>
      <w:rFonts w:eastAsiaTheme="majorEastAsia" w:cstheme="majorBidi"/>
      <w:i w:val="0"/>
      <w:iCs w:val="0"/>
      <w:color w:val="595959" w:themeColor="text1" w:themeTint="A6"/>
      <w:sz w:val="18"/>
      <w:szCs w:val="18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C052FB"/>
    <w:pPr>
      <w:outlineLvl w:val="9"/>
    </w:pPr>
    <w:rPr>
      <w:i/>
      <w:iCs/>
      <w:sz w:val="18"/>
      <w:szCs w:val="18"/>
      <w:lang w:val="en-GB"/>
    </w:rPr>
  </w:style>
  <w:style w:type="character" w:customStyle="1" w:styleId="CitaviBibliographySubheading6Zchn">
    <w:name w:val="Citavi Bibliography Subheading 6 Zchn"/>
    <w:basedOn w:val="BeschriftungZchn"/>
    <w:link w:val="CitaviBibliographySubheading6"/>
    <w:uiPriority w:val="99"/>
    <w:rsid w:val="00C052FB"/>
    <w:rPr>
      <w:rFonts w:eastAsiaTheme="majorEastAsia" w:cstheme="majorBidi"/>
      <w:i/>
      <w:iCs/>
      <w:color w:val="595959" w:themeColor="text1" w:themeTint="A6"/>
      <w:sz w:val="18"/>
      <w:szCs w:val="18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C052FB"/>
    <w:pPr>
      <w:outlineLvl w:val="9"/>
    </w:pPr>
    <w:rPr>
      <w:i w:val="0"/>
      <w:iCs w:val="0"/>
      <w:sz w:val="18"/>
      <w:szCs w:val="18"/>
      <w:lang w:val="en-GB"/>
    </w:rPr>
  </w:style>
  <w:style w:type="character" w:customStyle="1" w:styleId="CitaviBibliographySubheading7Zchn">
    <w:name w:val="Citavi Bibliography Subheading 7 Zchn"/>
    <w:basedOn w:val="BeschriftungZchn"/>
    <w:link w:val="CitaviBibliographySubheading7"/>
    <w:uiPriority w:val="99"/>
    <w:rsid w:val="00C052FB"/>
    <w:rPr>
      <w:rFonts w:eastAsiaTheme="majorEastAsia" w:cstheme="majorBidi"/>
      <w:i w:val="0"/>
      <w:iCs w:val="0"/>
      <w:color w:val="272727" w:themeColor="text1" w:themeTint="D8"/>
      <w:sz w:val="18"/>
      <w:szCs w:val="18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C052FB"/>
    <w:pPr>
      <w:outlineLvl w:val="9"/>
    </w:pPr>
    <w:rPr>
      <w:i/>
      <w:iCs/>
      <w:sz w:val="18"/>
      <w:szCs w:val="18"/>
      <w:lang w:val="en-GB"/>
    </w:rPr>
  </w:style>
  <w:style w:type="character" w:customStyle="1" w:styleId="CitaviBibliographySubheading8Zchn">
    <w:name w:val="Citavi Bibliography Subheading 8 Zchn"/>
    <w:basedOn w:val="BeschriftungZchn"/>
    <w:link w:val="CitaviBibliographySubheading8"/>
    <w:uiPriority w:val="99"/>
    <w:rsid w:val="00C052FB"/>
    <w:rPr>
      <w:rFonts w:eastAsiaTheme="majorEastAsia" w:cstheme="majorBidi"/>
      <w:i/>
      <w:iCs/>
      <w:color w:val="272727" w:themeColor="text1" w:themeTint="D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F2ACF-87FC-45AD-B857-7644E27D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KL RHRK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Lizenz</dc:creator>
  <cp:keywords/>
  <dc:description/>
  <cp:lastModifiedBy>Katharina Oehlenschläger</cp:lastModifiedBy>
  <cp:revision>2</cp:revision>
  <dcterms:created xsi:type="dcterms:W3CDTF">2026-07-01T09:01:00Z</dcterms:created>
  <dcterms:modified xsi:type="dcterms:W3CDTF">2026-07-01T09:01:00Z</dcterms:modified>
</cp:coreProperties>
</file>