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Table S1. </w:t>
      </w:r>
      <w:r>
        <w:rPr>
          <w:rFonts w:ascii="Times New Roman" w:hAnsi="Times New Roman" w:cs="Times New Roman"/>
          <w:sz w:val="18"/>
          <w:szCs w:val="18"/>
        </w:rPr>
        <w:t xml:space="preserve">Main characteristics of studies on Lin28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(</w:t>
      </w:r>
      <w:r>
        <w:rPr>
          <w:rFonts w:ascii="Times New Roman" w:hAnsi="Times New Roman" w:eastAsia="Arial Unicode MS" w:cs="Times New Roman"/>
          <w:sz w:val="18"/>
          <w:szCs w:val="18"/>
        </w:rPr>
        <w:t>Lin28A</w:t>
      </w:r>
      <w:r>
        <w:rPr>
          <w:rFonts w:hint="eastAsia" w:ascii="Times New Roman" w:hAnsi="Times New Roman" w:eastAsia="Arial Unicode MS" w:cs="Times New Roman"/>
          <w:sz w:val="18"/>
          <w:szCs w:val="18"/>
          <w:lang w:val="en-US" w:eastAsia="zh-CN"/>
        </w:rPr>
        <w:t>)</w:t>
      </w:r>
      <w:bookmarkStart w:id="0" w:name="_GoBack"/>
      <w:bookmarkEnd w:id="0"/>
      <w:r>
        <w:rPr>
          <w:rFonts w:ascii="Times New Roman" w:hAnsi="Times New Roman" w:eastAsia="Arial Unicode MS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and cancer prognosis</w:t>
      </w:r>
    </w:p>
    <w:tbl>
      <w:tblPr>
        <w:tblStyle w:val="7"/>
        <w:tblW w:w="830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491"/>
        <w:gridCol w:w="1441"/>
        <w:gridCol w:w="1244"/>
        <w:gridCol w:w="1290"/>
        <w:gridCol w:w="1346"/>
        <w:gridCol w:w="131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0" w:type="dxa"/>
            <w:gridSpan w:val="2"/>
            <w:tcBorders>
              <w:top w:val="single" w:color="auto" w:sz="4" w:space="0"/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color="auto" w:sz="4" w:space="0"/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color="auto" w:sz="4" w:space="0"/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61" w:type="dxa"/>
            <w:gridSpan w:val="2"/>
            <w:tcBorders>
              <w:top w:val="single" w:color="auto" w:sz="4" w:space="0"/>
              <w:bottom w:val="nil"/>
            </w:tcBorders>
          </w:tcPr>
          <w:p>
            <w:pPr>
              <w:rPr>
                <w:rFonts w:ascii="Times New Roman" w:hAnsi="Times New Roman" w:eastAsia="SimSu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 (95% CI)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tcBorders>
              <w:top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First author</w:t>
            </w:r>
          </w:p>
        </w:tc>
        <w:tc>
          <w:tcPr>
            <w:tcW w:w="1932" w:type="dxa"/>
            <w:gridSpan w:val="2"/>
            <w:tcBorders>
              <w:top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Cut-off value</w:t>
            </w:r>
          </w:p>
        </w:tc>
        <w:tc>
          <w:tcPr>
            <w:tcW w:w="1244" w:type="dxa"/>
            <w:tcBorders>
              <w:top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Source of HR</w:t>
            </w:r>
          </w:p>
        </w:tc>
        <w:tc>
          <w:tcPr>
            <w:tcW w:w="1290" w:type="dxa"/>
            <w:tcBorders>
              <w:top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follow-up, month</w:t>
            </w:r>
          </w:p>
        </w:tc>
        <w:tc>
          <w:tcPr>
            <w:tcW w:w="1346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SimSu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OS</w:t>
            </w:r>
          </w:p>
        </w:tc>
        <w:tc>
          <w:tcPr>
            <w:tcW w:w="1315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SimSu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RFS/DFS/PFS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Hsu, 2015</w:t>
            </w:r>
          </w:p>
        </w:tc>
        <w:tc>
          <w:tcPr>
            <w:tcW w:w="193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244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290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39.0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46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15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0.760 (0.480, 1.180)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Tu, 2015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1.524 (1.009, 2.301)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Faria, 2015 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0.710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0.790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0.440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0.230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0.830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Qin, 2014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 (++ and +++)/low (+ and -)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Reproted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1.874 (1.085, 3.237)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1.798 (1.040, 3.110)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Wang, 2014 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Positive and Negative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mean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1.790 (1.230, 2.620)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1.417 (1.016, 1.976)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Liu, 2013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Positive and Negative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1.624 (0.795, 3.317)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Xu, 2013 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Score ≥2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42.4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1.768 (1.077, 2.903)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Yin, 2013 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X-tile program, X=4.2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1.188 (0.572, 2.464)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1.360 (0.692, 2.672)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Ma, 2013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668.16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mean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2.058 (1.000, 4.239)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3.027 (1.004, 9.127)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Wu, 2013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1.033 (0.704, 1.515)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1.304 (0.816, 2.083)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Feng, 2012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&lt;3098, 3098~4446, &gt;4446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106.0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1.640 (1.070, 2.510)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Hamano, 2012 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32.7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1.810 (1.151, 2.845)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2.064 (1.318, 3.232)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Qiu, 2012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Positive and Negative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Reproted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7.039 (1.427, 34.724)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5.518 (1.738, 17.520)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Rodini, 2012 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Five-fold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3.561 (0.473, 26.801)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Korshunov, 2012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Positive and Negative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10.048 (6.756, 14.944)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  <w:vAlign w:val="center"/>
          </w:tcPr>
          <w:p>
            <w:pPr>
              <w:rPr>
                <w:rFonts w:ascii="Times New Roman" w:hAnsi="Times New Roman" w:eastAsia="SimSu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Kim, 2011</w:t>
            </w:r>
          </w:p>
        </w:tc>
        <w:tc>
          <w:tcPr>
            <w:tcW w:w="1932" w:type="dxa"/>
            <w:gridSpan w:val="2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Positive and Negative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Reproted</w:t>
            </w:r>
          </w:p>
        </w:tc>
        <w:tc>
          <w:tcPr>
            <w:tcW w:w="1290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46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1.760 (0.570, 5.390)</w:t>
            </w:r>
          </w:p>
        </w:tc>
        <w:tc>
          <w:tcPr>
            <w:tcW w:w="1315" w:type="dxa"/>
            <w:vAlign w:val="center"/>
          </w:tcPr>
          <w:p>
            <w:pPr>
              <w:rPr>
                <w:rFonts w:ascii="Times New Roman" w:hAnsi="Times New Roman" w:eastAsia="SimSu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1.040 (0.360, 2.940)</w:t>
            </w:r>
          </w:p>
        </w:tc>
      </w:tr>
    </w:tbl>
    <w:p>
      <w:pPr>
        <w:rPr>
          <w:rFonts w:hint="eastAsia"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HR, hazard ratio; CI, confidence intervals; SC, data extracted from survival curve; OS, overall survival; DFS, disease-free survival; RFS, recurrence-free survival; PFS, progression-free survival.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dobe Heiti Std R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Adobe Heiti Std R">
    <w:panose1 w:val="020B0400000000000000"/>
    <w:charset w:val="86"/>
    <w:family w:val="auto"/>
    <w:pitch w:val="default"/>
    <w:sig w:usb0="00000001" w:usb1="0A0F181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68"/>
    <w:rsid w:val="00382F66"/>
    <w:rsid w:val="004F669F"/>
    <w:rsid w:val="00500B9E"/>
    <w:rsid w:val="00C420AB"/>
    <w:rsid w:val="00C84A68"/>
    <w:rsid w:val="61DE24F2"/>
    <w:rsid w:val="672F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SimHei" w:asciiTheme="majorHAnsi" w:hAnsiTheme="majorHAnsi" w:cstheme="majorBidi"/>
      <w:sz w:val="20"/>
      <w:szCs w:val="20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5"/>
    <w:link w:val="4"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1348</Characters>
  <Lines>11</Lines>
  <Paragraphs>3</Paragraphs>
  <TotalTime>2</TotalTime>
  <ScaleCrop>false</ScaleCrop>
  <LinksUpToDate>false</LinksUpToDate>
  <CharactersWithSpaces>1581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2017-08-27T10:10:00Z</dcterms:created>
  <dc:creator>mck</dc:creator>
  <cp:lastModifiedBy>JIAYIZHANG</cp:lastModifiedBy>
  <dcterms:modified xsi:type="dcterms:W3CDTF">2019-01-13T23:27:25Z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