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2DB4" w:rsidRPr="00686BEE" w:rsidRDefault="002C2DB4" w:rsidP="002C2DB4">
      <w:pPr>
        <w:pStyle w:val="a8"/>
        <w:keepNext/>
        <w:rPr>
          <w:rFonts w:ascii="Times New Roman" w:hAnsi="Times New Roman" w:cs="Times New Roman"/>
          <w:sz w:val="18"/>
          <w:szCs w:val="18"/>
        </w:rPr>
      </w:pPr>
      <w:r w:rsidRPr="00686BEE">
        <w:rPr>
          <w:rFonts w:ascii="Times New Roman" w:hAnsi="Times New Roman" w:cs="Times New Roman"/>
          <w:b/>
          <w:sz w:val="18"/>
          <w:szCs w:val="18"/>
        </w:rPr>
        <w:t>Table S2.</w:t>
      </w:r>
      <w:r w:rsidRPr="00686BEE">
        <w:rPr>
          <w:rFonts w:ascii="Times New Roman" w:hAnsi="Times New Roman" w:cs="Times New Roman"/>
          <w:sz w:val="18"/>
          <w:szCs w:val="18"/>
        </w:rPr>
        <w:t xml:space="preserve"> Main characteristics of studies on Lin28B and cancer prognosis</w:t>
      </w:r>
    </w:p>
    <w:p w:rsidR="002C2DB4" w:rsidRPr="00686BEE" w:rsidRDefault="002C2DB4" w:rsidP="002C2DB4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2"/>
        <w:gridCol w:w="1303"/>
        <w:gridCol w:w="1391"/>
        <w:gridCol w:w="1480"/>
        <w:gridCol w:w="1264"/>
        <w:gridCol w:w="1496"/>
      </w:tblGrid>
      <w:tr w:rsidR="002C2DB4" w:rsidRPr="00686BEE" w:rsidTr="00F965CB">
        <w:tc>
          <w:tcPr>
            <w:tcW w:w="1376" w:type="dxa"/>
            <w:tcBorders>
              <w:top w:val="single" w:sz="4" w:space="0" w:color="auto"/>
              <w:bottom w:val="nil"/>
            </w:tcBorders>
          </w:tcPr>
          <w:p w:rsidR="002C2DB4" w:rsidRPr="00686BEE" w:rsidRDefault="002C2DB4" w:rsidP="00F965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8" w:type="dxa"/>
            <w:tcBorders>
              <w:top w:val="single" w:sz="4" w:space="0" w:color="auto"/>
              <w:bottom w:val="nil"/>
            </w:tcBorders>
          </w:tcPr>
          <w:p w:rsidR="002C2DB4" w:rsidRPr="00686BEE" w:rsidRDefault="002C2DB4" w:rsidP="00F965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6" w:type="dxa"/>
            <w:tcBorders>
              <w:top w:val="single" w:sz="4" w:space="0" w:color="auto"/>
              <w:bottom w:val="nil"/>
            </w:tcBorders>
          </w:tcPr>
          <w:p w:rsidR="002C2DB4" w:rsidRPr="00686BEE" w:rsidRDefault="002C2DB4" w:rsidP="00F965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85" w:type="dxa"/>
            <w:tcBorders>
              <w:top w:val="single" w:sz="4" w:space="0" w:color="auto"/>
              <w:bottom w:val="nil"/>
            </w:tcBorders>
          </w:tcPr>
          <w:p w:rsidR="002C2DB4" w:rsidRPr="00686BEE" w:rsidRDefault="002C2DB4" w:rsidP="00F965C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bottom w:val="nil"/>
            </w:tcBorders>
          </w:tcPr>
          <w:p w:rsidR="002C2DB4" w:rsidRPr="00686BEE" w:rsidRDefault="002C2DB4" w:rsidP="00F965C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HR (95% CI)</w:t>
            </w:r>
          </w:p>
        </w:tc>
      </w:tr>
      <w:tr w:rsidR="002C2DB4" w:rsidRPr="00686BEE" w:rsidTr="00F965CB">
        <w:tc>
          <w:tcPr>
            <w:tcW w:w="1376" w:type="dxa"/>
            <w:tcBorders>
              <w:top w:val="nil"/>
              <w:bottom w:val="single" w:sz="4" w:space="0" w:color="auto"/>
            </w:tcBorders>
          </w:tcPr>
          <w:p w:rsidR="002C2DB4" w:rsidRPr="00686BEE" w:rsidRDefault="002C2DB4" w:rsidP="00F965C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/>
                <w:sz w:val="18"/>
                <w:szCs w:val="18"/>
              </w:rPr>
              <w:t>First author</w:t>
            </w:r>
          </w:p>
        </w:tc>
        <w:tc>
          <w:tcPr>
            <w:tcW w:w="1308" w:type="dxa"/>
            <w:tcBorders>
              <w:top w:val="nil"/>
              <w:bottom w:val="single" w:sz="4" w:space="0" w:color="auto"/>
            </w:tcBorders>
          </w:tcPr>
          <w:p w:rsidR="002C2DB4" w:rsidRPr="00686BEE" w:rsidRDefault="002C2DB4" w:rsidP="00F965C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/>
                <w:sz w:val="18"/>
                <w:szCs w:val="18"/>
              </w:rPr>
              <w:t>Cut-off value</w:t>
            </w:r>
          </w:p>
        </w:tc>
        <w:tc>
          <w:tcPr>
            <w:tcW w:w="1396" w:type="dxa"/>
            <w:tcBorders>
              <w:top w:val="nil"/>
              <w:bottom w:val="single" w:sz="4" w:space="0" w:color="auto"/>
            </w:tcBorders>
          </w:tcPr>
          <w:p w:rsidR="002C2DB4" w:rsidRPr="00686BEE" w:rsidRDefault="002C2DB4" w:rsidP="00F965C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/>
                <w:sz w:val="18"/>
                <w:szCs w:val="18"/>
              </w:rPr>
              <w:t>Source of HR</w:t>
            </w:r>
          </w:p>
        </w:tc>
        <w:tc>
          <w:tcPr>
            <w:tcW w:w="1485" w:type="dxa"/>
            <w:tcBorders>
              <w:top w:val="nil"/>
              <w:bottom w:val="single" w:sz="4" w:space="0" w:color="auto"/>
            </w:tcBorders>
          </w:tcPr>
          <w:p w:rsidR="002C2DB4" w:rsidRPr="00686BEE" w:rsidRDefault="002C2DB4" w:rsidP="00F965C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/>
                <w:sz w:val="18"/>
                <w:szCs w:val="18"/>
              </w:rPr>
              <w:t>follow-up, month</w:t>
            </w:r>
          </w:p>
        </w:tc>
        <w:tc>
          <w:tcPr>
            <w:tcW w:w="1268" w:type="dxa"/>
            <w:tcBorders>
              <w:top w:val="nil"/>
              <w:bottom w:val="single" w:sz="4" w:space="0" w:color="auto"/>
            </w:tcBorders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OS</w:t>
            </w:r>
          </w:p>
        </w:tc>
        <w:tc>
          <w:tcPr>
            <w:tcW w:w="1498" w:type="dxa"/>
            <w:tcBorders>
              <w:top w:val="nil"/>
              <w:bottom w:val="single" w:sz="4" w:space="0" w:color="auto"/>
            </w:tcBorders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RFS/DFS/PFS</w:t>
            </w:r>
          </w:p>
        </w:tc>
      </w:tr>
      <w:tr w:rsidR="002C2DB4" w:rsidRPr="00686BEE" w:rsidTr="00F965CB">
        <w:tc>
          <w:tcPr>
            <w:tcW w:w="1376" w:type="dxa"/>
            <w:tcBorders>
              <w:top w:val="single" w:sz="4" w:space="0" w:color="auto"/>
            </w:tcBorders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>Hsu, 2015</w:t>
            </w:r>
          </w:p>
        </w:tc>
        <w:tc>
          <w:tcPr>
            <w:tcW w:w="1308" w:type="dxa"/>
            <w:tcBorders>
              <w:top w:val="single" w:sz="4" w:space="0" w:color="auto"/>
            </w:tcBorders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396" w:type="dxa"/>
            <w:tcBorders>
              <w:top w:val="single" w:sz="4" w:space="0" w:color="auto"/>
            </w:tcBorders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485" w:type="dxa"/>
            <w:tcBorders>
              <w:top w:val="single" w:sz="4" w:space="0" w:color="auto"/>
            </w:tcBorders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  <w:r w:rsidRPr="00686BE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268" w:type="dxa"/>
            <w:tcBorders>
              <w:top w:val="single" w:sz="4" w:space="0" w:color="auto"/>
            </w:tcBorders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1.776 (1.129, 2.793)</w:t>
            </w:r>
          </w:p>
        </w:tc>
        <w:tc>
          <w:tcPr>
            <w:tcW w:w="1498" w:type="dxa"/>
            <w:tcBorders>
              <w:top w:val="single" w:sz="4" w:space="0" w:color="auto"/>
            </w:tcBorders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1.840 (1.180, 2.860)</w:t>
            </w:r>
          </w:p>
        </w:tc>
      </w:tr>
      <w:tr w:rsidR="002C2DB4" w:rsidRPr="00686BEE" w:rsidTr="00F965CB">
        <w:tc>
          <w:tcPr>
            <w:tcW w:w="137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>Tu, 2015</w:t>
            </w:r>
          </w:p>
        </w:tc>
        <w:tc>
          <w:tcPr>
            <w:tcW w:w="130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39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485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1.192 (0.884, 1.607)</w:t>
            </w:r>
          </w:p>
        </w:tc>
        <w:tc>
          <w:tcPr>
            <w:tcW w:w="149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2C2DB4" w:rsidRPr="00686BEE" w:rsidTr="00F965CB">
        <w:tc>
          <w:tcPr>
            <w:tcW w:w="137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>Wang, 2015</w:t>
            </w:r>
          </w:p>
        </w:tc>
        <w:tc>
          <w:tcPr>
            <w:tcW w:w="130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39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485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27.4</w:t>
            </w:r>
            <w:r w:rsidRPr="00686BE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mean</w:t>
            </w:r>
          </w:p>
        </w:tc>
        <w:tc>
          <w:tcPr>
            <w:tcW w:w="126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4.905 (1.053, 22.846)</w:t>
            </w:r>
          </w:p>
        </w:tc>
        <w:tc>
          <w:tcPr>
            <w:tcW w:w="149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2C2DB4" w:rsidRPr="00686BEE" w:rsidTr="00F965CB">
        <w:tc>
          <w:tcPr>
            <w:tcW w:w="137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>Hu, 2014</w:t>
            </w:r>
          </w:p>
        </w:tc>
        <w:tc>
          <w:tcPr>
            <w:tcW w:w="130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  <w:r w:rsidRPr="00686BE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39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485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2.108 (1.142, 3.889)</w:t>
            </w:r>
          </w:p>
        </w:tc>
        <w:tc>
          <w:tcPr>
            <w:tcW w:w="149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2C2DB4" w:rsidRPr="00686BEE" w:rsidTr="00F965CB">
        <w:tc>
          <w:tcPr>
            <w:tcW w:w="137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>Pang, 2014</w:t>
            </w:r>
          </w:p>
        </w:tc>
        <w:tc>
          <w:tcPr>
            <w:tcW w:w="130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39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485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20.351 (9.023, 45.898)</w:t>
            </w:r>
          </w:p>
        </w:tc>
        <w:tc>
          <w:tcPr>
            <w:tcW w:w="149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14.203 (6.303, 32.005)</w:t>
            </w:r>
          </w:p>
        </w:tc>
      </w:tr>
      <w:tr w:rsidR="002C2DB4" w:rsidRPr="00686BEE" w:rsidTr="00F965CB">
        <w:tc>
          <w:tcPr>
            <w:tcW w:w="137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Cheng, 2013 </w:t>
            </w:r>
          </w:p>
        </w:tc>
        <w:tc>
          <w:tcPr>
            <w:tcW w:w="130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≤38CT</w:t>
            </w:r>
          </w:p>
        </w:tc>
        <w:tc>
          <w:tcPr>
            <w:tcW w:w="139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485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19.7</w:t>
            </w:r>
            <w:r w:rsidRPr="00686BE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26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49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2.248 (1.012, 4.995)</w:t>
            </w:r>
          </w:p>
        </w:tc>
      </w:tr>
      <w:tr w:rsidR="002C2DB4" w:rsidRPr="00686BEE" w:rsidTr="00F965CB">
        <w:tc>
          <w:tcPr>
            <w:tcW w:w="137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>Wu, 2013</w:t>
            </w:r>
          </w:p>
        </w:tc>
        <w:tc>
          <w:tcPr>
            <w:tcW w:w="130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4.5</w:t>
            </w:r>
            <w:r w:rsidRPr="00686BE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39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485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1.473 (1.057, 2.053)</w:t>
            </w:r>
          </w:p>
        </w:tc>
        <w:tc>
          <w:tcPr>
            <w:tcW w:w="149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1.423 (0.986, 2.052)</w:t>
            </w:r>
          </w:p>
        </w:tc>
      </w:tr>
      <w:tr w:rsidR="002C2DB4" w:rsidRPr="00686BEE" w:rsidTr="00F965CB">
        <w:tc>
          <w:tcPr>
            <w:tcW w:w="137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Diskin, 2012 </w:t>
            </w:r>
          </w:p>
        </w:tc>
        <w:tc>
          <w:tcPr>
            <w:tcW w:w="130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39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485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2.253 (0.884, 5.740)</w:t>
            </w:r>
          </w:p>
        </w:tc>
        <w:tc>
          <w:tcPr>
            <w:tcW w:w="149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NA</w:t>
            </w:r>
          </w:p>
        </w:tc>
      </w:tr>
      <w:tr w:rsidR="002C2DB4" w:rsidRPr="00686BEE" w:rsidTr="00F965CB">
        <w:tc>
          <w:tcPr>
            <w:tcW w:w="137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Hamano, 2012 </w:t>
            </w:r>
          </w:p>
        </w:tc>
        <w:tc>
          <w:tcPr>
            <w:tcW w:w="130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39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485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32.7</w:t>
            </w:r>
            <w:r w:rsidRPr="00686BE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26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3.896 (2.277, 6.667)</w:t>
            </w:r>
          </w:p>
        </w:tc>
        <w:tc>
          <w:tcPr>
            <w:tcW w:w="149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5.181 (2.315, 11.494)</w:t>
            </w:r>
          </w:p>
        </w:tc>
      </w:tr>
      <w:tr w:rsidR="002C2DB4" w:rsidRPr="00686BEE" w:rsidTr="00F965CB">
        <w:tc>
          <w:tcPr>
            <w:tcW w:w="137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>King, 2011</w:t>
            </w:r>
          </w:p>
        </w:tc>
        <w:tc>
          <w:tcPr>
            <w:tcW w:w="130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Score</w:t>
            </w:r>
          </w:p>
        </w:tc>
        <w:tc>
          <w:tcPr>
            <w:tcW w:w="139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SC</w:t>
            </w:r>
          </w:p>
        </w:tc>
        <w:tc>
          <w:tcPr>
            <w:tcW w:w="1485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eastAsia="宋体" w:hAnsi="Times New Roman" w:cs="Times New Roman"/>
                <w:sz w:val="18"/>
                <w:szCs w:val="18"/>
              </w:rPr>
              <w:t>NA</w:t>
            </w:r>
          </w:p>
        </w:tc>
        <w:tc>
          <w:tcPr>
            <w:tcW w:w="126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1.520 (1.010, 2.300)</w:t>
            </w:r>
          </w:p>
        </w:tc>
        <w:tc>
          <w:tcPr>
            <w:tcW w:w="149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3.708 (2.413, 5.697)</w:t>
            </w:r>
          </w:p>
        </w:tc>
      </w:tr>
      <w:tr w:rsidR="002C2DB4" w:rsidRPr="00686BEE" w:rsidTr="00F965CB">
        <w:tc>
          <w:tcPr>
            <w:tcW w:w="137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bCs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Lu, 2009 </w:t>
            </w:r>
          </w:p>
        </w:tc>
        <w:tc>
          <w:tcPr>
            <w:tcW w:w="130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Median</w:t>
            </w:r>
          </w:p>
        </w:tc>
        <w:tc>
          <w:tcPr>
            <w:tcW w:w="1396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Reported</w:t>
            </w:r>
          </w:p>
        </w:tc>
        <w:tc>
          <w:tcPr>
            <w:tcW w:w="1485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  <w:r w:rsidRPr="00686BEE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median</w:t>
            </w:r>
          </w:p>
        </w:tc>
        <w:tc>
          <w:tcPr>
            <w:tcW w:w="126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2.100 (1.260, 3.530)</w:t>
            </w:r>
          </w:p>
        </w:tc>
        <w:tc>
          <w:tcPr>
            <w:tcW w:w="1498" w:type="dxa"/>
            <w:vAlign w:val="center"/>
          </w:tcPr>
          <w:p w:rsidR="002C2DB4" w:rsidRPr="00686BEE" w:rsidRDefault="002C2DB4" w:rsidP="00F965CB">
            <w:pPr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686BEE">
              <w:rPr>
                <w:rFonts w:ascii="Times New Roman" w:hAnsi="Times New Roman" w:cs="Times New Roman"/>
                <w:sz w:val="18"/>
                <w:szCs w:val="18"/>
              </w:rPr>
              <w:t>2.000 (1.220, 3.290)</w:t>
            </w:r>
          </w:p>
        </w:tc>
      </w:tr>
    </w:tbl>
    <w:p w:rsidR="004F669F" w:rsidRPr="002C2DB4" w:rsidRDefault="002C2DB4">
      <w:pPr>
        <w:rPr>
          <w:rFonts w:ascii="Times New Roman" w:hAnsi="Times New Roman" w:cs="Times New Roman" w:hint="eastAsia"/>
          <w:sz w:val="18"/>
          <w:szCs w:val="18"/>
        </w:rPr>
      </w:pPr>
      <w:r w:rsidRPr="00686BEE">
        <w:rPr>
          <w:rFonts w:ascii="Times New Roman" w:hAnsi="Times New Roman" w:cs="Times New Roman"/>
          <w:sz w:val="18"/>
          <w:szCs w:val="18"/>
        </w:rPr>
        <w:t>HR, hazard ratio; CI, confidence intervals; SC, data extracted from survival curve; OS, overall survival; DFS, disease-free survival; RFS, recurrence-free survival; P</w:t>
      </w:r>
      <w:r>
        <w:rPr>
          <w:rFonts w:ascii="Times New Roman" w:hAnsi="Times New Roman" w:cs="Times New Roman"/>
          <w:sz w:val="18"/>
          <w:szCs w:val="18"/>
        </w:rPr>
        <w:t>FS, progression-free survival.</w:t>
      </w:r>
      <w:bookmarkStart w:id="0" w:name="_GoBack"/>
      <w:bookmarkEnd w:id="0"/>
    </w:p>
    <w:sectPr w:rsidR="004F669F" w:rsidRPr="002C2DB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3B5" w:rsidRDefault="009063B5" w:rsidP="002C2DB4">
      <w:r>
        <w:separator/>
      </w:r>
    </w:p>
  </w:endnote>
  <w:endnote w:type="continuationSeparator" w:id="0">
    <w:p w:rsidR="009063B5" w:rsidRDefault="009063B5" w:rsidP="002C2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3B5" w:rsidRDefault="009063B5" w:rsidP="002C2DB4">
      <w:r>
        <w:separator/>
      </w:r>
    </w:p>
  </w:footnote>
  <w:footnote w:type="continuationSeparator" w:id="0">
    <w:p w:rsidR="009063B5" w:rsidRDefault="009063B5" w:rsidP="002C2D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607"/>
    <w:rsid w:val="002C2DB4"/>
    <w:rsid w:val="00382F66"/>
    <w:rsid w:val="004F669F"/>
    <w:rsid w:val="008A6607"/>
    <w:rsid w:val="0090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BEB777"/>
  <w15:chartTrackingRefBased/>
  <w15:docId w15:val="{D9DF9647-B105-4C80-B7B7-FF031CD1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2DB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D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C2DB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C2D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C2DB4"/>
    <w:rPr>
      <w:sz w:val="18"/>
      <w:szCs w:val="18"/>
    </w:rPr>
  </w:style>
  <w:style w:type="table" w:styleId="a7">
    <w:name w:val="Table Grid"/>
    <w:basedOn w:val="a1"/>
    <w:uiPriority w:val="59"/>
    <w:rsid w:val="002C2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uiPriority w:val="35"/>
    <w:unhideWhenUsed/>
    <w:qFormat/>
    <w:rsid w:val="002C2DB4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mck</dc:creator>
  <cp:keywords/>
  <dc:description/>
  <cp:lastModifiedBy>mck</cp:lastModifiedBy>
  <cp:revision>2</cp:revision>
  <dcterms:created xsi:type="dcterms:W3CDTF">2017-08-27T10:11:00Z</dcterms:created>
  <dcterms:modified xsi:type="dcterms:W3CDTF">2017-08-27T10:13:00Z</dcterms:modified>
</cp:coreProperties>
</file>