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D75" w:rsidRDefault="007F2D75" w:rsidP="007F2D75">
      <w:pPr>
        <w:spacing w:line="360" w:lineRule="auto"/>
        <w:rPr>
          <w:rFonts w:ascii="Times New Roman" w:hAnsi="Times New Roman" w:cs="Times New Roman" w:hint="eastAsia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5274310" cy="5274310"/>
            <wp:effectExtent l="0" t="0" r="2540" b="2540"/>
            <wp:docPr id="1" name="图片 1" descr="D:\后台存储\科研\2 论文\修回中\Establishment of a novel cell cycle-related prognostic signature predicting prognosis in patients with endometrial cancer\CCI修回\Figure S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后台存储\科研\2 论文\修回中\Establishment of a novel cell cycle-related prognostic signature predicting prognosis in patients with endometrial cancer\CCI修回\Figure S9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2D75" w:rsidRPr="00F81478" w:rsidRDefault="007F2D75" w:rsidP="007F2D7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F81478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9</w:t>
      </w:r>
      <w:r w:rsidRPr="00F814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81478">
        <w:rPr>
          <w:rFonts w:ascii="Times New Roman" w:hAnsi="Times New Roman" w:cs="Times New Roman"/>
          <w:sz w:val="24"/>
          <w:szCs w:val="24"/>
        </w:rPr>
        <w:t>Kaplan-Meier curves of the EZH2, HMGB3, NOTCH2 and ODF2. The yellow line indicates samples with highly expressed genes (above best-separation value), and the green line designates the samples with lowly expressed genes (below best-separation value)</w:t>
      </w:r>
    </w:p>
    <w:p w:rsidR="00D34D6B" w:rsidRDefault="00D34D6B"/>
    <w:sectPr w:rsidR="00D34D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C15"/>
    <w:rsid w:val="00431C15"/>
    <w:rsid w:val="007F2D75"/>
    <w:rsid w:val="00D3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D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F2D7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F2D7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D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F2D7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F2D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2</cp:revision>
  <dcterms:created xsi:type="dcterms:W3CDTF">2020-06-18T04:41:00Z</dcterms:created>
  <dcterms:modified xsi:type="dcterms:W3CDTF">2020-06-18T04:41:00Z</dcterms:modified>
</cp:coreProperties>
</file>