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04" w:rsidRDefault="00BB7A04" w:rsidP="00BB7A04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274310" cy="4792910"/>
            <wp:effectExtent l="0" t="0" r="2540" b="8255"/>
            <wp:docPr id="1" name="图片 1" descr="D:\后台存储\科研\2 论文\修回中\Establishment of a novel cell cycle-related prognostic signature predicting prognosis in patients with endometrial cancer\CCI修回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A04" w:rsidRPr="00F81478" w:rsidRDefault="00BB7A04" w:rsidP="00BB7A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1478">
        <w:rPr>
          <w:rFonts w:ascii="Times New Roman" w:hAnsi="Times New Roman" w:cs="Times New Roman"/>
          <w:b/>
          <w:bCs/>
          <w:sz w:val="24"/>
          <w:szCs w:val="24"/>
        </w:rPr>
        <w:t>Figure S5</w:t>
      </w:r>
      <w:r w:rsidRPr="00F81478">
        <w:rPr>
          <w:rFonts w:ascii="Times New Roman" w:hAnsi="Times New Roman" w:cs="Times New Roman"/>
          <w:sz w:val="24"/>
          <w:szCs w:val="24"/>
        </w:rPr>
        <w:t xml:space="preserve"> Survival time of patients in high-risk and low-risk group of different subgroups. (A) endometrioid subgroup, (B) grade G1&amp;G2 subgroup, (C) grade G3&amp;G4 subgroup, (D) stage III &amp; stage IV subgroup, (E) tumor free subgroup, (F) age&gt;60 subgroup, (G) age≤60 subgroup.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0A"/>
    <w:rsid w:val="00BB7A04"/>
    <w:rsid w:val="00C6500A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7A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7A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7A0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7A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2020-06-18T04:39:00Z</dcterms:created>
  <dcterms:modified xsi:type="dcterms:W3CDTF">2020-06-18T04:40:00Z</dcterms:modified>
</cp:coreProperties>
</file>