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E48" w:rsidRDefault="00470E48" w:rsidP="00470E4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4810760" cy="4253865"/>
            <wp:effectExtent l="0" t="0" r="8890" b="0"/>
            <wp:docPr id="1" name="图片 1" descr="D:\后台存储\科研\2 论文\修回中\Establishment of a novel cell cycle-related prognostic signature predicting prognosis in patients with endometrial cancer\CCI修回\Figure 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后台存储\科研\2 论文\修回中\Establishment of a novel cell cycle-related prognostic signature predicting prognosis in patients with endometrial cancer\CCI修回\Figure S7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425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E48" w:rsidRPr="00F81478" w:rsidRDefault="00470E48" w:rsidP="00470E4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1478">
        <w:rPr>
          <w:rFonts w:ascii="Times New Roman" w:hAnsi="Times New Roman" w:cs="Times New Roman"/>
          <w:b/>
          <w:bCs/>
          <w:sz w:val="24"/>
          <w:szCs w:val="24"/>
        </w:rPr>
        <w:t xml:space="preserve">Figure S7 </w:t>
      </w:r>
      <w:r w:rsidRPr="00F81478">
        <w:rPr>
          <w:rFonts w:ascii="Times New Roman" w:hAnsi="Times New Roman" w:cs="Times New Roman"/>
          <w:sz w:val="24"/>
          <w:szCs w:val="24"/>
        </w:rPr>
        <w:t xml:space="preserve">The gene mutation overview of 5 prognostic cell cycle-related genes in </w:t>
      </w:r>
      <w:r w:rsidR="00F913D6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Pr="00F81478">
        <w:rPr>
          <w:rFonts w:ascii="Times New Roman" w:hAnsi="Times New Roman" w:cs="Times New Roman"/>
          <w:sz w:val="24"/>
          <w:szCs w:val="24"/>
        </w:rPr>
        <w:t xml:space="preserve">TCGA </w:t>
      </w:r>
      <w:r>
        <w:rPr>
          <w:rFonts w:ascii="Times New Roman" w:hAnsi="Times New Roman" w:cs="Times New Roman" w:hint="eastAsia"/>
          <w:sz w:val="24"/>
          <w:szCs w:val="24"/>
        </w:rPr>
        <w:t>EnCa</w:t>
      </w:r>
      <w:r w:rsidRPr="00F81478">
        <w:rPr>
          <w:rFonts w:ascii="Times New Roman" w:hAnsi="Times New Roman" w:cs="Times New Roman"/>
          <w:sz w:val="24"/>
          <w:szCs w:val="24"/>
        </w:rPr>
        <w:t xml:space="preserve"> patients. (A) Five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genes were altered in 89 (16%) of the 547 patients/548 samples.</w:t>
      </w:r>
      <w:r w:rsidRPr="00F814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478">
        <w:rPr>
          <w:rFonts w:ascii="Times New Roman" w:hAnsi="Times New Roman" w:cs="Times New Roman"/>
          <w:sz w:val="24"/>
          <w:szCs w:val="24"/>
        </w:rPr>
        <w:t>(B) The summary of mutation type</w:t>
      </w:r>
      <w:r w:rsidR="00F913D6">
        <w:rPr>
          <w:rFonts w:ascii="Times New Roman" w:hAnsi="Times New Roman" w:cs="Times New Roman"/>
          <w:sz w:val="24"/>
          <w:szCs w:val="24"/>
        </w:rPr>
        <w:t>s</w:t>
      </w:r>
      <w:r w:rsidRPr="00F81478">
        <w:rPr>
          <w:rFonts w:ascii="Times New Roman" w:hAnsi="Times New Roman" w:cs="Times New Roman"/>
          <w:sz w:val="24"/>
          <w:szCs w:val="24"/>
        </w:rPr>
        <w:t xml:space="preserve"> of 5 genes in </w:t>
      </w:r>
      <w:r>
        <w:rPr>
          <w:rFonts w:ascii="Times New Roman" w:hAnsi="Times New Roman" w:cs="Times New Roman" w:hint="eastAsia"/>
          <w:sz w:val="24"/>
          <w:szCs w:val="24"/>
        </w:rPr>
        <w:t>EnCa</w:t>
      </w:r>
      <w:r w:rsidRPr="00F81478">
        <w:rPr>
          <w:rFonts w:ascii="Times New Roman" w:hAnsi="Times New Roman" w:cs="Times New Roman"/>
          <w:sz w:val="24"/>
          <w:szCs w:val="24"/>
        </w:rPr>
        <w:t xml:space="preserve"> patients. </w:t>
      </w:r>
    </w:p>
    <w:p w:rsidR="00D34D6B" w:rsidRDefault="00D34D6B"/>
    <w:sectPr w:rsidR="00D34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9F1"/>
    <w:rsid w:val="00470E48"/>
    <w:rsid w:val="007309F1"/>
    <w:rsid w:val="00D34D6B"/>
    <w:rsid w:val="00F9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36C5BF-CEED-4E6F-A5AE-1667D7189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E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70E4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70E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Jie Mei</cp:lastModifiedBy>
  <cp:revision>4</cp:revision>
  <dcterms:created xsi:type="dcterms:W3CDTF">2020-06-18T04:40:00Z</dcterms:created>
  <dcterms:modified xsi:type="dcterms:W3CDTF">2020-07-11T09:05:00Z</dcterms:modified>
</cp:coreProperties>
</file>