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 w:eastAsiaTheme="minorEastAsia"/>
          <w:b/>
          <w:bCs/>
          <w:lang w:val="en-US" w:eastAsia="zh-CN"/>
        </w:rPr>
      </w:pPr>
      <w:r>
        <w:rPr>
          <w:rFonts w:ascii="Times New Roman" w:hAnsi="Times New Roman" w:cs="Times New Roman"/>
          <w:b/>
          <w:bCs/>
        </w:rPr>
        <w:t xml:space="preserve">Supplementary 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>Material</w:t>
      </w:r>
    </w:p>
    <w:p/>
    <w:p>
      <w:r>
        <w:drawing>
          <wp:inline distT="0" distB="0" distL="0" distR="0">
            <wp:extent cx="4178300" cy="28003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7830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 figure 1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A, Dish or 3D collagen cultured BGC-823/SGC-7901 cells were collected and seeded in flask. The cell proliferation was determined using CCK-8 analysis. B, the CD133 expression of SGC-7901/BGC-823 cultured in dish or 3D collagen gels, which was determined by flow cytometry. C, relative </w:t>
      </w:r>
      <w:r>
        <w:rPr>
          <w:rFonts w:ascii="Times New Roman" w:hAnsi="Times New Roman" w:cs="Times New Roman"/>
          <w:i/>
          <w:iCs/>
        </w:rPr>
        <w:t>Nanog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i/>
          <w:iCs/>
        </w:rPr>
        <w:t>Oct4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i/>
          <w:iCs/>
        </w:rPr>
        <w:t>KlF4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i/>
          <w:iCs/>
        </w:rPr>
        <w:t>c-Myc</w:t>
      </w:r>
      <w:r>
        <w:rPr>
          <w:rFonts w:ascii="Times New Roman" w:hAnsi="Times New Roman" w:cs="Times New Roman"/>
        </w:rPr>
        <w:t xml:space="preserve"> and </w:t>
      </w:r>
      <w:r>
        <w:rPr>
          <w:rFonts w:ascii="Times New Roman" w:hAnsi="Times New Roman" w:cs="Times New Roman"/>
          <w:i/>
          <w:iCs/>
        </w:rPr>
        <w:t>SOX2</w:t>
      </w:r>
      <w:r>
        <w:rPr>
          <w:rFonts w:ascii="Times New Roman" w:hAnsi="Times New Roman" w:cs="Times New Roman"/>
        </w:rPr>
        <w:t xml:space="preserve"> expression in SGC-7901/BGC-823 cultured in dish or 3D collagen gels, which was determined by quantified real-time PCR. </w:t>
      </w:r>
    </w:p>
    <w:p>
      <w:pPr>
        <w:rPr>
          <w:rFonts w:hint="eastAsia" w:ascii="Times New Roman" w:hAnsi="Times New Roman" w:cs="Times New Roman"/>
        </w:rPr>
      </w:pPr>
    </w:p>
    <w:p>
      <w:pPr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5276850" cy="12192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</w:rPr>
        <w:t>Supplementary figure 2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A, cell viability of vector or ITGB1 knockdown BGC-823/SGC-7901. B, ITGB1 was overexpressed again in ITGB1 knockdown BGC-823/SGC-7901 cells. Then the colony formation capability was determined. C, ITGB1 was overexpressed again in ITGB1 knockdown BGC-823/SGC-7901 cells. Then cell migration was examined by transwell assay. </w:t>
      </w:r>
    </w:p>
    <w:p>
      <w:pPr>
        <w:rPr>
          <w:rFonts w:ascii="Times New Roman" w:hAnsi="Times New Roman" w:cs="Times New Roman"/>
        </w:rPr>
      </w:pPr>
    </w:p>
    <w:p>
      <w:pPr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3994150" cy="1403350"/>
            <wp:effectExtent l="0" t="0" r="6350" b="635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94150" cy="140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 figure 3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A, cell viability of vector or YBX1 knockdown BGC-823/SGC-7901. B, cell viability of vector or SPP1 knockdown BGC-823/SGC-7901.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90E"/>
    <w:rsid w:val="00155644"/>
    <w:rsid w:val="00252818"/>
    <w:rsid w:val="0048691D"/>
    <w:rsid w:val="00566486"/>
    <w:rsid w:val="005C1296"/>
    <w:rsid w:val="006A6E5C"/>
    <w:rsid w:val="0072490E"/>
    <w:rsid w:val="008A718C"/>
    <w:rsid w:val="00E33FA4"/>
    <w:rsid w:val="4FD82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148</Words>
  <Characters>847</Characters>
  <Lines>7</Lines>
  <Paragraphs>1</Paragraphs>
  <TotalTime>17</TotalTime>
  <ScaleCrop>false</ScaleCrop>
  <LinksUpToDate>false</LinksUpToDate>
  <CharactersWithSpaces>994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2021-09-27T03:05:00Z</dcterms:created>
  <dc:creator>gk</dc:creator>
  <cp:lastModifiedBy>Administrator</cp:lastModifiedBy>
  <dcterms:modified xsi:type="dcterms:W3CDTF">2021-09-28T11:44:11Z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3A1ECACEF41641888DA6B2B3E90EFF36</vt:lpwstr>
  </property>
</Properties>
</file>