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142BFC" w14:textId="77777777" w:rsidR="0056745C" w:rsidRDefault="0056745C" w:rsidP="0056745C">
      <w:pPr>
        <w:widowControl/>
        <w:spacing w:line="480" w:lineRule="auto"/>
        <w:rPr>
          <w:rFonts w:ascii="Times New Roman" w:hAnsi="Times New Roman" w:cs="Times New Roman"/>
          <w:b/>
          <w:szCs w:val="20"/>
        </w:rPr>
      </w:pPr>
      <w:r>
        <w:rPr>
          <w:rFonts w:ascii="Times New Roman" w:hAnsi="Times New Roman" w:cs="Times New Roman"/>
          <w:b/>
          <w:szCs w:val="20"/>
        </w:rPr>
        <w:t>Supplementary Table S1. Clinicohistopathologic characteristics of the tumor-free cortex and GBM tissue</w:t>
      </w:r>
    </w:p>
    <w:tbl>
      <w:tblPr>
        <w:tblW w:w="8528" w:type="dxa"/>
        <w:tblCellMar>
          <w:left w:w="99" w:type="dxa"/>
          <w:right w:w="99" w:type="dxa"/>
        </w:tblCellMar>
        <w:tblLook w:val="04A0" w:firstRow="1" w:lastRow="0" w:firstColumn="1" w:lastColumn="0" w:noHBand="0" w:noVBand="1"/>
      </w:tblPr>
      <w:tblGrid>
        <w:gridCol w:w="912"/>
        <w:gridCol w:w="3834"/>
        <w:gridCol w:w="1891"/>
        <w:gridCol w:w="1891"/>
      </w:tblGrid>
      <w:tr w:rsidR="0056745C" w:rsidRPr="00F7479B" w14:paraId="6C61FCFB" w14:textId="77777777" w:rsidTr="00351D09">
        <w:trPr>
          <w:trHeight w:val="672"/>
        </w:trPr>
        <w:tc>
          <w:tcPr>
            <w:tcW w:w="912" w:type="dxa"/>
            <w:tcBorders>
              <w:top w:val="single" w:sz="8" w:space="0" w:color="auto"/>
              <w:left w:val="nil"/>
              <w:bottom w:val="single" w:sz="8" w:space="0" w:color="auto"/>
              <w:right w:val="nil"/>
            </w:tcBorders>
            <w:shd w:val="clear" w:color="auto" w:fill="auto"/>
            <w:noWrap/>
            <w:vAlign w:val="center"/>
            <w:hideMark/>
          </w:tcPr>
          <w:p w14:paraId="5CE84381"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 xml:space="preserve">　</w:t>
            </w:r>
          </w:p>
        </w:tc>
        <w:tc>
          <w:tcPr>
            <w:tcW w:w="3834" w:type="dxa"/>
            <w:tcBorders>
              <w:top w:val="single" w:sz="8" w:space="0" w:color="auto"/>
              <w:left w:val="nil"/>
              <w:bottom w:val="single" w:sz="8" w:space="0" w:color="auto"/>
              <w:right w:val="single" w:sz="8" w:space="0" w:color="auto"/>
            </w:tcBorders>
            <w:shd w:val="clear" w:color="auto" w:fill="auto"/>
            <w:noWrap/>
            <w:vAlign w:val="center"/>
            <w:hideMark/>
          </w:tcPr>
          <w:p w14:paraId="55728780"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 xml:space="preserve">　</w:t>
            </w:r>
          </w:p>
        </w:tc>
        <w:tc>
          <w:tcPr>
            <w:tcW w:w="1891" w:type="dxa"/>
            <w:tcBorders>
              <w:top w:val="single" w:sz="8" w:space="0" w:color="auto"/>
              <w:left w:val="nil"/>
              <w:bottom w:val="single" w:sz="8" w:space="0" w:color="auto"/>
              <w:right w:val="single" w:sz="8" w:space="0" w:color="auto"/>
            </w:tcBorders>
            <w:vAlign w:val="center"/>
          </w:tcPr>
          <w:p w14:paraId="25C518F6"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Pr>
                <w:rFonts w:ascii="Times New Roman" w:eastAsia="Malgun Gothic" w:hAnsi="Times New Roman" w:cs="Times New Roman"/>
                <w:color w:val="000000"/>
                <w:kern w:val="0"/>
                <w:szCs w:val="20"/>
              </w:rPr>
              <w:t>GBM tissue</w:t>
            </w:r>
            <w:r w:rsidRPr="00F7479B">
              <w:rPr>
                <w:rFonts w:ascii="Times New Roman" w:eastAsia="Malgun Gothic" w:hAnsi="Times New Roman" w:cs="Times New Roman"/>
                <w:color w:val="000000"/>
                <w:kern w:val="0"/>
                <w:szCs w:val="20"/>
              </w:rPr>
              <w:br/>
              <w:t>(n=112)</w:t>
            </w:r>
          </w:p>
        </w:tc>
        <w:tc>
          <w:tcPr>
            <w:tcW w:w="1891" w:type="dxa"/>
            <w:tcBorders>
              <w:top w:val="single" w:sz="8" w:space="0" w:color="auto"/>
              <w:left w:val="single" w:sz="8" w:space="0" w:color="auto"/>
              <w:bottom w:val="single" w:sz="8" w:space="0" w:color="auto"/>
            </w:tcBorders>
            <w:shd w:val="clear" w:color="auto" w:fill="auto"/>
            <w:vAlign w:val="center"/>
            <w:hideMark/>
          </w:tcPr>
          <w:p w14:paraId="155B5895"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Pr>
                <w:rFonts w:ascii="Times New Roman" w:eastAsia="Malgun Gothic" w:hAnsi="Times New Roman" w:cs="Times New Roman"/>
                <w:color w:val="000000"/>
                <w:kern w:val="0"/>
                <w:szCs w:val="20"/>
              </w:rPr>
              <w:t>Tumor-free</w:t>
            </w:r>
            <w:r w:rsidRPr="00F7479B">
              <w:rPr>
                <w:rFonts w:ascii="Times New Roman" w:eastAsia="Malgun Gothic" w:hAnsi="Times New Roman" w:cs="Times New Roman"/>
                <w:color w:val="000000"/>
                <w:kern w:val="0"/>
                <w:szCs w:val="20"/>
              </w:rPr>
              <w:t xml:space="preserve"> </w:t>
            </w:r>
            <w:r>
              <w:rPr>
                <w:rFonts w:ascii="Times New Roman" w:eastAsia="Malgun Gothic" w:hAnsi="Times New Roman" w:cs="Times New Roman"/>
                <w:color w:val="000000"/>
                <w:kern w:val="0"/>
                <w:szCs w:val="20"/>
              </w:rPr>
              <w:t>c</w:t>
            </w:r>
            <w:r w:rsidRPr="00F7479B">
              <w:rPr>
                <w:rFonts w:ascii="Times New Roman" w:eastAsia="Malgun Gothic" w:hAnsi="Times New Roman" w:cs="Times New Roman"/>
                <w:color w:val="000000"/>
                <w:kern w:val="0"/>
                <w:szCs w:val="20"/>
              </w:rPr>
              <w:t xml:space="preserve">ortex </w:t>
            </w:r>
            <w:r w:rsidRPr="00F7479B">
              <w:rPr>
                <w:rFonts w:ascii="Times New Roman" w:eastAsia="Malgun Gothic" w:hAnsi="Times New Roman" w:cs="Times New Roman"/>
                <w:color w:val="000000"/>
                <w:kern w:val="0"/>
                <w:szCs w:val="20"/>
              </w:rPr>
              <w:br/>
              <w:t>(n=35)</w:t>
            </w:r>
          </w:p>
        </w:tc>
      </w:tr>
      <w:tr w:rsidR="0056745C" w:rsidRPr="00F7479B" w14:paraId="5F7C55B8" w14:textId="77777777" w:rsidTr="00351D09">
        <w:trPr>
          <w:trHeight w:val="328"/>
        </w:trPr>
        <w:tc>
          <w:tcPr>
            <w:tcW w:w="912" w:type="dxa"/>
            <w:tcBorders>
              <w:top w:val="nil"/>
              <w:left w:val="nil"/>
              <w:bottom w:val="nil"/>
              <w:right w:val="nil"/>
            </w:tcBorders>
            <w:shd w:val="clear" w:color="auto" w:fill="auto"/>
            <w:noWrap/>
            <w:vAlign w:val="center"/>
            <w:hideMark/>
          </w:tcPr>
          <w:p w14:paraId="06331383"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Age</w:t>
            </w:r>
          </w:p>
        </w:tc>
        <w:tc>
          <w:tcPr>
            <w:tcW w:w="3834" w:type="dxa"/>
            <w:tcBorders>
              <w:top w:val="nil"/>
              <w:left w:val="nil"/>
              <w:bottom w:val="nil"/>
              <w:right w:val="single" w:sz="8" w:space="0" w:color="auto"/>
            </w:tcBorders>
            <w:shd w:val="clear" w:color="auto" w:fill="auto"/>
            <w:noWrap/>
            <w:vAlign w:val="center"/>
            <w:hideMark/>
          </w:tcPr>
          <w:p w14:paraId="70803279"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 xml:space="preserve">　</w:t>
            </w:r>
          </w:p>
        </w:tc>
        <w:tc>
          <w:tcPr>
            <w:tcW w:w="1891" w:type="dxa"/>
            <w:tcBorders>
              <w:top w:val="nil"/>
              <w:left w:val="nil"/>
              <w:bottom w:val="nil"/>
              <w:right w:val="single" w:sz="8" w:space="0" w:color="auto"/>
            </w:tcBorders>
            <w:vAlign w:val="center"/>
          </w:tcPr>
          <w:p w14:paraId="011D3A68"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 xml:space="preserve">57.98 </w:t>
            </w:r>
          </w:p>
        </w:tc>
        <w:tc>
          <w:tcPr>
            <w:tcW w:w="1891" w:type="dxa"/>
            <w:tcBorders>
              <w:top w:val="nil"/>
              <w:left w:val="single" w:sz="8" w:space="0" w:color="auto"/>
              <w:bottom w:val="nil"/>
            </w:tcBorders>
            <w:shd w:val="clear" w:color="auto" w:fill="auto"/>
            <w:noWrap/>
            <w:vAlign w:val="center"/>
            <w:hideMark/>
          </w:tcPr>
          <w:p w14:paraId="5956515E"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 xml:space="preserve">51.83 </w:t>
            </w:r>
          </w:p>
        </w:tc>
      </w:tr>
      <w:tr w:rsidR="0056745C" w:rsidRPr="00F7479B" w14:paraId="101F34C3" w14:textId="77777777" w:rsidTr="00351D09">
        <w:trPr>
          <w:trHeight w:val="328"/>
        </w:trPr>
        <w:tc>
          <w:tcPr>
            <w:tcW w:w="912" w:type="dxa"/>
            <w:tcBorders>
              <w:top w:val="nil"/>
              <w:left w:val="nil"/>
              <w:bottom w:val="nil"/>
              <w:right w:val="nil"/>
            </w:tcBorders>
            <w:shd w:val="clear" w:color="auto" w:fill="auto"/>
            <w:noWrap/>
            <w:vAlign w:val="center"/>
            <w:hideMark/>
          </w:tcPr>
          <w:p w14:paraId="3FF15F97"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Sex</w:t>
            </w:r>
          </w:p>
        </w:tc>
        <w:tc>
          <w:tcPr>
            <w:tcW w:w="3834" w:type="dxa"/>
            <w:tcBorders>
              <w:top w:val="nil"/>
              <w:left w:val="nil"/>
              <w:bottom w:val="nil"/>
              <w:right w:val="single" w:sz="8" w:space="0" w:color="auto"/>
            </w:tcBorders>
            <w:shd w:val="clear" w:color="auto" w:fill="auto"/>
            <w:noWrap/>
            <w:vAlign w:val="center"/>
            <w:hideMark/>
          </w:tcPr>
          <w:p w14:paraId="29ED0557"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 xml:space="preserve">　</w:t>
            </w:r>
          </w:p>
        </w:tc>
        <w:tc>
          <w:tcPr>
            <w:tcW w:w="1891" w:type="dxa"/>
            <w:tcBorders>
              <w:top w:val="nil"/>
              <w:left w:val="nil"/>
              <w:bottom w:val="nil"/>
              <w:right w:val="single" w:sz="8" w:space="0" w:color="auto"/>
            </w:tcBorders>
            <w:vAlign w:val="center"/>
          </w:tcPr>
          <w:p w14:paraId="04F29A26"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c>
          <w:tcPr>
            <w:tcW w:w="1891" w:type="dxa"/>
            <w:tcBorders>
              <w:top w:val="nil"/>
              <w:left w:val="single" w:sz="8" w:space="0" w:color="auto"/>
              <w:bottom w:val="nil"/>
            </w:tcBorders>
            <w:shd w:val="clear" w:color="auto" w:fill="auto"/>
            <w:noWrap/>
            <w:vAlign w:val="center"/>
            <w:hideMark/>
          </w:tcPr>
          <w:p w14:paraId="6A10587A"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 xml:space="preserve">　</w:t>
            </w:r>
          </w:p>
        </w:tc>
      </w:tr>
      <w:tr w:rsidR="0056745C" w:rsidRPr="00F7479B" w14:paraId="380A10C0" w14:textId="77777777" w:rsidTr="00351D09">
        <w:trPr>
          <w:trHeight w:val="328"/>
        </w:trPr>
        <w:tc>
          <w:tcPr>
            <w:tcW w:w="912" w:type="dxa"/>
            <w:tcBorders>
              <w:top w:val="nil"/>
              <w:left w:val="nil"/>
              <w:bottom w:val="nil"/>
              <w:right w:val="nil"/>
            </w:tcBorders>
            <w:shd w:val="clear" w:color="auto" w:fill="auto"/>
            <w:noWrap/>
            <w:vAlign w:val="center"/>
            <w:hideMark/>
          </w:tcPr>
          <w:p w14:paraId="1837DAA9" w14:textId="77777777" w:rsidR="0056745C" w:rsidRPr="00F7479B" w:rsidRDefault="0056745C" w:rsidP="00351D09">
            <w:pPr>
              <w:widowControl/>
              <w:spacing w:after="0" w:line="240" w:lineRule="auto"/>
              <w:jc w:val="center"/>
              <w:rPr>
                <w:rFonts w:ascii="Times New Roman" w:eastAsia="Times New Roman" w:hAnsi="Times New Roman" w:cs="Times New Roman"/>
                <w:kern w:val="0"/>
                <w:szCs w:val="20"/>
              </w:rPr>
            </w:pPr>
          </w:p>
        </w:tc>
        <w:tc>
          <w:tcPr>
            <w:tcW w:w="3834" w:type="dxa"/>
            <w:tcBorders>
              <w:top w:val="nil"/>
              <w:left w:val="nil"/>
              <w:bottom w:val="nil"/>
              <w:right w:val="single" w:sz="8" w:space="0" w:color="auto"/>
            </w:tcBorders>
            <w:shd w:val="clear" w:color="auto" w:fill="auto"/>
            <w:noWrap/>
            <w:vAlign w:val="center"/>
            <w:hideMark/>
          </w:tcPr>
          <w:p w14:paraId="31CC3340"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Female</w:t>
            </w:r>
          </w:p>
        </w:tc>
        <w:tc>
          <w:tcPr>
            <w:tcW w:w="1891" w:type="dxa"/>
            <w:tcBorders>
              <w:top w:val="nil"/>
              <w:left w:val="nil"/>
              <w:bottom w:val="nil"/>
              <w:right w:val="single" w:sz="8" w:space="0" w:color="auto"/>
            </w:tcBorders>
            <w:vAlign w:val="center"/>
          </w:tcPr>
          <w:p w14:paraId="01D6FE63"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43 (38.39%)</w:t>
            </w:r>
          </w:p>
        </w:tc>
        <w:tc>
          <w:tcPr>
            <w:tcW w:w="1891" w:type="dxa"/>
            <w:tcBorders>
              <w:top w:val="nil"/>
              <w:left w:val="single" w:sz="8" w:space="0" w:color="auto"/>
              <w:bottom w:val="nil"/>
            </w:tcBorders>
            <w:shd w:val="clear" w:color="auto" w:fill="auto"/>
            <w:noWrap/>
            <w:vAlign w:val="center"/>
            <w:hideMark/>
          </w:tcPr>
          <w:p w14:paraId="2FE9D12A"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17 (48.57%)</w:t>
            </w:r>
          </w:p>
        </w:tc>
      </w:tr>
      <w:tr w:rsidR="0056745C" w:rsidRPr="00F7479B" w14:paraId="023577E6" w14:textId="77777777" w:rsidTr="00351D09">
        <w:trPr>
          <w:trHeight w:val="328"/>
        </w:trPr>
        <w:tc>
          <w:tcPr>
            <w:tcW w:w="912" w:type="dxa"/>
            <w:tcBorders>
              <w:top w:val="nil"/>
              <w:left w:val="nil"/>
              <w:bottom w:val="nil"/>
              <w:right w:val="nil"/>
            </w:tcBorders>
            <w:shd w:val="clear" w:color="auto" w:fill="auto"/>
            <w:noWrap/>
            <w:vAlign w:val="center"/>
            <w:hideMark/>
          </w:tcPr>
          <w:p w14:paraId="75317415"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c>
          <w:tcPr>
            <w:tcW w:w="3834" w:type="dxa"/>
            <w:tcBorders>
              <w:top w:val="nil"/>
              <w:left w:val="nil"/>
              <w:bottom w:val="nil"/>
              <w:right w:val="single" w:sz="8" w:space="0" w:color="auto"/>
            </w:tcBorders>
            <w:shd w:val="clear" w:color="auto" w:fill="auto"/>
            <w:noWrap/>
            <w:vAlign w:val="center"/>
            <w:hideMark/>
          </w:tcPr>
          <w:p w14:paraId="053F3DC6"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Male</w:t>
            </w:r>
          </w:p>
        </w:tc>
        <w:tc>
          <w:tcPr>
            <w:tcW w:w="1891" w:type="dxa"/>
            <w:tcBorders>
              <w:top w:val="nil"/>
              <w:left w:val="nil"/>
              <w:bottom w:val="nil"/>
              <w:right w:val="single" w:sz="8" w:space="0" w:color="auto"/>
            </w:tcBorders>
            <w:vAlign w:val="center"/>
          </w:tcPr>
          <w:p w14:paraId="66317705"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69 (61.61%)</w:t>
            </w:r>
          </w:p>
        </w:tc>
        <w:tc>
          <w:tcPr>
            <w:tcW w:w="1891" w:type="dxa"/>
            <w:tcBorders>
              <w:top w:val="nil"/>
              <w:left w:val="single" w:sz="8" w:space="0" w:color="auto"/>
              <w:bottom w:val="nil"/>
            </w:tcBorders>
            <w:shd w:val="clear" w:color="auto" w:fill="auto"/>
            <w:noWrap/>
            <w:vAlign w:val="center"/>
            <w:hideMark/>
          </w:tcPr>
          <w:p w14:paraId="12AFED76"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18 (51.43%)</w:t>
            </w:r>
          </w:p>
        </w:tc>
      </w:tr>
      <w:tr w:rsidR="0056745C" w:rsidRPr="00F7479B" w14:paraId="1C2A2EF1" w14:textId="77777777" w:rsidTr="00351D09">
        <w:trPr>
          <w:trHeight w:val="328"/>
        </w:trPr>
        <w:tc>
          <w:tcPr>
            <w:tcW w:w="4746" w:type="dxa"/>
            <w:gridSpan w:val="2"/>
            <w:tcBorders>
              <w:top w:val="nil"/>
              <w:left w:val="nil"/>
              <w:bottom w:val="nil"/>
              <w:right w:val="single" w:sz="8" w:space="0" w:color="000000"/>
            </w:tcBorders>
            <w:shd w:val="clear" w:color="auto" w:fill="auto"/>
            <w:noWrap/>
            <w:vAlign w:val="center"/>
            <w:hideMark/>
          </w:tcPr>
          <w:p w14:paraId="58457697"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Pr>
                <w:rFonts w:ascii="Times New Roman" w:eastAsia="Malgun Gothic" w:hAnsi="Times New Roman" w:cs="Times New Roman" w:hint="eastAsia"/>
                <w:color w:val="000000"/>
                <w:kern w:val="0"/>
                <w:szCs w:val="20"/>
              </w:rPr>
              <w:t>D</w:t>
            </w:r>
            <w:r>
              <w:rPr>
                <w:rFonts w:ascii="Times New Roman" w:eastAsia="Malgun Gothic" w:hAnsi="Times New Roman" w:cs="Times New Roman"/>
                <w:color w:val="000000"/>
                <w:kern w:val="0"/>
                <w:szCs w:val="20"/>
              </w:rPr>
              <w:t>iagnosis*</w:t>
            </w:r>
          </w:p>
        </w:tc>
        <w:tc>
          <w:tcPr>
            <w:tcW w:w="1891" w:type="dxa"/>
            <w:tcBorders>
              <w:top w:val="nil"/>
              <w:left w:val="nil"/>
              <w:bottom w:val="nil"/>
              <w:right w:val="single" w:sz="8" w:space="0" w:color="auto"/>
            </w:tcBorders>
            <w:shd w:val="clear" w:color="auto" w:fill="auto"/>
            <w:noWrap/>
            <w:vAlign w:val="center"/>
            <w:hideMark/>
          </w:tcPr>
          <w:p w14:paraId="7BE355FF"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 xml:space="preserve">　</w:t>
            </w:r>
          </w:p>
        </w:tc>
        <w:tc>
          <w:tcPr>
            <w:tcW w:w="1891" w:type="dxa"/>
            <w:tcBorders>
              <w:top w:val="nil"/>
              <w:left w:val="single" w:sz="8" w:space="0" w:color="auto"/>
              <w:bottom w:val="nil"/>
              <w:right w:val="nil"/>
            </w:tcBorders>
            <w:vAlign w:val="center"/>
          </w:tcPr>
          <w:p w14:paraId="5B6711FE"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r>
      <w:tr w:rsidR="0056745C" w:rsidRPr="00F7479B" w14:paraId="5B09C319" w14:textId="77777777" w:rsidTr="00351D09">
        <w:trPr>
          <w:trHeight w:val="328"/>
        </w:trPr>
        <w:tc>
          <w:tcPr>
            <w:tcW w:w="912" w:type="dxa"/>
            <w:tcBorders>
              <w:top w:val="nil"/>
              <w:left w:val="nil"/>
              <w:bottom w:val="nil"/>
              <w:right w:val="nil"/>
            </w:tcBorders>
            <w:shd w:val="clear" w:color="auto" w:fill="auto"/>
            <w:noWrap/>
            <w:vAlign w:val="center"/>
            <w:hideMark/>
          </w:tcPr>
          <w:p w14:paraId="19579C16" w14:textId="77777777" w:rsidR="0056745C" w:rsidRPr="00F7479B" w:rsidRDefault="0056745C" w:rsidP="00351D09">
            <w:pPr>
              <w:widowControl/>
              <w:spacing w:after="0" w:line="240" w:lineRule="auto"/>
              <w:jc w:val="center"/>
              <w:rPr>
                <w:rFonts w:ascii="Times New Roman" w:eastAsia="Times New Roman" w:hAnsi="Times New Roman" w:cs="Times New Roman"/>
                <w:kern w:val="0"/>
                <w:szCs w:val="20"/>
              </w:rPr>
            </w:pPr>
          </w:p>
        </w:tc>
        <w:tc>
          <w:tcPr>
            <w:tcW w:w="3834" w:type="dxa"/>
            <w:tcBorders>
              <w:top w:val="nil"/>
              <w:left w:val="nil"/>
              <w:bottom w:val="nil"/>
              <w:right w:val="single" w:sz="8" w:space="0" w:color="auto"/>
            </w:tcBorders>
            <w:shd w:val="clear" w:color="auto" w:fill="auto"/>
            <w:noWrap/>
            <w:vAlign w:val="center"/>
          </w:tcPr>
          <w:p w14:paraId="510BA4E0"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Pr>
                <w:rFonts w:ascii="Times New Roman" w:eastAsia="Malgun Gothic" w:hAnsi="Times New Roman" w:cs="Times New Roman"/>
                <w:color w:val="000000"/>
                <w:kern w:val="0"/>
                <w:szCs w:val="20"/>
              </w:rPr>
              <w:t>GBM</w:t>
            </w:r>
          </w:p>
        </w:tc>
        <w:tc>
          <w:tcPr>
            <w:tcW w:w="1891" w:type="dxa"/>
            <w:tcBorders>
              <w:top w:val="nil"/>
              <w:left w:val="nil"/>
              <w:bottom w:val="nil"/>
              <w:right w:val="single" w:sz="8" w:space="0" w:color="auto"/>
            </w:tcBorders>
            <w:vAlign w:val="center"/>
          </w:tcPr>
          <w:p w14:paraId="46C0F7A5"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112 (100%)</w:t>
            </w:r>
          </w:p>
        </w:tc>
        <w:tc>
          <w:tcPr>
            <w:tcW w:w="1891" w:type="dxa"/>
            <w:tcBorders>
              <w:top w:val="nil"/>
              <w:left w:val="single" w:sz="8" w:space="0" w:color="auto"/>
              <w:bottom w:val="nil"/>
            </w:tcBorders>
            <w:shd w:val="clear" w:color="auto" w:fill="auto"/>
            <w:noWrap/>
            <w:vAlign w:val="center"/>
            <w:hideMark/>
          </w:tcPr>
          <w:p w14:paraId="73E95FB6"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22 (62.86%)</w:t>
            </w:r>
          </w:p>
        </w:tc>
      </w:tr>
      <w:tr w:rsidR="0056745C" w:rsidRPr="00F7479B" w14:paraId="03D7DCB0" w14:textId="77777777" w:rsidTr="00351D09">
        <w:trPr>
          <w:trHeight w:val="328"/>
        </w:trPr>
        <w:tc>
          <w:tcPr>
            <w:tcW w:w="912" w:type="dxa"/>
            <w:tcBorders>
              <w:top w:val="nil"/>
              <w:left w:val="nil"/>
              <w:bottom w:val="nil"/>
              <w:right w:val="nil"/>
            </w:tcBorders>
            <w:shd w:val="clear" w:color="auto" w:fill="auto"/>
            <w:noWrap/>
            <w:vAlign w:val="center"/>
            <w:hideMark/>
          </w:tcPr>
          <w:p w14:paraId="208E8B32"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c>
          <w:tcPr>
            <w:tcW w:w="3834" w:type="dxa"/>
            <w:tcBorders>
              <w:top w:val="nil"/>
              <w:left w:val="nil"/>
              <w:bottom w:val="nil"/>
              <w:right w:val="single" w:sz="8" w:space="0" w:color="auto"/>
            </w:tcBorders>
            <w:shd w:val="clear" w:color="auto" w:fill="auto"/>
            <w:noWrap/>
            <w:vAlign w:val="center"/>
          </w:tcPr>
          <w:p w14:paraId="177ED356"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Pr>
                <w:rFonts w:ascii="Times New Roman" w:eastAsia="Malgun Gothic" w:hAnsi="Times New Roman" w:cs="Times New Roman"/>
                <w:color w:val="000000"/>
                <w:kern w:val="0"/>
                <w:szCs w:val="20"/>
              </w:rPr>
              <w:t>Others</w:t>
            </w:r>
          </w:p>
        </w:tc>
        <w:tc>
          <w:tcPr>
            <w:tcW w:w="1891" w:type="dxa"/>
            <w:tcBorders>
              <w:top w:val="nil"/>
              <w:left w:val="nil"/>
              <w:bottom w:val="nil"/>
              <w:right w:val="single" w:sz="8" w:space="0" w:color="auto"/>
            </w:tcBorders>
            <w:vAlign w:val="center"/>
          </w:tcPr>
          <w:p w14:paraId="777E395E"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0 (0%)</w:t>
            </w:r>
          </w:p>
        </w:tc>
        <w:tc>
          <w:tcPr>
            <w:tcW w:w="1891" w:type="dxa"/>
            <w:tcBorders>
              <w:top w:val="nil"/>
              <w:left w:val="single" w:sz="8" w:space="0" w:color="auto"/>
              <w:bottom w:val="nil"/>
            </w:tcBorders>
            <w:shd w:val="clear" w:color="auto" w:fill="auto"/>
            <w:noWrap/>
            <w:vAlign w:val="center"/>
            <w:hideMark/>
          </w:tcPr>
          <w:p w14:paraId="406BD504"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Pr>
                <w:rFonts w:ascii="Times New Roman" w:eastAsia="Malgun Gothic" w:hAnsi="Times New Roman" w:cs="Times New Roman"/>
                <w:color w:val="000000"/>
                <w:kern w:val="0"/>
                <w:szCs w:val="20"/>
              </w:rPr>
              <w:t>1</w:t>
            </w:r>
            <w:r w:rsidRPr="00F7479B">
              <w:rPr>
                <w:rFonts w:ascii="Times New Roman" w:eastAsia="Malgun Gothic" w:hAnsi="Times New Roman" w:cs="Times New Roman"/>
                <w:color w:val="000000"/>
                <w:kern w:val="0"/>
                <w:szCs w:val="20"/>
              </w:rPr>
              <w:t>1 (</w:t>
            </w:r>
            <w:r>
              <w:rPr>
                <w:rFonts w:ascii="Times New Roman" w:eastAsia="Malgun Gothic" w:hAnsi="Times New Roman" w:cs="Times New Roman"/>
                <w:color w:val="000000"/>
                <w:kern w:val="0"/>
                <w:szCs w:val="20"/>
              </w:rPr>
              <w:t>31.43</w:t>
            </w:r>
            <w:r w:rsidRPr="00F7479B">
              <w:rPr>
                <w:rFonts w:ascii="Times New Roman" w:eastAsia="Malgun Gothic" w:hAnsi="Times New Roman" w:cs="Times New Roman"/>
                <w:color w:val="000000"/>
                <w:kern w:val="0"/>
                <w:szCs w:val="20"/>
              </w:rPr>
              <w:t>%)</w:t>
            </w:r>
          </w:p>
        </w:tc>
      </w:tr>
      <w:tr w:rsidR="0056745C" w:rsidRPr="00F7479B" w14:paraId="37310642" w14:textId="77777777" w:rsidTr="00351D09">
        <w:trPr>
          <w:trHeight w:val="328"/>
        </w:trPr>
        <w:tc>
          <w:tcPr>
            <w:tcW w:w="4746" w:type="dxa"/>
            <w:gridSpan w:val="2"/>
            <w:tcBorders>
              <w:top w:val="nil"/>
              <w:left w:val="nil"/>
              <w:bottom w:val="nil"/>
              <w:right w:val="single" w:sz="8" w:space="0" w:color="000000"/>
            </w:tcBorders>
            <w:shd w:val="clear" w:color="auto" w:fill="auto"/>
            <w:noWrap/>
            <w:vAlign w:val="center"/>
            <w:hideMark/>
          </w:tcPr>
          <w:p w14:paraId="0B3A0470"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IDH status</w:t>
            </w:r>
          </w:p>
        </w:tc>
        <w:tc>
          <w:tcPr>
            <w:tcW w:w="1891" w:type="dxa"/>
            <w:tcBorders>
              <w:top w:val="nil"/>
              <w:left w:val="nil"/>
              <w:bottom w:val="nil"/>
              <w:right w:val="single" w:sz="8" w:space="0" w:color="auto"/>
            </w:tcBorders>
            <w:shd w:val="clear" w:color="auto" w:fill="auto"/>
            <w:noWrap/>
            <w:vAlign w:val="center"/>
            <w:hideMark/>
          </w:tcPr>
          <w:p w14:paraId="4BC8EE84"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 xml:space="preserve">　</w:t>
            </w:r>
          </w:p>
        </w:tc>
        <w:tc>
          <w:tcPr>
            <w:tcW w:w="1891" w:type="dxa"/>
            <w:tcBorders>
              <w:top w:val="nil"/>
              <w:left w:val="single" w:sz="8" w:space="0" w:color="auto"/>
              <w:bottom w:val="nil"/>
              <w:right w:val="nil"/>
            </w:tcBorders>
            <w:vAlign w:val="center"/>
          </w:tcPr>
          <w:p w14:paraId="76730FC6"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r>
      <w:tr w:rsidR="0056745C" w:rsidRPr="00F7479B" w14:paraId="525DA5B1" w14:textId="77777777" w:rsidTr="00351D09">
        <w:trPr>
          <w:trHeight w:val="328"/>
        </w:trPr>
        <w:tc>
          <w:tcPr>
            <w:tcW w:w="912" w:type="dxa"/>
            <w:tcBorders>
              <w:top w:val="nil"/>
              <w:left w:val="nil"/>
              <w:bottom w:val="nil"/>
              <w:right w:val="nil"/>
            </w:tcBorders>
            <w:shd w:val="clear" w:color="auto" w:fill="auto"/>
            <w:noWrap/>
            <w:vAlign w:val="center"/>
            <w:hideMark/>
          </w:tcPr>
          <w:p w14:paraId="6EC9D808" w14:textId="77777777" w:rsidR="0056745C" w:rsidRPr="00F7479B" w:rsidRDefault="0056745C" w:rsidP="00351D09">
            <w:pPr>
              <w:widowControl/>
              <w:spacing w:after="0" w:line="240" w:lineRule="auto"/>
              <w:jc w:val="center"/>
              <w:rPr>
                <w:rFonts w:ascii="Times New Roman" w:eastAsia="Times New Roman" w:hAnsi="Times New Roman" w:cs="Times New Roman"/>
                <w:kern w:val="0"/>
                <w:szCs w:val="20"/>
              </w:rPr>
            </w:pPr>
          </w:p>
        </w:tc>
        <w:tc>
          <w:tcPr>
            <w:tcW w:w="3834" w:type="dxa"/>
            <w:tcBorders>
              <w:top w:val="nil"/>
              <w:left w:val="nil"/>
              <w:bottom w:val="nil"/>
              <w:right w:val="single" w:sz="8" w:space="0" w:color="auto"/>
            </w:tcBorders>
            <w:shd w:val="clear" w:color="auto" w:fill="auto"/>
            <w:noWrap/>
            <w:vAlign w:val="center"/>
            <w:hideMark/>
          </w:tcPr>
          <w:p w14:paraId="5071A4BD"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wild-type</w:t>
            </w:r>
          </w:p>
        </w:tc>
        <w:tc>
          <w:tcPr>
            <w:tcW w:w="1891" w:type="dxa"/>
            <w:tcBorders>
              <w:top w:val="nil"/>
              <w:left w:val="nil"/>
              <w:bottom w:val="nil"/>
              <w:right w:val="single" w:sz="8" w:space="0" w:color="auto"/>
            </w:tcBorders>
            <w:vAlign w:val="center"/>
          </w:tcPr>
          <w:p w14:paraId="32C9CDFD"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112 (100%)</w:t>
            </w:r>
          </w:p>
        </w:tc>
        <w:tc>
          <w:tcPr>
            <w:tcW w:w="1891" w:type="dxa"/>
            <w:tcBorders>
              <w:top w:val="nil"/>
              <w:left w:val="single" w:sz="8" w:space="0" w:color="auto"/>
              <w:bottom w:val="nil"/>
            </w:tcBorders>
            <w:shd w:val="clear" w:color="auto" w:fill="auto"/>
            <w:noWrap/>
            <w:vAlign w:val="center"/>
          </w:tcPr>
          <w:p w14:paraId="02F028E6"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r>
      <w:tr w:rsidR="0056745C" w:rsidRPr="00F7479B" w14:paraId="1EFB1019" w14:textId="77777777" w:rsidTr="00351D09">
        <w:trPr>
          <w:trHeight w:val="328"/>
        </w:trPr>
        <w:tc>
          <w:tcPr>
            <w:tcW w:w="912" w:type="dxa"/>
            <w:tcBorders>
              <w:top w:val="nil"/>
              <w:left w:val="nil"/>
              <w:bottom w:val="nil"/>
              <w:right w:val="nil"/>
            </w:tcBorders>
            <w:shd w:val="clear" w:color="auto" w:fill="auto"/>
            <w:noWrap/>
            <w:vAlign w:val="center"/>
            <w:hideMark/>
          </w:tcPr>
          <w:p w14:paraId="6DAA6299"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c>
          <w:tcPr>
            <w:tcW w:w="3834" w:type="dxa"/>
            <w:tcBorders>
              <w:top w:val="nil"/>
              <w:left w:val="nil"/>
              <w:bottom w:val="nil"/>
              <w:right w:val="single" w:sz="8" w:space="0" w:color="auto"/>
            </w:tcBorders>
            <w:shd w:val="clear" w:color="auto" w:fill="auto"/>
            <w:noWrap/>
            <w:vAlign w:val="center"/>
            <w:hideMark/>
          </w:tcPr>
          <w:p w14:paraId="3C957C9F"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mutant</w:t>
            </w:r>
          </w:p>
        </w:tc>
        <w:tc>
          <w:tcPr>
            <w:tcW w:w="1891" w:type="dxa"/>
            <w:tcBorders>
              <w:top w:val="nil"/>
              <w:left w:val="nil"/>
              <w:bottom w:val="nil"/>
              <w:right w:val="single" w:sz="8" w:space="0" w:color="auto"/>
            </w:tcBorders>
            <w:vAlign w:val="center"/>
          </w:tcPr>
          <w:p w14:paraId="4DDAAF1C"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0 (0%)</w:t>
            </w:r>
          </w:p>
        </w:tc>
        <w:tc>
          <w:tcPr>
            <w:tcW w:w="1891" w:type="dxa"/>
            <w:tcBorders>
              <w:top w:val="nil"/>
              <w:left w:val="single" w:sz="8" w:space="0" w:color="auto"/>
              <w:bottom w:val="nil"/>
            </w:tcBorders>
            <w:shd w:val="clear" w:color="auto" w:fill="auto"/>
            <w:noWrap/>
            <w:vAlign w:val="center"/>
          </w:tcPr>
          <w:p w14:paraId="597CACB9"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r>
      <w:tr w:rsidR="0056745C" w:rsidRPr="00F7479B" w14:paraId="52A532A9" w14:textId="77777777" w:rsidTr="00351D09">
        <w:trPr>
          <w:trHeight w:val="328"/>
        </w:trPr>
        <w:tc>
          <w:tcPr>
            <w:tcW w:w="4746" w:type="dxa"/>
            <w:gridSpan w:val="2"/>
            <w:tcBorders>
              <w:top w:val="nil"/>
              <w:left w:val="nil"/>
              <w:bottom w:val="nil"/>
              <w:right w:val="single" w:sz="8" w:space="0" w:color="000000"/>
            </w:tcBorders>
            <w:shd w:val="clear" w:color="auto" w:fill="auto"/>
            <w:noWrap/>
            <w:vAlign w:val="center"/>
            <w:hideMark/>
          </w:tcPr>
          <w:p w14:paraId="20A54F39"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MGMT status</w:t>
            </w:r>
          </w:p>
        </w:tc>
        <w:tc>
          <w:tcPr>
            <w:tcW w:w="1891" w:type="dxa"/>
            <w:tcBorders>
              <w:top w:val="nil"/>
              <w:left w:val="nil"/>
              <w:bottom w:val="nil"/>
              <w:right w:val="single" w:sz="8" w:space="0" w:color="auto"/>
            </w:tcBorders>
            <w:shd w:val="clear" w:color="auto" w:fill="auto"/>
            <w:noWrap/>
            <w:vAlign w:val="center"/>
            <w:hideMark/>
          </w:tcPr>
          <w:p w14:paraId="00DD03C5"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 xml:space="preserve">　</w:t>
            </w:r>
          </w:p>
        </w:tc>
        <w:tc>
          <w:tcPr>
            <w:tcW w:w="1891" w:type="dxa"/>
            <w:tcBorders>
              <w:top w:val="nil"/>
              <w:left w:val="single" w:sz="8" w:space="0" w:color="auto"/>
              <w:bottom w:val="nil"/>
              <w:right w:val="nil"/>
            </w:tcBorders>
            <w:vAlign w:val="center"/>
          </w:tcPr>
          <w:p w14:paraId="39E649AD"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r>
      <w:tr w:rsidR="0056745C" w:rsidRPr="00F7479B" w14:paraId="664DB3A5" w14:textId="77777777" w:rsidTr="00351D09">
        <w:trPr>
          <w:trHeight w:val="328"/>
        </w:trPr>
        <w:tc>
          <w:tcPr>
            <w:tcW w:w="912" w:type="dxa"/>
            <w:tcBorders>
              <w:top w:val="nil"/>
              <w:left w:val="nil"/>
              <w:bottom w:val="nil"/>
              <w:right w:val="nil"/>
            </w:tcBorders>
            <w:shd w:val="clear" w:color="auto" w:fill="auto"/>
            <w:noWrap/>
            <w:vAlign w:val="center"/>
            <w:hideMark/>
          </w:tcPr>
          <w:p w14:paraId="26956745" w14:textId="77777777" w:rsidR="0056745C" w:rsidRPr="00F7479B" w:rsidRDefault="0056745C" w:rsidP="00351D09">
            <w:pPr>
              <w:widowControl/>
              <w:spacing w:after="0" w:line="240" w:lineRule="auto"/>
              <w:jc w:val="center"/>
              <w:rPr>
                <w:rFonts w:ascii="Times New Roman" w:eastAsia="Times New Roman" w:hAnsi="Times New Roman" w:cs="Times New Roman"/>
                <w:kern w:val="0"/>
                <w:szCs w:val="20"/>
              </w:rPr>
            </w:pPr>
          </w:p>
        </w:tc>
        <w:tc>
          <w:tcPr>
            <w:tcW w:w="3834" w:type="dxa"/>
            <w:tcBorders>
              <w:top w:val="nil"/>
              <w:left w:val="nil"/>
              <w:bottom w:val="nil"/>
              <w:right w:val="single" w:sz="8" w:space="0" w:color="auto"/>
            </w:tcBorders>
            <w:shd w:val="clear" w:color="auto" w:fill="auto"/>
            <w:noWrap/>
            <w:vAlign w:val="center"/>
            <w:hideMark/>
          </w:tcPr>
          <w:p w14:paraId="4CA78ECB"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Methylated</w:t>
            </w:r>
          </w:p>
        </w:tc>
        <w:tc>
          <w:tcPr>
            <w:tcW w:w="1891" w:type="dxa"/>
            <w:tcBorders>
              <w:top w:val="nil"/>
              <w:left w:val="nil"/>
              <w:bottom w:val="nil"/>
              <w:right w:val="single" w:sz="8" w:space="0" w:color="auto"/>
            </w:tcBorders>
            <w:vAlign w:val="center"/>
          </w:tcPr>
          <w:p w14:paraId="531DDB96"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38 (33.93%)</w:t>
            </w:r>
          </w:p>
        </w:tc>
        <w:tc>
          <w:tcPr>
            <w:tcW w:w="1891" w:type="dxa"/>
            <w:tcBorders>
              <w:top w:val="nil"/>
              <w:left w:val="single" w:sz="8" w:space="0" w:color="auto"/>
              <w:bottom w:val="nil"/>
            </w:tcBorders>
            <w:shd w:val="clear" w:color="auto" w:fill="auto"/>
            <w:noWrap/>
            <w:vAlign w:val="center"/>
          </w:tcPr>
          <w:p w14:paraId="3B7DDB2A"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r>
      <w:tr w:rsidR="0056745C" w:rsidRPr="00F7479B" w14:paraId="33267AB6" w14:textId="77777777" w:rsidTr="00351D09">
        <w:trPr>
          <w:trHeight w:val="328"/>
        </w:trPr>
        <w:tc>
          <w:tcPr>
            <w:tcW w:w="912" w:type="dxa"/>
            <w:tcBorders>
              <w:top w:val="nil"/>
              <w:left w:val="nil"/>
              <w:bottom w:val="nil"/>
              <w:right w:val="nil"/>
            </w:tcBorders>
            <w:shd w:val="clear" w:color="auto" w:fill="auto"/>
            <w:noWrap/>
            <w:vAlign w:val="center"/>
            <w:hideMark/>
          </w:tcPr>
          <w:p w14:paraId="4DF1B588"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c>
          <w:tcPr>
            <w:tcW w:w="3834" w:type="dxa"/>
            <w:tcBorders>
              <w:top w:val="nil"/>
              <w:left w:val="nil"/>
              <w:bottom w:val="nil"/>
              <w:right w:val="single" w:sz="8" w:space="0" w:color="auto"/>
            </w:tcBorders>
            <w:shd w:val="clear" w:color="auto" w:fill="auto"/>
            <w:noWrap/>
            <w:vAlign w:val="center"/>
            <w:hideMark/>
          </w:tcPr>
          <w:p w14:paraId="4CCDEE29"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Unmethylated</w:t>
            </w:r>
          </w:p>
        </w:tc>
        <w:tc>
          <w:tcPr>
            <w:tcW w:w="1891" w:type="dxa"/>
            <w:tcBorders>
              <w:top w:val="nil"/>
              <w:left w:val="nil"/>
              <w:bottom w:val="nil"/>
              <w:right w:val="single" w:sz="8" w:space="0" w:color="auto"/>
            </w:tcBorders>
            <w:vAlign w:val="center"/>
          </w:tcPr>
          <w:p w14:paraId="133666E0"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74 (66.07%)</w:t>
            </w:r>
          </w:p>
        </w:tc>
        <w:tc>
          <w:tcPr>
            <w:tcW w:w="1891" w:type="dxa"/>
            <w:tcBorders>
              <w:top w:val="nil"/>
              <w:left w:val="single" w:sz="8" w:space="0" w:color="auto"/>
              <w:bottom w:val="nil"/>
            </w:tcBorders>
            <w:shd w:val="clear" w:color="auto" w:fill="auto"/>
            <w:noWrap/>
            <w:vAlign w:val="center"/>
          </w:tcPr>
          <w:p w14:paraId="291559E5"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r>
      <w:tr w:rsidR="0056745C" w:rsidRPr="00F7479B" w14:paraId="7719CE0D" w14:textId="77777777" w:rsidTr="00351D09">
        <w:trPr>
          <w:trHeight w:val="328"/>
        </w:trPr>
        <w:tc>
          <w:tcPr>
            <w:tcW w:w="912" w:type="dxa"/>
            <w:tcBorders>
              <w:top w:val="nil"/>
              <w:left w:val="nil"/>
              <w:bottom w:val="nil"/>
              <w:right w:val="nil"/>
            </w:tcBorders>
            <w:shd w:val="clear" w:color="auto" w:fill="auto"/>
            <w:noWrap/>
            <w:vAlign w:val="center"/>
            <w:hideMark/>
          </w:tcPr>
          <w:p w14:paraId="663E6DC2"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1p/19q</w:t>
            </w:r>
          </w:p>
        </w:tc>
        <w:tc>
          <w:tcPr>
            <w:tcW w:w="3834" w:type="dxa"/>
            <w:tcBorders>
              <w:top w:val="nil"/>
              <w:left w:val="nil"/>
              <w:bottom w:val="nil"/>
              <w:right w:val="single" w:sz="8" w:space="0" w:color="auto"/>
            </w:tcBorders>
            <w:shd w:val="clear" w:color="auto" w:fill="auto"/>
            <w:noWrap/>
            <w:vAlign w:val="center"/>
            <w:hideMark/>
          </w:tcPr>
          <w:p w14:paraId="04059CEC"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 xml:space="preserve">　</w:t>
            </w:r>
          </w:p>
        </w:tc>
        <w:tc>
          <w:tcPr>
            <w:tcW w:w="1891" w:type="dxa"/>
            <w:tcBorders>
              <w:top w:val="nil"/>
              <w:left w:val="nil"/>
              <w:bottom w:val="nil"/>
              <w:right w:val="single" w:sz="8" w:space="0" w:color="auto"/>
            </w:tcBorders>
            <w:vAlign w:val="center"/>
          </w:tcPr>
          <w:p w14:paraId="6661BD5C"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c>
          <w:tcPr>
            <w:tcW w:w="1891" w:type="dxa"/>
            <w:tcBorders>
              <w:top w:val="nil"/>
              <w:left w:val="single" w:sz="8" w:space="0" w:color="auto"/>
              <w:bottom w:val="nil"/>
            </w:tcBorders>
            <w:shd w:val="clear" w:color="auto" w:fill="auto"/>
            <w:noWrap/>
            <w:vAlign w:val="center"/>
          </w:tcPr>
          <w:p w14:paraId="4EAA5208"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r>
      <w:tr w:rsidR="0056745C" w:rsidRPr="00F7479B" w14:paraId="47105716" w14:textId="77777777" w:rsidTr="00351D09">
        <w:trPr>
          <w:trHeight w:val="328"/>
        </w:trPr>
        <w:tc>
          <w:tcPr>
            <w:tcW w:w="912" w:type="dxa"/>
            <w:tcBorders>
              <w:top w:val="nil"/>
              <w:left w:val="nil"/>
              <w:bottom w:val="nil"/>
              <w:right w:val="nil"/>
            </w:tcBorders>
            <w:shd w:val="clear" w:color="auto" w:fill="auto"/>
            <w:noWrap/>
            <w:vAlign w:val="center"/>
            <w:hideMark/>
          </w:tcPr>
          <w:p w14:paraId="3402BE10" w14:textId="77777777" w:rsidR="0056745C" w:rsidRPr="00F7479B" w:rsidRDefault="0056745C" w:rsidP="00351D09">
            <w:pPr>
              <w:widowControl/>
              <w:spacing w:after="0" w:line="240" w:lineRule="auto"/>
              <w:jc w:val="center"/>
              <w:rPr>
                <w:rFonts w:ascii="Times New Roman" w:eastAsia="Times New Roman" w:hAnsi="Times New Roman" w:cs="Times New Roman"/>
                <w:kern w:val="0"/>
                <w:szCs w:val="20"/>
              </w:rPr>
            </w:pPr>
          </w:p>
        </w:tc>
        <w:tc>
          <w:tcPr>
            <w:tcW w:w="3834" w:type="dxa"/>
            <w:tcBorders>
              <w:top w:val="nil"/>
              <w:left w:val="nil"/>
              <w:bottom w:val="nil"/>
              <w:right w:val="single" w:sz="8" w:space="0" w:color="auto"/>
            </w:tcBorders>
            <w:shd w:val="clear" w:color="auto" w:fill="auto"/>
            <w:noWrap/>
            <w:vAlign w:val="center"/>
            <w:hideMark/>
          </w:tcPr>
          <w:p w14:paraId="684230AB"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intact</w:t>
            </w:r>
          </w:p>
        </w:tc>
        <w:tc>
          <w:tcPr>
            <w:tcW w:w="1891" w:type="dxa"/>
            <w:tcBorders>
              <w:top w:val="nil"/>
              <w:left w:val="nil"/>
              <w:bottom w:val="nil"/>
              <w:right w:val="single" w:sz="8" w:space="0" w:color="auto"/>
            </w:tcBorders>
            <w:vAlign w:val="center"/>
          </w:tcPr>
          <w:p w14:paraId="4E520D8D"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106 (94.64%)</w:t>
            </w:r>
          </w:p>
        </w:tc>
        <w:tc>
          <w:tcPr>
            <w:tcW w:w="1891" w:type="dxa"/>
            <w:tcBorders>
              <w:top w:val="nil"/>
              <w:left w:val="single" w:sz="8" w:space="0" w:color="auto"/>
              <w:bottom w:val="nil"/>
            </w:tcBorders>
            <w:shd w:val="clear" w:color="auto" w:fill="auto"/>
            <w:noWrap/>
            <w:vAlign w:val="center"/>
          </w:tcPr>
          <w:p w14:paraId="3CDEB69C"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r>
      <w:tr w:rsidR="0056745C" w:rsidRPr="00F7479B" w14:paraId="34F12310" w14:textId="77777777" w:rsidTr="00351D09">
        <w:trPr>
          <w:trHeight w:val="328"/>
        </w:trPr>
        <w:tc>
          <w:tcPr>
            <w:tcW w:w="912" w:type="dxa"/>
            <w:tcBorders>
              <w:top w:val="nil"/>
              <w:left w:val="nil"/>
              <w:bottom w:val="nil"/>
              <w:right w:val="nil"/>
            </w:tcBorders>
            <w:shd w:val="clear" w:color="auto" w:fill="auto"/>
            <w:noWrap/>
            <w:vAlign w:val="center"/>
            <w:hideMark/>
          </w:tcPr>
          <w:p w14:paraId="58E9CDB8"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c>
          <w:tcPr>
            <w:tcW w:w="3834" w:type="dxa"/>
            <w:tcBorders>
              <w:top w:val="nil"/>
              <w:left w:val="nil"/>
              <w:bottom w:val="nil"/>
              <w:right w:val="single" w:sz="8" w:space="0" w:color="auto"/>
            </w:tcBorders>
            <w:shd w:val="clear" w:color="auto" w:fill="auto"/>
            <w:noWrap/>
            <w:vAlign w:val="center"/>
            <w:hideMark/>
          </w:tcPr>
          <w:p w14:paraId="1C85E6CF"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1p LOH only</w:t>
            </w:r>
          </w:p>
        </w:tc>
        <w:tc>
          <w:tcPr>
            <w:tcW w:w="1891" w:type="dxa"/>
            <w:tcBorders>
              <w:top w:val="nil"/>
              <w:left w:val="nil"/>
              <w:bottom w:val="nil"/>
              <w:right w:val="single" w:sz="8" w:space="0" w:color="auto"/>
            </w:tcBorders>
            <w:vAlign w:val="center"/>
          </w:tcPr>
          <w:p w14:paraId="57F45A4E"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2 (1.76%)</w:t>
            </w:r>
          </w:p>
        </w:tc>
        <w:tc>
          <w:tcPr>
            <w:tcW w:w="1891" w:type="dxa"/>
            <w:tcBorders>
              <w:top w:val="nil"/>
              <w:left w:val="single" w:sz="8" w:space="0" w:color="auto"/>
              <w:bottom w:val="nil"/>
            </w:tcBorders>
            <w:shd w:val="clear" w:color="auto" w:fill="auto"/>
            <w:noWrap/>
            <w:vAlign w:val="center"/>
          </w:tcPr>
          <w:p w14:paraId="54394AA3"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r>
      <w:tr w:rsidR="0056745C" w:rsidRPr="00F7479B" w14:paraId="50545673" w14:textId="77777777" w:rsidTr="00351D09">
        <w:trPr>
          <w:trHeight w:val="328"/>
        </w:trPr>
        <w:tc>
          <w:tcPr>
            <w:tcW w:w="912" w:type="dxa"/>
            <w:tcBorders>
              <w:top w:val="nil"/>
              <w:left w:val="nil"/>
              <w:bottom w:val="nil"/>
              <w:right w:val="nil"/>
            </w:tcBorders>
            <w:shd w:val="clear" w:color="auto" w:fill="auto"/>
            <w:noWrap/>
            <w:vAlign w:val="center"/>
            <w:hideMark/>
          </w:tcPr>
          <w:p w14:paraId="21DADA1B"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c>
          <w:tcPr>
            <w:tcW w:w="3834" w:type="dxa"/>
            <w:tcBorders>
              <w:top w:val="nil"/>
              <w:left w:val="nil"/>
              <w:bottom w:val="nil"/>
              <w:right w:val="single" w:sz="8" w:space="0" w:color="auto"/>
            </w:tcBorders>
            <w:shd w:val="clear" w:color="auto" w:fill="auto"/>
            <w:noWrap/>
            <w:vAlign w:val="center"/>
            <w:hideMark/>
          </w:tcPr>
          <w:p w14:paraId="63EE079C"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19q LOH only</w:t>
            </w:r>
          </w:p>
        </w:tc>
        <w:tc>
          <w:tcPr>
            <w:tcW w:w="1891" w:type="dxa"/>
            <w:tcBorders>
              <w:top w:val="nil"/>
              <w:left w:val="nil"/>
              <w:bottom w:val="nil"/>
              <w:right w:val="single" w:sz="8" w:space="0" w:color="auto"/>
            </w:tcBorders>
            <w:vAlign w:val="center"/>
          </w:tcPr>
          <w:p w14:paraId="3DA6E8A7"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1 (0.89%)</w:t>
            </w:r>
          </w:p>
        </w:tc>
        <w:tc>
          <w:tcPr>
            <w:tcW w:w="1891" w:type="dxa"/>
            <w:tcBorders>
              <w:top w:val="nil"/>
              <w:left w:val="single" w:sz="8" w:space="0" w:color="auto"/>
              <w:bottom w:val="nil"/>
            </w:tcBorders>
            <w:shd w:val="clear" w:color="auto" w:fill="auto"/>
            <w:noWrap/>
            <w:vAlign w:val="center"/>
          </w:tcPr>
          <w:p w14:paraId="4738279C"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r>
      <w:tr w:rsidR="0056745C" w:rsidRPr="00F7479B" w14:paraId="1FCC7AF6" w14:textId="77777777" w:rsidTr="00351D09">
        <w:trPr>
          <w:trHeight w:val="328"/>
        </w:trPr>
        <w:tc>
          <w:tcPr>
            <w:tcW w:w="912" w:type="dxa"/>
            <w:tcBorders>
              <w:top w:val="nil"/>
              <w:left w:val="nil"/>
              <w:bottom w:val="nil"/>
              <w:right w:val="nil"/>
            </w:tcBorders>
            <w:shd w:val="clear" w:color="auto" w:fill="auto"/>
            <w:noWrap/>
            <w:vAlign w:val="center"/>
            <w:hideMark/>
          </w:tcPr>
          <w:p w14:paraId="4E855E41"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c>
          <w:tcPr>
            <w:tcW w:w="3834" w:type="dxa"/>
            <w:tcBorders>
              <w:top w:val="nil"/>
              <w:left w:val="nil"/>
              <w:bottom w:val="nil"/>
              <w:right w:val="single" w:sz="8" w:space="0" w:color="auto"/>
            </w:tcBorders>
            <w:shd w:val="clear" w:color="auto" w:fill="auto"/>
            <w:noWrap/>
            <w:vAlign w:val="center"/>
            <w:hideMark/>
          </w:tcPr>
          <w:p w14:paraId="6D7DD3B4"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co-deletion</w:t>
            </w:r>
          </w:p>
        </w:tc>
        <w:tc>
          <w:tcPr>
            <w:tcW w:w="1891" w:type="dxa"/>
            <w:tcBorders>
              <w:top w:val="nil"/>
              <w:left w:val="nil"/>
              <w:bottom w:val="nil"/>
              <w:right w:val="single" w:sz="8" w:space="0" w:color="auto"/>
            </w:tcBorders>
            <w:vAlign w:val="center"/>
          </w:tcPr>
          <w:p w14:paraId="0F2F9668"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1 (0.89%)</w:t>
            </w:r>
          </w:p>
        </w:tc>
        <w:tc>
          <w:tcPr>
            <w:tcW w:w="1891" w:type="dxa"/>
            <w:tcBorders>
              <w:top w:val="nil"/>
              <w:left w:val="single" w:sz="8" w:space="0" w:color="auto"/>
              <w:bottom w:val="nil"/>
            </w:tcBorders>
            <w:shd w:val="clear" w:color="auto" w:fill="auto"/>
            <w:noWrap/>
            <w:vAlign w:val="center"/>
          </w:tcPr>
          <w:p w14:paraId="2FA9CA8E"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r>
      <w:tr w:rsidR="0056745C" w:rsidRPr="00F7479B" w14:paraId="4E4D7BFE" w14:textId="77777777" w:rsidTr="00351D09">
        <w:trPr>
          <w:trHeight w:val="328"/>
        </w:trPr>
        <w:tc>
          <w:tcPr>
            <w:tcW w:w="4746" w:type="dxa"/>
            <w:gridSpan w:val="2"/>
            <w:tcBorders>
              <w:top w:val="nil"/>
              <w:left w:val="nil"/>
              <w:bottom w:val="nil"/>
              <w:right w:val="single" w:sz="8" w:space="0" w:color="000000"/>
            </w:tcBorders>
            <w:shd w:val="clear" w:color="auto" w:fill="auto"/>
            <w:noWrap/>
            <w:vAlign w:val="center"/>
            <w:hideMark/>
          </w:tcPr>
          <w:p w14:paraId="0295ECE3"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TERT mutation</w:t>
            </w:r>
          </w:p>
        </w:tc>
        <w:tc>
          <w:tcPr>
            <w:tcW w:w="1891" w:type="dxa"/>
            <w:tcBorders>
              <w:top w:val="nil"/>
              <w:left w:val="nil"/>
              <w:bottom w:val="nil"/>
              <w:right w:val="single" w:sz="8" w:space="0" w:color="auto"/>
            </w:tcBorders>
            <w:shd w:val="clear" w:color="auto" w:fill="auto"/>
            <w:noWrap/>
            <w:vAlign w:val="center"/>
            <w:hideMark/>
          </w:tcPr>
          <w:p w14:paraId="4CAD78CF"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 xml:space="preserve">　</w:t>
            </w:r>
          </w:p>
        </w:tc>
        <w:tc>
          <w:tcPr>
            <w:tcW w:w="1891" w:type="dxa"/>
            <w:tcBorders>
              <w:top w:val="nil"/>
              <w:left w:val="single" w:sz="8" w:space="0" w:color="auto"/>
              <w:bottom w:val="nil"/>
              <w:right w:val="nil"/>
            </w:tcBorders>
            <w:vAlign w:val="center"/>
          </w:tcPr>
          <w:p w14:paraId="36008DD2"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r>
      <w:tr w:rsidR="0056745C" w:rsidRPr="00F7479B" w14:paraId="1E14F333" w14:textId="77777777" w:rsidTr="00351D09">
        <w:trPr>
          <w:trHeight w:val="328"/>
        </w:trPr>
        <w:tc>
          <w:tcPr>
            <w:tcW w:w="912" w:type="dxa"/>
            <w:tcBorders>
              <w:top w:val="nil"/>
              <w:left w:val="nil"/>
              <w:bottom w:val="nil"/>
              <w:right w:val="nil"/>
            </w:tcBorders>
            <w:shd w:val="clear" w:color="auto" w:fill="auto"/>
            <w:noWrap/>
            <w:vAlign w:val="center"/>
            <w:hideMark/>
          </w:tcPr>
          <w:p w14:paraId="0D9A9CCA" w14:textId="77777777" w:rsidR="0056745C" w:rsidRPr="00F7479B" w:rsidRDefault="0056745C" w:rsidP="00351D09">
            <w:pPr>
              <w:widowControl/>
              <w:spacing w:after="0" w:line="240" w:lineRule="auto"/>
              <w:jc w:val="center"/>
              <w:rPr>
                <w:rFonts w:ascii="Times New Roman" w:eastAsia="Times New Roman" w:hAnsi="Times New Roman" w:cs="Times New Roman"/>
                <w:kern w:val="0"/>
                <w:szCs w:val="20"/>
              </w:rPr>
            </w:pPr>
          </w:p>
        </w:tc>
        <w:tc>
          <w:tcPr>
            <w:tcW w:w="3834" w:type="dxa"/>
            <w:tcBorders>
              <w:top w:val="nil"/>
              <w:left w:val="nil"/>
              <w:bottom w:val="nil"/>
              <w:right w:val="single" w:sz="8" w:space="0" w:color="auto"/>
            </w:tcBorders>
            <w:shd w:val="clear" w:color="auto" w:fill="auto"/>
            <w:noWrap/>
            <w:vAlign w:val="center"/>
            <w:hideMark/>
          </w:tcPr>
          <w:p w14:paraId="7F7D98DE"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C250T</w:t>
            </w:r>
          </w:p>
        </w:tc>
        <w:tc>
          <w:tcPr>
            <w:tcW w:w="1891" w:type="dxa"/>
            <w:tcBorders>
              <w:top w:val="nil"/>
              <w:left w:val="nil"/>
              <w:bottom w:val="nil"/>
              <w:right w:val="single" w:sz="8" w:space="0" w:color="auto"/>
            </w:tcBorders>
            <w:vAlign w:val="center"/>
          </w:tcPr>
          <w:p w14:paraId="105E724A"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12 (10.71%)</w:t>
            </w:r>
          </w:p>
        </w:tc>
        <w:tc>
          <w:tcPr>
            <w:tcW w:w="1891" w:type="dxa"/>
            <w:tcBorders>
              <w:top w:val="nil"/>
              <w:left w:val="single" w:sz="8" w:space="0" w:color="auto"/>
              <w:bottom w:val="nil"/>
            </w:tcBorders>
            <w:shd w:val="clear" w:color="auto" w:fill="auto"/>
            <w:noWrap/>
            <w:vAlign w:val="center"/>
          </w:tcPr>
          <w:p w14:paraId="12533B41"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r>
      <w:tr w:rsidR="0056745C" w:rsidRPr="00F7479B" w14:paraId="4FBEF370" w14:textId="77777777" w:rsidTr="00351D09">
        <w:trPr>
          <w:trHeight w:val="328"/>
        </w:trPr>
        <w:tc>
          <w:tcPr>
            <w:tcW w:w="912" w:type="dxa"/>
            <w:tcBorders>
              <w:top w:val="nil"/>
              <w:left w:val="nil"/>
              <w:bottom w:val="nil"/>
              <w:right w:val="nil"/>
            </w:tcBorders>
            <w:shd w:val="clear" w:color="auto" w:fill="auto"/>
            <w:noWrap/>
            <w:vAlign w:val="center"/>
            <w:hideMark/>
          </w:tcPr>
          <w:p w14:paraId="24C2A30D"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c>
          <w:tcPr>
            <w:tcW w:w="3834" w:type="dxa"/>
            <w:tcBorders>
              <w:top w:val="nil"/>
              <w:left w:val="nil"/>
              <w:bottom w:val="nil"/>
              <w:right w:val="single" w:sz="8" w:space="0" w:color="auto"/>
            </w:tcBorders>
            <w:shd w:val="clear" w:color="auto" w:fill="auto"/>
            <w:noWrap/>
            <w:vAlign w:val="center"/>
            <w:hideMark/>
          </w:tcPr>
          <w:p w14:paraId="59F5F40D"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C228T</w:t>
            </w:r>
          </w:p>
        </w:tc>
        <w:tc>
          <w:tcPr>
            <w:tcW w:w="1891" w:type="dxa"/>
            <w:tcBorders>
              <w:top w:val="nil"/>
              <w:left w:val="nil"/>
              <w:bottom w:val="nil"/>
              <w:right w:val="single" w:sz="8" w:space="0" w:color="auto"/>
            </w:tcBorders>
            <w:vAlign w:val="center"/>
          </w:tcPr>
          <w:p w14:paraId="4BA077C1"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59 (52.68%)</w:t>
            </w:r>
          </w:p>
        </w:tc>
        <w:tc>
          <w:tcPr>
            <w:tcW w:w="1891" w:type="dxa"/>
            <w:tcBorders>
              <w:top w:val="nil"/>
              <w:left w:val="single" w:sz="8" w:space="0" w:color="auto"/>
              <w:bottom w:val="nil"/>
            </w:tcBorders>
            <w:shd w:val="clear" w:color="auto" w:fill="auto"/>
            <w:noWrap/>
            <w:vAlign w:val="center"/>
          </w:tcPr>
          <w:p w14:paraId="661F0991"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r>
      <w:tr w:rsidR="0056745C" w:rsidRPr="00F7479B" w14:paraId="7CFD1BE0" w14:textId="77777777" w:rsidTr="00351D09">
        <w:trPr>
          <w:trHeight w:val="343"/>
        </w:trPr>
        <w:tc>
          <w:tcPr>
            <w:tcW w:w="912" w:type="dxa"/>
            <w:tcBorders>
              <w:top w:val="nil"/>
              <w:left w:val="nil"/>
              <w:bottom w:val="single" w:sz="8" w:space="0" w:color="auto"/>
              <w:right w:val="nil"/>
            </w:tcBorders>
            <w:shd w:val="clear" w:color="auto" w:fill="auto"/>
            <w:noWrap/>
            <w:vAlign w:val="center"/>
            <w:hideMark/>
          </w:tcPr>
          <w:p w14:paraId="6B8E01E0"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 xml:space="preserve">　</w:t>
            </w:r>
          </w:p>
        </w:tc>
        <w:tc>
          <w:tcPr>
            <w:tcW w:w="3834" w:type="dxa"/>
            <w:tcBorders>
              <w:top w:val="nil"/>
              <w:left w:val="nil"/>
              <w:bottom w:val="single" w:sz="8" w:space="0" w:color="auto"/>
              <w:right w:val="single" w:sz="8" w:space="0" w:color="auto"/>
            </w:tcBorders>
            <w:shd w:val="clear" w:color="auto" w:fill="auto"/>
            <w:noWrap/>
            <w:vAlign w:val="center"/>
            <w:hideMark/>
          </w:tcPr>
          <w:p w14:paraId="41EAE7AF" w14:textId="77777777" w:rsidR="0056745C" w:rsidRPr="00F7479B" w:rsidRDefault="0056745C" w:rsidP="00351D09">
            <w:pPr>
              <w:widowControl/>
              <w:spacing w:after="0" w:line="240" w:lineRule="auto"/>
              <w:jc w:val="left"/>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No mutation</w:t>
            </w:r>
          </w:p>
        </w:tc>
        <w:tc>
          <w:tcPr>
            <w:tcW w:w="1891" w:type="dxa"/>
            <w:tcBorders>
              <w:top w:val="nil"/>
              <w:left w:val="nil"/>
              <w:bottom w:val="single" w:sz="8" w:space="0" w:color="auto"/>
              <w:right w:val="single" w:sz="8" w:space="0" w:color="auto"/>
            </w:tcBorders>
            <w:vAlign w:val="center"/>
          </w:tcPr>
          <w:p w14:paraId="6BC70168"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r w:rsidRPr="00F7479B">
              <w:rPr>
                <w:rFonts w:ascii="Times New Roman" w:eastAsia="Malgun Gothic" w:hAnsi="Times New Roman" w:cs="Times New Roman"/>
                <w:color w:val="000000"/>
                <w:kern w:val="0"/>
                <w:szCs w:val="20"/>
              </w:rPr>
              <w:t>17 (15.18%)</w:t>
            </w:r>
          </w:p>
        </w:tc>
        <w:tc>
          <w:tcPr>
            <w:tcW w:w="1891" w:type="dxa"/>
            <w:tcBorders>
              <w:top w:val="nil"/>
              <w:left w:val="single" w:sz="8" w:space="0" w:color="auto"/>
              <w:bottom w:val="single" w:sz="8" w:space="0" w:color="auto"/>
            </w:tcBorders>
            <w:shd w:val="clear" w:color="auto" w:fill="auto"/>
            <w:noWrap/>
            <w:vAlign w:val="center"/>
          </w:tcPr>
          <w:p w14:paraId="4C8DF502" w14:textId="77777777" w:rsidR="0056745C" w:rsidRPr="00F7479B" w:rsidRDefault="0056745C" w:rsidP="00351D09">
            <w:pPr>
              <w:widowControl/>
              <w:spacing w:after="0" w:line="240" w:lineRule="auto"/>
              <w:jc w:val="center"/>
              <w:rPr>
                <w:rFonts w:ascii="Times New Roman" w:eastAsia="Malgun Gothic" w:hAnsi="Times New Roman" w:cs="Times New Roman"/>
                <w:color w:val="000000"/>
                <w:kern w:val="0"/>
                <w:szCs w:val="20"/>
              </w:rPr>
            </w:pPr>
          </w:p>
        </w:tc>
      </w:tr>
    </w:tbl>
    <w:p w14:paraId="15234B87" w14:textId="77777777" w:rsidR="0056745C" w:rsidRPr="00607091" w:rsidRDefault="0056745C" w:rsidP="0056745C">
      <w:pPr>
        <w:widowControl/>
        <w:spacing w:line="480" w:lineRule="auto"/>
        <w:rPr>
          <w:rFonts w:ascii="Times New Roman" w:hAnsi="Times New Roman" w:cs="Times New Roman"/>
          <w:b/>
          <w:sz w:val="18"/>
          <w:szCs w:val="18"/>
        </w:rPr>
      </w:pPr>
      <w:r w:rsidRPr="00C52057">
        <w:rPr>
          <w:rFonts w:ascii="Times New Roman" w:hAnsi="Times New Roman" w:cs="Times New Roman"/>
          <w:b/>
          <w:sz w:val="18"/>
          <w:szCs w:val="18"/>
        </w:rPr>
        <w:t>*</w:t>
      </w:r>
      <w:r>
        <w:rPr>
          <w:rFonts w:ascii="Times New Roman" w:hAnsi="Times New Roman" w:cs="Times New Roman"/>
          <w:b/>
          <w:sz w:val="18"/>
          <w:szCs w:val="18"/>
        </w:rPr>
        <w:t xml:space="preserve"> All GBM tissues were obtained from patients with IDH-wildtype</w:t>
      </w:r>
      <w:r w:rsidRPr="00855402">
        <w:rPr>
          <w:rFonts w:ascii="Times New Roman" w:hAnsi="Times New Roman" w:cs="Times New Roman"/>
          <w:b/>
          <w:sz w:val="18"/>
          <w:szCs w:val="18"/>
        </w:rPr>
        <w:t xml:space="preserve"> </w:t>
      </w:r>
      <w:r>
        <w:rPr>
          <w:rFonts w:ascii="Times New Roman" w:hAnsi="Times New Roman" w:cs="Times New Roman"/>
          <w:b/>
          <w:sz w:val="18"/>
          <w:szCs w:val="18"/>
        </w:rPr>
        <w:t>GBM. Tumor-free cortex tissues were obtained from various patients including other glioma cases.</w:t>
      </w:r>
    </w:p>
    <w:p w14:paraId="3A969DF5" w14:textId="77777777" w:rsidR="0056745C" w:rsidRDefault="0056745C" w:rsidP="0056745C">
      <w:pPr>
        <w:widowControl/>
        <w:spacing w:line="480" w:lineRule="auto"/>
        <w:rPr>
          <w:rFonts w:ascii="Times New Roman" w:hAnsi="Times New Roman" w:cs="Times New Roman"/>
          <w:b/>
          <w:szCs w:val="20"/>
        </w:rPr>
      </w:pPr>
      <w:r w:rsidRPr="00033A89">
        <w:rPr>
          <w:rFonts w:ascii="Times New Roman" w:hAnsi="Times New Roman" w:cs="Times New Roman"/>
          <w:b/>
          <w:szCs w:val="20"/>
        </w:rPr>
        <w:t>Supplementary Table S</w:t>
      </w:r>
      <w:r>
        <w:rPr>
          <w:rFonts w:ascii="Times New Roman" w:hAnsi="Times New Roman" w:cs="Times New Roman"/>
          <w:b/>
          <w:szCs w:val="20"/>
        </w:rPr>
        <w:t>2</w:t>
      </w:r>
      <w:r>
        <w:rPr>
          <w:rFonts w:ascii="Times New Roman" w:hAnsi="Times New Roman" w:cs="Times New Roman" w:hint="eastAsia"/>
          <w:b/>
          <w:szCs w:val="20"/>
        </w:rPr>
        <w:t>.</w:t>
      </w:r>
      <w:r>
        <w:rPr>
          <w:rFonts w:ascii="Times New Roman" w:hAnsi="Times New Roman" w:cs="Times New Roman"/>
          <w:b/>
          <w:szCs w:val="20"/>
        </w:rPr>
        <w:t xml:space="preserve"> </w:t>
      </w:r>
      <w:r w:rsidRPr="00033A89">
        <w:rPr>
          <w:rFonts w:ascii="Times New Roman" w:hAnsi="Times New Roman" w:cs="Times New Roman"/>
          <w:b/>
          <w:szCs w:val="20"/>
        </w:rPr>
        <w:t>Histopatholog</w:t>
      </w:r>
      <w:r>
        <w:rPr>
          <w:rFonts w:ascii="Times New Roman" w:hAnsi="Times New Roman" w:cs="Times New Roman"/>
          <w:b/>
          <w:szCs w:val="20"/>
        </w:rPr>
        <w:t xml:space="preserve">ic characteristics of GBM tissues from which TSs were derived </w:t>
      </w:r>
    </w:p>
    <w:tbl>
      <w:tblPr>
        <w:tblW w:w="9878" w:type="dxa"/>
        <w:jc w:val="center"/>
        <w:tblLayout w:type="fixed"/>
        <w:tblCellMar>
          <w:left w:w="0" w:type="dxa"/>
          <w:right w:w="0" w:type="dxa"/>
        </w:tblCellMar>
        <w:tblLook w:val="04A0" w:firstRow="1" w:lastRow="0" w:firstColumn="1" w:lastColumn="0" w:noHBand="0" w:noVBand="1"/>
      </w:tblPr>
      <w:tblGrid>
        <w:gridCol w:w="1418"/>
        <w:gridCol w:w="1984"/>
        <w:gridCol w:w="1418"/>
        <w:gridCol w:w="1606"/>
        <w:gridCol w:w="1654"/>
        <w:gridCol w:w="12"/>
        <w:gridCol w:w="1786"/>
      </w:tblGrid>
      <w:tr w:rsidR="0056745C" w:rsidRPr="0097033E" w14:paraId="27B38E32" w14:textId="77777777" w:rsidTr="0056745C">
        <w:trPr>
          <w:trHeight w:val="540"/>
          <w:jc w:val="center"/>
        </w:trPr>
        <w:tc>
          <w:tcPr>
            <w:tcW w:w="141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F368337"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b/>
                <w:bCs/>
                <w:szCs w:val="20"/>
              </w:rPr>
              <w:t>Tumorsphere</w:t>
            </w:r>
          </w:p>
        </w:tc>
        <w:tc>
          <w:tcPr>
            <w:tcW w:w="198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2954AC33"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b/>
                <w:bCs/>
                <w:szCs w:val="20"/>
              </w:rPr>
              <w:t>Tissue pathology</w:t>
            </w:r>
          </w:p>
        </w:tc>
        <w:tc>
          <w:tcPr>
            <w:tcW w:w="141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05EE47D"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b/>
                <w:bCs/>
                <w:i/>
                <w:iCs/>
                <w:szCs w:val="20"/>
              </w:rPr>
              <w:t>MGMT</w:t>
            </w:r>
          </w:p>
          <w:p w14:paraId="43705F95"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b/>
                <w:bCs/>
                <w:szCs w:val="20"/>
              </w:rPr>
              <w:t>promoter</w:t>
            </w:r>
          </w:p>
        </w:tc>
        <w:tc>
          <w:tcPr>
            <w:tcW w:w="160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490FBE9B"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b/>
                <w:bCs/>
                <w:szCs w:val="20"/>
              </w:rPr>
              <w:t>Codeletion of</w:t>
            </w:r>
          </w:p>
          <w:p w14:paraId="7C10143A"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b/>
                <w:bCs/>
                <w:szCs w:val="20"/>
              </w:rPr>
              <w:t>1p/19q</w:t>
            </w:r>
          </w:p>
        </w:tc>
        <w:tc>
          <w:tcPr>
            <w:tcW w:w="1666" w:type="dxa"/>
            <w:gridSpan w:val="2"/>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FE4DFB2"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b/>
                <w:bCs/>
                <w:szCs w:val="20"/>
              </w:rPr>
              <w:t>Verhaak’s subtype of tissue</w:t>
            </w:r>
            <w:r w:rsidRPr="005030DA">
              <w:rPr>
                <w:rFonts w:ascii="Times New Roman" w:hAnsi="Times New Roman" w:cs="Times New Roman"/>
                <w:bCs/>
                <w:noProof/>
                <w:szCs w:val="20"/>
                <w:vertAlign w:val="superscript"/>
              </w:rPr>
              <w:t>1</w:t>
            </w:r>
            <w:r w:rsidRPr="00356EC4">
              <w:rPr>
                <w:rFonts w:ascii="Times New Roman" w:hAnsi="Times New Roman" w:cs="Times New Roman"/>
                <w:b/>
                <w:bCs/>
                <w:szCs w:val="20"/>
              </w:rPr>
              <w:t xml:space="preserve"> </w:t>
            </w:r>
          </w:p>
        </w:tc>
        <w:tc>
          <w:tcPr>
            <w:tcW w:w="178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5A66756C"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b/>
                <w:bCs/>
                <w:szCs w:val="20"/>
              </w:rPr>
              <w:t>Prognostic subtype of tissue</w:t>
            </w:r>
            <w:r w:rsidRPr="005030DA">
              <w:rPr>
                <w:rFonts w:ascii="Times New Roman" w:hAnsi="Times New Roman" w:cs="Times New Roman"/>
                <w:bCs/>
                <w:noProof/>
                <w:szCs w:val="20"/>
                <w:vertAlign w:val="superscript"/>
              </w:rPr>
              <w:t>2</w:t>
            </w:r>
          </w:p>
        </w:tc>
      </w:tr>
      <w:tr w:rsidR="0056745C" w:rsidRPr="0097033E" w14:paraId="6C050140" w14:textId="77777777" w:rsidTr="0056745C">
        <w:trPr>
          <w:trHeight w:val="381"/>
          <w:jc w:val="center"/>
        </w:trPr>
        <w:tc>
          <w:tcPr>
            <w:tcW w:w="141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E62E576" w14:textId="77777777" w:rsidR="0056745C" w:rsidRPr="00356EC4" w:rsidRDefault="0056745C" w:rsidP="0056745C">
            <w:pPr>
              <w:spacing w:after="0"/>
              <w:jc w:val="center"/>
              <w:rPr>
                <w:rFonts w:ascii="Times New Roman" w:hAnsi="Times New Roman" w:cs="Times New Roman"/>
                <w:szCs w:val="20"/>
              </w:rPr>
            </w:pPr>
            <w:r w:rsidRPr="007F110F">
              <w:rPr>
                <w:rFonts w:ascii="Times New Roman" w:eastAsia="Malgun Gothic" w:hAnsi="Times New Roman" w:cs="Times New Roman"/>
                <w:color w:val="000000"/>
                <w:kern w:val="0"/>
                <w:szCs w:val="20"/>
              </w:rPr>
              <w:t>TS15-88</w:t>
            </w:r>
          </w:p>
        </w:tc>
        <w:tc>
          <w:tcPr>
            <w:tcW w:w="198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309BCC8" w14:textId="77777777" w:rsidR="0056745C"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 xml:space="preserve">Glioblastoma, </w:t>
            </w:r>
          </w:p>
          <w:p w14:paraId="479C0120"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i/>
                <w:szCs w:val="20"/>
              </w:rPr>
              <w:t>IDH1</w:t>
            </w:r>
            <w:r>
              <w:rPr>
                <w:rFonts w:ascii="Times New Roman" w:hAnsi="Times New Roman" w:cs="Times New Roman"/>
                <w:szCs w:val="20"/>
              </w:rPr>
              <w:t>_wild</w:t>
            </w:r>
            <w:r w:rsidRPr="00356EC4">
              <w:rPr>
                <w:rFonts w:ascii="Times New Roman" w:hAnsi="Times New Roman" w:cs="Times New Roman"/>
                <w:szCs w:val="20"/>
              </w:rPr>
              <w:t xml:space="preserve"> type</w:t>
            </w:r>
          </w:p>
        </w:tc>
        <w:tc>
          <w:tcPr>
            <w:tcW w:w="141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6E3F281"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Unmethylated</w:t>
            </w:r>
          </w:p>
        </w:tc>
        <w:tc>
          <w:tcPr>
            <w:tcW w:w="160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1DB1C73"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Intact/Intact</w:t>
            </w:r>
          </w:p>
        </w:tc>
        <w:tc>
          <w:tcPr>
            <w:tcW w:w="165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DDF3C99" w14:textId="77777777" w:rsidR="0056745C" w:rsidRPr="00356EC4" w:rsidRDefault="0056745C" w:rsidP="0056745C">
            <w:pPr>
              <w:spacing w:after="0"/>
              <w:jc w:val="center"/>
              <w:rPr>
                <w:rFonts w:ascii="Times New Roman" w:hAnsi="Times New Roman" w:cs="Times New Roman"/>
                <w:szCs w:val="20"/>
              </w:rPr>
            </w:pPr>
            <w:r>
              <w:rPr>
                <w:rFonts w:ascii="Times New Roman" w:hAnsi="Times New Roman" w:cs="Times New Roman" w:hint="eastAsia"/>
                <w:szCs w:val="20"/>
              </w:rPr>
              <w:t>M</w:t>
            </w:r>
            <w:r>
              <w:rPr>
                <w:rFonts w:ascii="Times New Roman" w:hAnsi="Times New Roman" w:cs="Times New Roman"/>
                <w:szCs w:val="20"/>
              </w:rPr>
              <w:t>esenchymal</w:t>
            </w:r>
          </w:p>
        </w:tc>
        <w:tc>
          <w:tcPr>
            <w:tcW w:w="1798" w:type="dxa"/>
            <w:gridSpan w:val="2"/>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82484BC"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Invasive</w:t>
            </w:r>
          </w:p>
        </w:tc>
      </w:tr>
      <w:tr w:rsidR="0056745C" w:rsidRPr="0097033E" w14:paraId="48F2A362" w14:textId="77777777" w:rsidTr="0056745C">
        <w:trPr>
          <w:trHeight w:val="381"/>
          <w:jc w:val="center"/>
        </w:trPr>
        <w:tc>
          <w:tcPr>
            <w:tcW w:w="141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70DF61B"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TS14-15</w:t>
            </w:r>
          </w:p>
        </w:tc>
        <w:tc>
          <w:tcPr>
            <w:tcW w:w="198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DA7150C" w14:textId="77777777" w:rsidR="0056745C"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 xml:space="preserve">Glioblastoma, </w:t>
            </w:r>
          </w:p>
          <w:p w14:paraId="5DDF196A"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i/>
                <w:szCs w:val="20"/>
              </w:rPr>
              <w:t>IDH1</w:t>
            </w:r>
            <w:r>
              <w:rPr>
                <w:rFonts w:ascii="Times New Roman" w:hAnsi="Times New Roman" w:cs="Times New Roman"/>
                <w:szCs w:val="20"/>
              </w:rPr>
              <w:t>_wild</w:t>
            </w:r>
            <w:r w:rsidRPr="00356EC4">
              <w:rPr>
                <w:rFonts w:ascii="Times New Roman" w:hAnsi="Times New Roman" w:cs="Times New Roman"/>
                <w:szCs w:val="20"/>
              </w:rPr>
              <w:t xml:space="preserve"> type</w:t>
            </w:r>
          </w:p>
        </w:tc>
        <w:tc>
          <w:tcPr>
            <w:tcW w:w="141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2DEF037"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Methylated</w:t>
            </w:r>
          </w:p>
        </w:tc>
        <w:tc>
          <w:tcPr>
            <w:tcW w:w="160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DB25FB9"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Intact/LOH</w:t>
            </w:r>
          </w:p>
        </w:tc>
        <w:tc>
          <w:tcPr>
            <w:tcW w:w="165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4F0F0BB5"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Classical</w:t>
            </w:r>
          </w:p>
        </w:tc>
        <w:tc>
          <w:tcPr>
            <w:tcW w:w="1798" w:type="dxa"/>
            <w:gridSpan w:val="2"/>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F40EDE2"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Invasive</w:t>
            </w:r>
          </w:p>
        </w:tc>
      </w:tr>
      <w:tr w:rsidR="0056745C" w:rsidRPr="0097033E" w14:paraId="25359EC9" w14:textId="77777777" w:rsidTr="0056745C">
        <w:trPr>
          <w:trHeight w:val="381"/>
          <w:jc w:val="center"/>
        </w:trPr>
        <w:tc>
          <w:tcPr>
            <w:tcW w:w="141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F72CDDB" w14:textId="77777777" w:rsidR="0056745C" w:rsidRPr="007F110F" w:rsidRDefault="0056745C" w:rsidP="0056745C">
            <w:pPr>
              <w:widowControl/>
              <w:spacing w:after="0" w:line="240" w:lineRule="auto"/>
              <w:jc w:val="center"/>
              <w:rPr>
                <w:rFonts w:ascii="Times New Roman" w:eastAsia="Malgun Gothic" w:hAnsi="Times New Roman" w:cs="Times New Roman"/>
                <w:color w:val="000000"/>
                <w:kern w:val="0"/>
                <w:szCs w:val="20"/>
              </w:rPr>
            </w:pPr>
            <w:r w:rsidRPr="007F110F">
              <w:rPr>
                <w:rFonts w:ascii="Times New Roman" w:eastAsia="Malgun Gothic" w:hAnsi="Times New Roman" w:cs="Times New Roman"/>
                <w:color w:val="000000"/>
                <w:kern w:val="0"/>
                <w:szCs w:val="20"/>
              </w:rPr>
              <w:t>TS14-08</w:t>
            </w:r>
          </w:p>
        </w:tc>
        <w:tc>
          <w:tcPr>
            <w:tcW w:w="198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2500994" w14:textId="77777777" w:rsidR="0056745C"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 xml:space="preserve">Glioblastoma, </w:t>
            </w:r>
          </w:p>
          <w:p w14:paraId="238C1D07"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i/>
                <w:szCs w:val="20"/>
              </w:rPr>
              <w:t>IDH1</w:t>
            </w:r>
            <w:r>
              <w:rPr>
                <w:rFonts w:ascii="Times New Roman" w:hAnsi="Times New Roman" w:cs="Times New Roman"/>
                <w:szCs w:val="20"/>
              </w:rPr>
              <w:t>_wild</w:t>
            </w:r>
            <w:r w:rsidRPr="00356EC4">
              <w:rPr>
                <w:rFonts w:ascii="Times New Roman" w:hAnsi="Times New Roman" w:cs="Times New Roman"/>
                <w:szCs w:val="20"/>
              </w:rPr>
              <w:t xml:space="preserve"> type</w:t>
            </w:r>
          </w:p>
        </w:tc>
        <w:tc>
          <w:tcPr>
            <w:tcW w:w="141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1425A1A"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Unmethylated</w:t>
            </w:r>
          </w:p>
        </w:tc>
        <w:tc>
          <w:tcPr>
            <w:tcW w:w="160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79877900"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Intact/Intact</w:t>
            </w:r>
          </w:p>
        </w:tc>
        <w:tc>
          <w:tcPr>
            <w:tcW w:w="165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5D39E1DF" w14:textId="77777777" w:rsidR="0056745C" w:rsidRPr="00356EC4" w:rsidRDefault="0056745C" w:rsidP="0056745C">
            <w:pPr>
              <w:spacing w:after="0"/>
              <w:jc w:val="center"/>
              <w:rPr>
                <w:rFonts w:ascii="Times New Roman" w:hAnsi="Times New Roman" w:cs="Times New Roman"/>
                <w:szCs w:val="20"/>
              </w:rPr>
            </w:pPr>
            <w:r>
              <w:rPr>
                <w:rFonts w:ascii="Times New Roman" w:hAnsi="Times New Roman" w:cs="Times New Roman" w:hint="eastAsia"/>
                <w:szCs w:val="20"/>
              </w:rPr>
              <w:t>M</w:t>
            </w:r>
            <w:r>
              <w:rPr>
                <w:rFonts w:ascii="Times New Roman" w:hAnsi="Times New Roman" w:cs="Times New Roman"/>
                <w:szCs w:val="20"/>
              </w:rPr>
              <w:t>esenchymal</w:t>
            </w:r>
          </w:p>
        </w:tc>
        <w:tc>
          <w:tcPr>
            <w:tcW w:w="1798" w:type="dxa"/>
            <w:gridSpan w:val="2"/>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09AFF02"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Invasive</w:t>
            </w:r>
          </w:p>
        </w:tc>
      </w:tr>
      <w:tr w:rsidR="0056745C" w:rsidRPr="0097033E" w14:paraId="706BBBF2" w14:textId="77777777" w:rsidTr="0056745C">
        <w:trPr>
          <w:trHeight w:val="381"/>
          <w:jc w:val="center"/>
        </w:trPr>
        <w:tc>
          <w:tcPr>
            <w:tcW w:w="141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5193B32"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TS13-64</w:t>
            </w:r>
          </w:p>
        </w:tc>
        <w:tc>
          <w:tcPr>
            <w:tcW w:w="198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400AD28" w14:textId="77777777" w:rsidR="0056745C"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 xml:space="preserve">Glioblastoma, </w:t>
            </w:r>
          </w:p>
          <w:p w14:paraId="28FF8FA7"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i/>
                <w:szCs w:val="20"/>
              </w:rPr>
              <w:t>IDH1</w:t>
            </w:r>
            <w:r>
              <w:rPr>
                <w:rFonts w:ascii="Times New Roman" w:hAnsi="Times New Roman" w:cs="Times New Roman"/>
                <w:szCs w:val="20"/>
              </w:rPr>
              <w:t>_wi</w:t>
            </w:r>
            <w:r w:rsidRPr="00356EC4">
              <w:rPr>
                <w:rFonts w:ascii="Times New Roman" w:hAnsi="Times New Roman" w:cs="Times New Roman"/>
                <w:szCs w:val="20"/>
              </w:rPr>
              <w:t>ld type</w:t>
            </w:r>
          </w:p>
        </w:tc>
        <w:tc>
          <w:tcPr>
            <w:tcW w:w="141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6F36D561"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Unmethylated</w:t>
            </w:r>
          </w:p>
        </w:tc>
        <w:tc>
          <w:tcPr>
            <w:tcW w:w="160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5A4D0AB"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Intact/Intact</w:t>
            </w:r>
          </w:p>
        </w:tc>
        <w:tc>
          <w:tcPr>
            <w:tcW w:w="165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3EE5EF49"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Classical</w:t>
            </w:r>
          </w:p>
        </w:tc>
        <w:tc>
          <w:tcPr>
            <w:tcW w:w="1798" w:type="dxa"/>
            <w:gridSpan w:val="2"/>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1619A215" w14:textId="77777777" w:rsidR="0056745C" w:rsidRPr="00356EC4" w:rsidRDefault="0056745C" w:rsidP="0056745C">
            <w:pPr>
              <w:spacing w:after="0"/>
              <w:jc w:val="center"/>
              <w:rPr>
                <w:rFonts w:ascii="Times New Roman" w:hAnsi="Times New Roman" w:cs="Times New Roman"/>
                <w:szCs w:val="20"/>
              </w:rPr>
            </w:pPr>
            <w:r w:rsidRPr="00356EC4">
              <w:rPr>
                <w:rFonts w:ascii="Times New Roman" w:hAnsi="Times New Roman" w:cs="Times New Roman"/>
                <w:szCs w:val="20"/>
              </w:rPr>
              <w:t>Invasive</w:t>
            </w:r>
          </w:p>
        </w:tc>
      </w:tr>
    </w:tbl>
    <w:p w14:paraId="70161538" w14:textId="77777777" w:rsidR="0056745C" w:rsidRDefault="0056745C" w:rsidP="0056745C">
      <w:r>
        <w:rPr>
          <w:rFonts w:ascii="Times New Roman" w:eastAsia="Malgun Gothic" w:hAnsi="Times New Roman" w:cs="Times New Roman"/>
          <w:color w:val="000000"/>
          <w:kern w:val="0"/>
          <w:szCs w:val="20"/>
        </w:rPr>
        <w:t xml:space="preserve">Abbreviations: </w:t>
      </w:r>
      <w:r w:rsidRPr="007F110F">
        <w:rPr>
          <w:rFonts w:ascii="Times New Roman" w:eastAsia="Malgun Gothic" w:hAnsi="Times New Roman" w:cs="Times New Roman"/>
          <w:color w:val="000000"/>
          <w:kern w:val="0"/>
          <w:szCs w:val="20"/>
        </w:rPr>
        <w:t>IDH</w:t>
      </w:r>
      <w:r>
        <w:rPr>
          <w:rFonts w:ascii="Times New Roman" w:eastAsia="Malgun Gothic" w:hAnsi="Times New Roman" w:cs="Times New Roman"/>
          <w:color w:val="000000"/>
          <w:kern w:val="0"/>
          <w:szCs w:val="20"/>
        </w:rPr>
        <w:t>,</w:t>
      </w:r>
      <w:r w:rsidRPr="007F110F">
        <w:rPr>
          <w:rFonts w:ascii="Times New Roman" w:eastAsia="Malgun Gothic" w:hAnsi="Times New Roman" w:cs="Times New Roman"/>
          <w:color w:val="000000"/>
          <w:kern w:val="0"/>
          <w:szCs w:val="20"/>
        </w:rPr>
        <w:t xml:space="preserve"> isodehydrogenase</w:t>
      </w:r>
      <w:r>
        <w:rPr>
          <w:rFonts w:ascii="Times New Roman" w:eastAsia="Malgun Gothic" w:hAnsi="Times New Roman" w:cs="Times New Roman"/>
          <w:color w:val="000000"/>
          <w:kern w:val="0"/>
          <w:szCs w:val="20"/>
        </w:rPr>
        <w:t>;</w:t>
      </w:r>
      <w:r w:rsidRPr="007F110F">
        <w:rPr>
          <w:rFonts w:ascii="Times New Roman" w:eastAsia="Malgun Gothic" w:hAnsi="Times New Roman" w:cs="Times New Roman"/>
          <w:color w:val="000000"/>
          <w:kern w:val="0"/>
          <w:szCs w:val="20"/>
        </w:rPr>
        <w:t xml:space="preserve"> WT</w:t>
      </w:r>
      <w:r>
        <w:rPr>
          <w:rFonts w:ascii="Times New Roman" w:eastAsia="Malgun Gothic" w:hAnsi="Times New Roman" w:cs="Times New Roman"/>
          <w:color w:val="000000"/>
          <w:kern w:val="0"/>
          <w:szCs w:val="20"/>
        </w:rPr>
        <w:t>,</w:t>
      </w:r>
      <w:r w:rsidRPr="007F110F">
        <w:rPr>
          <w:rFonts w:ascii="Times New Roman" w:eastAsia="Malgun Gothic" w:hAnsi="Times New Roman" w:cs="Times New Roman"/>
          <w:color w:val="000000"/>
          <w:kern w:val="0"/>
          <w:szCs w:val="20"/>
        </w:rPr>
        <w:t xml:space="preserve"> wildtype</w:t>
      </w:r>
      <w:r>
        <w:rPr>
          <w:rFonts w:ascii="Times New Roman" w:eastAsia="Malgun Gothic" w:hAnsi="Times New Roman" w:cs="Times New Roman"/>
          <w:color w:val="000000"/>
          <w:kern w:val="0"/>
          <w:szCs w:val="20"/>
        </w:rPr>
        <w:t>;</w:t>
      </w:r>
      <w:r w:rsidRPr="007F110F">
        <w:rPr>
          <w:rFonts w:ascii="Times New Roman" w:eastAsia="Malgun Gothic" w:hAnsi="Times New Roman" w:cs="Times New Roman"/>
          <w:color w:val="000000"/>
          <w:kern w:val="0"/>
          <w:szCs w:val="20"/>
        </w:rPr>
        <w:t xml:space="preserve"> </w:t>
      </w:r>
      <w:r w:rsidRPr="00033A89">
        <w:rPr>
          <w:rFonts w:ascii="Times New Roman" w:eastAsia="Malgun Gothic" w:hAnsi="Times New Roman" w:cs="Times New Roman"/>
          <w:color w:val="000000"/>
          <w:kern w:val="0"/>
          <w:szCs w:val="20"/>
        </w:rPr>
        <w:t>Codeletion of 1p/19q</w:t>
      </w:r>
      <w:r>
        <w:rPr>
          <w:rFonts w:ascii="Times New Roman" w:eastAsia="Malgun Gothic" w:hAnsi="Times New Roman" w:cs="Times New Roman"/>
          <w:color w:val="000000"/>
          <w:kern w:val="0"/>
          <w:szCs w:val="20"/>
        </w:rPr>
        <w:t xml:space="preserve">, </w:t>
      </w:r>
      <w:r w:rsidRPr="00033A89">
        <w:rPr>
          <w:rFonts w:ascii="Times New Roman" w:eastAsia="Malgun Gothic" w:hAnsi="Times New Roman" w:cs="Times New Roman"/>
          <w:color w:val="000000"/>
          <w:kern w:val="0"/>
          <w:szCs w:val="20"/>
        </w:rPr>
        <w:t>the presence of codeletion of chromosome 1p/19q</w:t>
      </w:r>
      <w:r>
        <w:rPr>
          <w:rFonts w:ascii="Times New Roman" w:eastAsia="Malgun Gothic" w:hAnsi="Times New Roman" w:cs="Times New Roman"/>
          <w:color w:val="000000"/>
          <w:kern w:val="0"/>
          <w:szCs w:val="20"/>
        </w:rPr>
        <w:t>;</w:t>
      </w:r>
      <w:r w:rsidRPr="00033A89">
        <w:rPr>
          <w:rFonts w:ascii="Times New Roman" w:eastAsia="Malgun Gothic" w:hAnsi="Times New Roman" w:cs="Times New Roman"/>
          <w:color w:val="000000"/>
          <w:kern w:val="0"/>
          <w:szCs w:val="20"/>
        </w:rPr>
        <w:t xml:space="preserve"> </w:t>
      </w:r>
      <w:r w:rsidRPr="007F110F">
        <w:rPr>
          <w:rFonts w:ascii="Times New Roman" w:eastAsia="Malgun Gothic" w:hAnsi="Times New Roman" w:cs="Times New Roman"/>
          <w:color w:val="000000"/>
          <w:kern w:val="0"/>
          <w:szCs w:val="20"/>
        </w:rPr>
        <w:t>MGMT</w:t>
      </w:r>
      <w:r>
        <w:rPr>
          <w:rFonts w:ascii="Times New Roman" w:eastAsia="Malgun Gothic" w:hAnsi="Times New Roman" w:cs="Times New Roman"/>
          <w:color w:val="000000"/>
          <w:kern w:val="0"/>
          <w:szCs w:val="20"/>
        </w:rPr>
        <w:t>,</w:t>
      </w:r>
      <w:r w:rsidRPr="007F110F">
        <w:rPr>
          <w:rFonts w:ascii="Times New Roman" w:eastAsia="Malgun Gothic" w:hAnsi="Times New Roman" w:cs="Times New Roman"/>
          <w:color w:val="000000"/>
          <w:kern w:val="0"/>
          <w:szCs w:val="20"/>
        </w:rPr>
        <w:t xml:space="preserve"> O-6-methylguanine-DNA methyltransferase</w:t>
      </w:r>
      <w:r>
        <w:rPr>
          <w:rFonts w:ascii="Times New Roman" w:eastAsia="Malgun Gothic" w:hAnsi="Times New Roman" w:cs="Times New Roman"/>
          <w:color w:val="000000"/>
          <w:kern w:val="0"/>
          <w:szCs w:val="20"/>
        </w:rPr>
        <w:t>;</w:t>
      </w:r>
      <w:r w:rsidRPr="007F110F">
        <w:rPr>
          <w:rFonts w:ascii="Times New Roman" w:eastAsia="Malgun Gothic" w:hAnsi="Times New Roman" w:cs="Times New Roman"/>
          <w:color w:val="000000"/>
          <w:kern w:val="0"/>
          <w:szCs w:val="20"/>
        </w:rPr>
        <w:t xml:space="preserve"> EGFR</w:t>
      </w:r>
      <w:r>
        <w:rPr>
          <w:rFonts w:ascii="Times New Roman" w:eastAsia="Malgun Gothic" w:hAnsi="Times New Roman" w:cs="Times New Roman"/>
          <w:color w:val="000000"/>
          <w:kern w:val="0"/>
          <w:szCs w:val="20"/>
        </w:rPr>
        <w:t>, e</w:t>
      </w:r>
      <w:r w:rsidRPr="007F110F">
        <w:rPr>
          <w:rFonts w:ascii="Times New Roman" w:eastAsia="Malgun Gothic" w:hAnsi="Times New Roman" w:cs="Times New Roman"/>
          <w:color w:val="000000"/>
          <w:kern w:val="0"/>
          <w:szCs w:val="20"/>
        </w:rPr>
        <w:t>pidermal growth factor receptor</w:t>
      </w:r>
    </w:p>
    <w:p w14:paraId="1A38EB2D" w14:textId="77777777" w:rsidR="0056745C" w:rsidRPr="00204228" w:rsidRDefault="0056745C" w:rsidP="0056745C">
      <w:pPr>
        <w:pStyle w:val="EndNoteBibliography"/>
        <w:spacing w:after="0"/>
        <w:ind w:left="720" w:hanging="720"/>
        <w:rPr>
          <w:b/>
          <w:szCs w:val="20"/>
        </w:rPr>
      </w:pPr>
      <w:r w:rsidRPr="00204228">
        <w:rPr>
          <w:rFonts w:hint="eastAsia"/>
          <w:b/>
          <w:szCs w:val="20"/>
        </w:rPr>
        <w:t>References</w:t>
      </w:r>
      <w:r w:rsidRPr="00204228">
        <w:rPr>
          <w:b/>
          <w:szCs w:val="20"/>
        </w:rPr>
        <w:t xml:space="preserve"> </w:t>
      </w:r>
      <w:r>
        <w:rPr>
          <w:b/>
          <w:szCs w:val="20"/>
        </w:rPr>
        <w:t xml:space="preserve">of </w:t>
      </w:r>
      <w:r w:rsidRPr="00204228">
        <w:rPr>
          <w:b/>
          <w:szCs w:val="20"/>
        </w:rPr>
        <w:t xml:space="preserve">Supplementary Table S2 </w:t>
      </w:r>
    </w:p>
    <w:p w14:paraId="14A2CB22" w14:textId="77777777" w:rsidR="0056745C" w:rsidRDefault="0056745C" w:rsidP="0056745C">
      <w:pPr>
        <w:pStyle w:val="EndNoteBibliography"/>
        <w:spacing w:after="0"/>
        <w:ind w:left="720" w:hanging="720"/>
      </w:pPr>
    </w:p>
    <w:p w14:paraId="44578A27" w14:textId="77777777" w:rsidR="0056745C" w:rsidRPr="005030DA" w:rsidRDefault="0056745C" w:rsidP="0056745C">
      <w:pPr>
        <w:pStyle w:val="EndNoteBibliography"/>
        <w:spacing w:after="0"/>
        <w:ind w:left="720" w:hanging="720"/>
      </w:pPr>
      <w:r w:rsidRPr="005030DA">
        <w:t>1.</w:t>
      </w:r>
      <w:r w:rsidRPr="005030DA">
        <w:tab/>
        <w:t xml:space="preserve">Verhaak RGW, Hoadley KA, Purdom E, </w:t>
      </w:r>
      <w:r w:rsidRPr="0090311A">
        <w:t>Wang V, Qi Y, Wilkerson MD, Miller CR, Ding L, Golub T, Mesirov JP, Alexe G</w:t>
      </w:r>
      <w:r w:rsidRPr="005030DA">
        <w:t>.</w:t>
      </w:r>
      <w:r>
        <w:t xml:space="preserve"> </w:t>
      </w:r>
      <w:r>
        <w:rPr>
          <w:rFonts w:hint="eastAsia"/>
        </w:rPr>
        <w:t>(2010)</w:t>
      </w:r>
      <w:r w:rsidRPr="005030DA">
        <w:t xml:space="preserve"> Integrated </w:t>
      </w:r>
      <w:r>
        <w:t>g</w:t>
      </w:r>
      <w:r w:rsidRPr="005030DA">
        <w:t xml:space="preserve">enomic </w:t>
      </w:r>
      <w:r>
        <w:t>a</w:t>
      </w:r>
      <w:r w:rsidRPr="005030DA">
        <w:t xml:space="preserve">nalysis </w:t>
      </w:r>
      <w:r>
        <w:t>i</w:t>
      </w:r>
      <w:r w:rsidRPr="005030DA">
        <w:t xml:space="preserve">dentifies </w:t>
      </w:r>
      <w:r>
        <w:t>c</w:t>
      </w:r>
      <w:r w:rsidRPr="005030DA">
        <w:t xml:space="preserve">linically </w:t>
      </w:r>
      <w:r>
        <w:t>r</w:t>
      </w:r>
      <w:r w:rsidRPr="005030DA">
        <w:t xml:space="preserve">elevant </w:t>
      </w:r>
      <w:r>
        <w:t>s</w:t>
      </w:r>
      <w:r w:rsidRPr="005030DA">
        <w:t xml:space="preserve">ubtypes of </w:t>
      </w:r>
      <w:r>
        <w:t>g</w:t>
      </w:r>
      <w:r w:rsidRPr="005030DA">
        <w:t xml:space="preserve">lioblastoma </w:t>
      </w:r>
      <w:r>
        <w:t>c</w:t>
      </w:r>
      <w:r w:rsidRPr="005030DA">
        <w:t xml:space="preserve">haracterized by </w:t>
      </w:r>
      <w:r>
        <w:t>a</w:t>
      </w:r>
      <w:r w:rsidRPr="005030DA">
        <w:t xml:space="preserve">bnormalities in PDGFRA, IDH1, EGFR, and NF1. </w:t>
      </w:r>
      <w:r w:rsidRPr="005030DA">
        <w:rPr>
          <w:i/>
        </w:rPr>
        <w:t>Cancer Cell</w:t>
      </w:r>
      <w:r>
        <w:t xml:space="preserve">. </w:t>
      </w:r>
      <w:r w:rsidRPr="005030DA">
        <w:t>17(1):98-110.</w:t>
      </w:r>
      <w:r>
        <w:t xml:space="preserve"> </w:t>
      </w:r>
      <w:r w:rsidRPr="0090311A">
        <w:t>https://doi.org/10.1016/j.ccr.2009.12.020</w:t>
      </w:r>
    </w:p>
    <w:p w14:paraId="6D5BD9D9" w14:textId="77777777" w:rsidR="0056745C" w:rsidRPr="005030DA" w:rsidRDefault="0056745C" w:rsidP="0056745C">
      <w:pPr>
        <w:pStyle w:val="EndNoteBibliography"/>
        <w:ind w:left="720" w:hanging="720"/>
      </w:pPr>
      <w:r w:rsidRPr="005030DA">
        <w:t>2.</w:t>
      </w:r>
      <w:r w:rsidRPr="005030DA">
        <w:tab/>
        <w:t>Park J, Shim JK, Yoon SJ, Kim SH, Chang JH, Kang SG.</w:t>
      </w:r>
      <w:r>
        <w:t xml:space="preserve"> </w:t>
      </w:r>
      <w:r>
        <w:rPr>
          <w:rFonts w:hint="eastAsia"/>
        </w:rPr>
        <w:t>(2019)</w:t>
      </w:r>
      <w:r w:rsidRPr="005030DA">
        <w:t xml:space="preserve"> Transcriptome profiling-based identification of prognostic subtypes and multi-omics signatures of glioblastoma. </w:t>
      </w:r>
      <w:r w:rsidRPr="005030DA">
        <w:rPr>
          <w:i/>
        </w:rPr>
        <w:t>Scientific Reports</w:t>
      </w:r>
      <w:r>
        <w:t>. 9</w:t>
      </w:r>
      <w:r>
        <w:rPr>
          <w:rFonts w:hint="eastAsia"/>
        </w:rPr>
        <w:t>:10555</w:t>
      </w:r>
      <w:r>
        <w:t xml:space="preserve">. </w:t>
      </w:r>
      <w:r w:rsidRPr="0090311A">
        <w:t>https://doi.org/10.1038/s41598-019-47066-y</w:t>
      </w:r>
    </w:p>
    <w:p w14:paraId="77C1584F" w14:textId="77777777" w:rsidR="0056745C" w:rsidRDefault="0056745C" w:rsidP="0056745C">
      <w:pPr>
        <w:widowControl/>
        <w:spacing w:line="480" w:lineRule="auto"/>
        <w:ind w:firstLine="200"/>
        <w:rPr>
          <w:rFonts w:ascii="Times New Roman" w:eastAsia="Times New Roman" w:hAnsi="Times New Roman" w:cs="Times New Roman"/>
        </w:rPr>
      </w:pPr>
    </w:p>
    <w:p w14:paraId="155CDF5B" w14:textId="77777777" w:rsidR="0056745C" w:rsidRDefault="0056745C" w:rsidP="0056745C">
      <w:pPr>
        <w:widowControl/>
        <w:spacing w:line="480" w:lineRule="auto"/>
        <w:rPr>
          <w:rFonts w:ascii="Times New Roman" w:eastAsia="Times New Roman" w:hAnsi="Times New Roman" w:cs="Times New Roman"/>
        </w:rPr>
      </w:pPr>
    </w:p>
    <w:p w14:paraId="26F15065" w14:textId="77777777" w:rsidR="0056745C" w:rsidRDefault="0056745C" w:rsidP="0056745C">
      <w:pPr>
        <w:widowControl/>
        <w:spacing w:line="480" w:lineRule="auto"/>
        <w:ind w:firstLine="200"/>
        <w:rPr>
          <w:rFonts w:ascii="Times New Roman" w:eastAsia="Times New Roman" w:hAnsi="Times New Roman" w:cs="Times New Roman"/>
        </w:rPr>
      </w:pPr>
      <w:r>
        <w:rPr>
          <w:rFonts w:ascii="Times New Roman" w:eastAsia="Times New Roman" w:hAnsi="Times New Roman" w:cs="Times New Roman"/>
          <w:noProof/>
          <w:lang w:val="en-IN" w:eastAsia="en-IN"/>
        </w:rPr>
        <w:drawing>
          <wp:inline distT="0" distB="0" distL="0" distR="0" wp14:anchorId="051687C9" wp14:editId="4C63CA8A">
            <wp:extent cx="4622083" cy="2370243"/>
            <wp:effectExtent l="0" t="0" r="1270" b="508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12"/>
                    <pic:cNvPicPr/>
                  </pic:nvPicPr>
                  <pic:blipFill rotWithShape="1">
                    <a:blip r:embed="rId4" cstate="print">
                      <a:extLst>
                        <a:ext uri="{28A0092B-C50C-407E-A947-70E740481C1C}">
                          <a14:useLocalDpi xmlns:a14="http://schemas.microsoft.com/office/drawing/2010/main" val="0"/>
                        </a:ext>
                      </a:extLst>
                    </a:blip>
                    <a:srcRect l="-1" t="4724" r="19339" b="64517"/>
                    <a:stretch/>
                  </pic:blipFill>
                  <pic:spPr bwMode="auto">
                    <a:xfrm>
                      <a:off x="0" y="0"/>
                      <a:ext cx="4623140" cy="2370785"/>
                    </a:xfrm>
                    <a:prstGeom prst="rect">
                      <a:avLst/>
                    </a:prstGeom>
                    <a:ln>
                      <a:noFill/>
                    </a:ln>
                    <a:extLst>
                      <a:ext uri="{53640926-AAD7-44D8-BBD7-CCE9431645EC}">
                        <a14:shadowObscured xmlns:a14="http://schemas.microsoft.com/office/drawing/2010/main"/>
                      </a:ext>
                    </a:extLst>
                  </pic:spPr>
                </pic:pic>
              </a:graphicData>
            </a:graphic>
          </wp:inline>
        </w:drawing>
      </w:r>
    </w:p>
    <w:p w14:paraId="12A5FE39" w14:textId="77777777" w:rsidR="0056745C" w:rsidRDefault="0056745C" w:rsidP="0056745C">
      <w:pPr>
        <w:widowControl/>
        <w:rPr>
          <w:rFonts w:ascii="Times New Roman" w:hAnsi="Times New Roman" w:cs="Times New Roman"/>
          <w:szCs w:val="20"/>
        </w:rPr>
      </w:pPr>
      <w:r>
        <w:rPr>
          <w:rFonts w:ascii="Times New Roman" w:hAnsi="Times New Roman" w:cs="Times New Roman" w:hint="eastAsia"/>
          <w:b/>
          <w:szCs w:val="20"/>
        </w:rPr>
        <w:t>Supplementary Fig</w:t>
      </w:r>
      <w:r>
        <w:rPr>
          <w:rFonts w:ascii="Times New Roman" w:hAnsi="Times New Roman" w:cs="Times New Roman"/>
          <w:b/>
          <w:szCs w:val="20"/>
        </w:rPr>
        <w:t>.</w:t>
      </w:r>
      <w:r>
        <w:rPr>
          <w:rFonts w:ascii="Times New Roman" w:hAnsi="Times New Roman" w:cs="Times New Roman" w:hint="eastAsia"/>
          <w:b/>
          <w:szCs w:val="20"/>
        </w:rPr>
        <w:t xml:space="preserve"> </w:t>
      </w:r>
      <w:r>
        <w:rPr>
          <w:rFonts w:ascii="Times New Roman" w:hAnsi="Times New Roman" w:cs="Times New Roman"/>
          <w:b/>
          <w:szCs w:val="20"/>
        </w:rPr>
        <w:t>1</w:t>
      </w:r>
      <w:r>
        <w:rPr>
          <w:rFonts w:ascii="Times New Roman" w:hAnsi="Times New Roman" w:cs="Times New Roman" w:hint="eastAsia"/>
          <w:b/>
          <w:szCs w:val="20"/>
        </w:rPr>
        <w:t xml:space="preserve">. </w:t>
      </w:r>
      <w:r>
        <w:rPr>
          <w:rFonts w:ascii="Times New Roman" w:hAnsi="Times New Roman" w:cs="Times New Roman"/>
          <w:b/>
          <w:szCs w:val="20"/>
        </w:rPr>
        <w:t xml:space="preserve"> </w:t>
      </w:r>
      <w:r w:rsidRPr="00C8699F">
        <w:rPr>
          <w:rFonts w:ascii="Times New Roman" w:hAnsi="Times New Roman" w:cs="Times New Roman"/>
          <w:szCs w:val="20"/>
        </w:rPr>
        <w:t>Mitochondrial stress analysis show</w:t>
      </w:r>
      <w:r>
        <w:rPr>
          <w:rFonts w:ascii="Times New Roman" w:hAnsi="Times New Roman" w:cs="Times New Roman"/>
          <w:szCs w:val="20"/>
        </w:rPr>
        <w:t>ing</w:t>
      </w:r>
      <w:r w:rsidRPr="00C8699F">
        <w:rPr>
          <w:rFonts w:ascii="Times New Roman" w:hAnsi="Times New Roman" w:cs="Times New Roman"/>
          <w:szCs w:val="20"/>
        </w:rPr>
        <w:t xml:space="preserve"> decreased OCR </w:t>
      </w:r>
      <w:r>
        <w:rPr>
          <w:rFonts w:ascii="Times New Roman" w:hAnsi="Times New Roman" w:cs="Times New Roman"/>
          <w:szCs w:val="20"/>
        </w:rPr>
        <w:t>in TS13-64 following</w:t>
      </w:r>
      <w:r w:rsidRPr="00C8699F">
        <w:rPr>
          <w:rFonts w:ascii="Times New Roman" w:hAnsi="Times New Roman" w:cs="Times New Roman"/>
          <w:szCs w:val="20"/>
        </w:rPr>
        <w:t xml:space="preserve"> etomoxir</w:t>
      </w:r>
      <w:r>
        <w:rPr>
          <w:rFonts w:ascii="Times New Roman" w:hAnsi="Times New Roman" w:cs="Times New Roman"/>
          <w:szCs w:val="20"/>
        </w:rPr>
        <w:t xml:space="preserve"> treatment</w:t>
      </w:r>
    </w:p>
    <w:p w14:paraId="442D1F9D" w14:textId="77777777" w:rsidR="0056745C" w:rsidRDefault="0056745C" w:rsidP="0056745C">
      <w:pPr>
        <w:widowControl/>
        <w:spacing w:line="480" w:lineRule="auto"/>
        <w:rPr>
          <w:rFonts w:ascii="Times New Roman" w:eastAsia="Times New Roman" w:hAnsi="Times New Roman" w:cs="Times New Roman"/>
        </w:rPr>
      </w:pPr>
    </w:p>
    <w:p w14:paraId="122291E5" w14:textId="77777777" w:rsidR="0056745C" w:rsidRPr="005E2AB8" w:rsidRDefault="0056745C" w:rsidP="0056745C">
      <w:pPr>
        <w:widowControl/>
        <w:spacing w:line="480" w:lineRule="auto"/>
        <w:rPr>
          <w:rFonts w:ascii="Times New Roman" w:eastAsia="Times New Roman" w:hAnsi="Times New Roman" w:cs="Times New Roman"/>
        </w:rPr>
      </w:pPr>
      <w:r>
        <w:rPr>
          <w:noProof/>
          <w:lang w:val="en-IN" w:eastAsia="en-IN"/>
        </w:rPr>
        <w:drawing>
          <wp:inline distT="0" distB="0" distL="0" distR="0" wp14:anchorId="7A2771D5" wp14:editId="5646E40D">
            <wp:extent cx="5194300" cy="3580765"/>
            <wp:effectExtent l="0" t="0" r="0" b="635"/>
            <wp:docPr id="4" name="그림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cstate="print">
                      <a:extLst>
                        <a:ext uri="{28A0092B-C50C-407E-A947-70E740481C1C}">
                          <a14:useLocalDpi xmlns:a14="http://schemas.microsoft.com/office/drawing/2010/main" val="0"/>
                        </a:ext>
                      </a:extLst>
                    </a:blip>
                    <a:srcRect r="9319" b="11530"/>
                    <a:stretch>
                      <a:fillRect/>
                    </a:stretch>
                  </pic:blipFill>
                  <pic:spPr bwMode="auto">
                    <a:xfrm>
                      <a:off x="0" y="0"/>
                      <a:ext cx="5194300" cy="3580765"/>
                    </a:xfrm>
                    <a:prstGeom prst="rect">
                      <a:avLst/>
                    </a:prstGeom>
                    <a:noFill/>
                    <a:ln>
                      <a:noFill/>
                    </a:ln>
                  </pic:spPr>
                </pic:pic>
              </a:graphicData>
            </a:graphic>
          </wp:inline>
        </w:drawing>
      </w:r>
    </w:p>
    <w:p w14:paraId="5343B916" w14:textId="77777777" w:rsidR="0056745C" w:rsidRPr="005E2AB8" w:rsidRDefault="0056745C" w:rsidP="0056745C">
      <w:pPr>
        <w:widowControl/>
        <w:spacing w:line="480" w:lineRule="auto"/>
        <w:rPr>
          <w:rFonts w:ascii="Times New Roman" w:eastAsia="Times New Roman" w:hAnsi="Times New Roman" w:cs="Times New Roman"/>
        </w:rPr>
      </w:pPr>
      <w:r w:rsidRPr="001675FF">
        <w:rPr>
          <w:rFonts w:ascii="Times New Roman" w:eastAsia="Times New Roman" w:hAnsi="Times New Roman" w:cs="Times New Roman"/>
          <w:b/>
          <w:bCs/>
        </w:rPr>
        <w:t>Supplementary Fig. 2.</w:t>
      </w:r>
      <w:r w:rsidRPr="005E2AB8">
        <w:rPr>
          <w:rFonts w:ascii="Times New Roman" w:eastAsia="Times New Roman" w:hAnsi="Times New Roman" w:cs="Times New Roman"/>
        </w:rPr>
        <w:t xml:space="preserve">  </w:t>
      </w:r>
      <w:r>
        <w:rPr>
          <w:rFonts w:ascii="Times New Roman" w:hAnsi="Times New Roman" w:cs="Times New Roman"/>
          <w:bCs/>
          <w:color w:val="FF0000"/>
        </w:rPr>
        <w:t>The sphere-forming capacity of GBM TSs cells were examined using the Extreme Limiting Dilution Assay (ELDA). TS cells were seeded in increasing order per well (1, 5, 10, 20, and 50 cells per well) in TS complete media with or without drugs in 96-well plates . The number of tumor spheres in each well was counted 7 days after plating. The online ELDA analysis tool was used (</w:t>
      </w:r>
      <w:hyperlink r:id="rId6" w:history="1">
        <w:r>
          <w:rPr>
            <w:rStyle w:val="Hyperlink"/>
            <w:rFonts w:ascii="Times New Roman" w:hAnsi="Times New Roman" w:cs="Times New Roman"/>
            <w:bCs/>
            <w:color w:val="FF0000"/>
          </w:rPr>
          <w:t>http://bioinf.wehi.edu.au/software/elda</w:t>
        </w:r>
      </w:hyperlink>
      <w:r>
        <w:rPr>
          <w:rFonts w:ascii="Times New Roman" w:hAnsi="Times New Roman" w:cs="Times New Roman"/>
          <w:bCs/>
          <w:color w:val="FF0000"/>
        </w:rPr>
        <w:t>).</w:t>
      </w:r>
    </w:p>
    <w:p w14:paraId="682051FD" w14:textId="77777777" w:rsidR="0056745C" w:rsidRPr="001675FF" w:rsidRDefault="0056745C" w:rsidP="0056745C">
      <w:pPr>
        <w:widowControl/>
        <w:spacing w:line="480" w:lineRule="auto"/>
        <w:rPr>
          <w:rFonts w:ascii="Times New Roman" w:eastAsia="Times New Roman" w:hAnsi="Times New Roman" w:cs="Times New Roman"/>
          <w:b/>
          <w:bCs/>
        </w:rPr>
      </w:pPr>
      <w:r w:rsidRPr="001675FF">
        <w:rPr>
          <w:rFonts w:ascii="Times New Roman" w:eastAsia="Times New Roman" w:hAnsi="Times New Roman" w:cs="Times New Roman"/>
          <w:b/>
          <w:bCs/>
        </w:rPr>
        <w:t>References of Supplementary Fig. 2.</w:t>
      </w:r>
    </w:p>
    <w:p w14:paraId="3AF63E50" w14:textId="77777777" w:rsidR="0056745C" w:rsidRPr="00A94C44" w:rsidRDefault="0056745C" w:rsidP="0056745C">
      <w:pPr>
        <w:rPr>
          <w:rFonts w:ascii="Times New Roman" w:eastAsia="Malgun Gothic" w:hAnsi="Times New Roman" w:cs="Times New Roman"/>
          <w:bCs/>
          <w:noProof/>
        </w:rPr>
      </w:pPr>
      <w:r w:rsidRPr="00A94C44">
        <w:rPr>
          <w:rFonts w:ascii="Times New Roman" w:eastAsia="Malgun Gothic" w:hAnsi="Times New Roman" w:cs="Times New Roman"/>
          <w:bCs/>
          <w:noProof/>
        </w:rPr>
        <w:t>1.</w:t>
      </w:r>
      <w:r w:rsidRPr="00A94C44">
        <w:rPr>
          <w:rFonts w:ascii="Times New Roman" w:eastAsia="Malgun Gothic" w:hAnsi="Times New Roman" w:cs="Times New Roman"/>
          <w:bCs/>
          <w:noProof/>
        </w:rPr>
        <w:tab/>
        <w:t>Hu, Y.F. &amp; Smyth, G.K. ELDA: Extreme limiting dilution analysis for comparing depleted and enriched populations in stem cell and other assays. J Immunol Methods 2009; 347, 70-78.</w:t>
      </w:r>
    </w:p>
    <w:p w14:paraId="13C15004" w14:textId="77777777" w:rsidR="0056745C" w:rsidRPr="005A1492" w:rsidRDefault="0056745C" w:rsidP="0056745C">
      <w:pPr>
        <w:widowControl/>
        <w:spacing w:line="480" w:lineRule="auto"/>
        <w:rPr>
          <w:rFonts w:ascii="Times New Roman" w:eastAsia="Times New Roman" w:hAnsi="Times New Roman" w:cs="Times New Roman"/>
        </w:rPr>
      </w:pPr>
    </w:p>
    <w:p w14:paraId="444E4FF6" w14:textId="77777777" w:rsidR="0056745C" w:rsidRDefault="0056745C" w:rsidP="0056745C">
      <w:pPr>
        <w:widowControl/>
        <w:spacing w:line="480" w:lineRule="auto"/>
        <w:ind w:firstLine="200"/>
        <w:rPr>
          <w:rFonts w:ascii="Times New Roman" w:eastAsia="Times New Roman" w:hAnsi="Times New Roman" w:cs="Times New Roman"/>
        </w:rPr>
      </w:pPr>
    </w:p>
    <w:p w14:paraId="0B5E6557" w14:textId="77777777" w:rsidR="0056745C" w:rsidRDefault="0056745C" w:rsidP="0056745C">
      <w:pPr>
        <w:widowControl/>
        <w:spacing w:line="480" w:lineRule="auto"/>
        <w:ind w:firstLine="200"/>
        <w:rPr>
          <w:rFonts w:ascii="Times New Roman" w:eastAsia="Times New Roman" w:hAnsi="Times New Roman" w:cs="Times New Roman"/>
        </w:rPr>
      </w:pPr>
      <w:r>
        <w:rPr>
          <w:rFonts w:ascii="Times New Roman" w:eastAsia="Times New Roman" w:hAnsi="Times New Roman" w:cs="Times New Roman"/>
          <w:noProof/>
          <w:lang w:val="en-IN" w:eastAsia="en-IN"/>
        </w:rPr>
        <w:drawing>
          <wp:inline distT="0" distB="0" distL="0" distR="0" wp14:anchorId="3E092E98" wp14:editId="014D5976">
            <wp:extent cx="5731510" cy="6908800"/>
            <wp:effectExtent l="0" t="0" r="0" b="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그림 14"/>
                    <pic:cNvPicPr/>
                  </pic:nvPicPr>
                  <pic:blipFill rotWithShape="1">
                    <a:blip r:embed="rId7" cstate="print">
                      <a:extLst>
                        <a:ext uri="{28A0092B-C50C-407E-A947-70E740481C1C}">
                          <a14:useLocalDpi xmlns:a14="http://schemas.microsoft.com/office/drawing/2010/main" val="0"/>
                        </a:ext>
                      </a:extLst>
                    </a:blip>
                    <a:srcRect b="10364"/>
                    <a:stretch/>
                  </pic:blipFill>
                  <pic:spPr bwMode="auto">
                    <a:xfrm>
                      <a:off x="0" y="0"/>
                      <a:ext cx="5731510" cy="6908800"/>
                    </a:xfrm>
                    <a:prstGeom prst="rect">
                      <a:avLst/>
                    </a:prstGeom>
                    <a:ln>
                      <a:noFill/>
                    </a:ln>
                    <a:extLst>
                      <a:ext uri="{53640926-AAD7-44D8-BBD7-CCE9431645EC}">
                        <a14:shadowObscured xmlns:a14="http://schemas.microsoft.com/office/drawing/2010/main"/>
                      </a:ext>
                    </a:extLst>
                  </pic:spPr>
                </pic:pic>
              </a:graphicData>
            </a:graphic>
          </wp:inline>
        </w:drawing>
      </w:r>
    </w:p>
    <w:p w14:paraId="3F626D55" w14:textId="77777777" w:rsidR="0056745C" w:rsidRDefault="0056745C" w:rsidP="0056745C">
      <w:pPr>
        <w:widowControl/>
        <w:spacing w:line="480" w:lineRule="auto"/>
        <w:rPr>
          <w:rFonts w:ascii="Times New Roman" w:hAnsi="Times New Roman" w:cs="Times New Roman"/>
          <w:szCs w:val="20"/>
        </w:rPr>
      </w:pPr>
      <w:r>
        <w:rPr>
          <w:rFonts w:ascii="Times New Roman" w:hAnsi="Times New Roman" w:cs="Times New Roman"/>
          <w:b/>
          <w:szCs w:val="20"/>
        </w:rPr>
        <w:t xml:space="preserve">Supplementary </w:t>
      </w:r>
      <w:r w:rsidRPr="00C8699F">
        <w:rPr>
          <w:rFonts w:ascii="Times New Roman" w:hAnsi="Times New Roman" w:cs="Times New Roman" w:hint="eastAsia"/>
          <w:b/>
          <w:szCs w:val="20"/>
        </w:rPr>
        <w:t>Fig</w:t>
      </w:r>
      <w:r>
        <w:rPr>
          <w:rFonts w:ascii="Times New Roman" w:hAnsi="Times New Roman" w:cs="Times New Roman"/>
          <w:b/>
          <w:szCs w:val="20"/>
        </w:rPr>
        <w:t>.</w:t>
      </w:r>
      <w:r w:rsidRPr="00C8699F">
        <w:rPr>
          <w:rFonts w:ascii="Times New Roman" w:hAnsi="Times New Roman" w:cs="Times New Roman" w:hint="eastAsia"/>
          <w:b/>
          <w:szCs w:val="20"/>
        </w:rPr>
        <w:t xml:space="preserve"> </w:t>
      </w:r>
      <w:r>
        <w:rPr>
          <w:rFonts w:ascii="Times New Roman" w:hAnsi="Times New Roman" w:cs="Times New Roman"/>
          <w:b/>
          <w:szCs w:val="20"/>
        </w:rPr>
        <w:t>3</w:t>
      </w:r>
      <w:r w:rsidRPr="00C8699F">
        <w:rPr>
          <w:rFonts w:ascii="Times New Roman" w:hAnsi="Times New Roman" w:cs="Times New Roman" w:hint="eastAsia"/>
          <w:b/>
          <w:szCs w:val="20"/>
        </w:rPr>
        <w:t xml:space="preserve">. </w:t>
      </w:r>
      <w:r>
        <w:rPr>
          <w:rFonts w:ascii="Times New Roman" w:hAnsi="Times New Roman" w:cs="Times New Roman"/>
          <w:b/>
          <w:szCs w:val="20"/>
        </w:rPr>
        <w:t xml:space="preserve"> </w:t>
      </w:r>
      <w:r>
        <w:rPr>
          <w:rFonts w:ascii="Times New Roman" w:hAnsi="Times New Roman" w:cs="Times New Roman"/>
          <w:szCs w:val="20"/>
        </w:rPr>
        <w:t>E</w:t>
      </w:r>
      <w:r w:rsidRPr="00C8699F">
        <w:rPr>
          <w:rFonts w:ascii="Times New Roman" w:hAnsi="Times New Roman" w:cs="Times New Roman"/>
          <w:szCs w:val="20"/>
        </w:rPr>
        <w:t xml:space="preserve">ffects of etomoxir and TMZ </w:t>
      </w:r>
      <w:r>
        <w:rPr>
          <w:rFonts w:ascii="Times New Roman" w:hAnsi="Times New Roman" w:cs="Times New Roman"/>
          <w:szCs w:val="20"/>
        </w:rPr>
        <w:t xml:space="preserve">combination treatment </w:t>
      </w:r>
      <w:r w:rsidRPr="00C8699F">
        <w:rPr>
          <w:rFonts w:ascii="Times New Roman" w:hAnsi="Times New Roman" w:cs="Times New Roman"/>
          <w:szCs w:val="20"/>
        </w:rPr>
        <w:t>on gene expression profile</w:t>
      </w:r>
      <w:r>
        <w:rPr>
          <w:rFonts w:ascii="Times New Roman" w:hAnsi="Times New Roman" w:cs="Times New Roman"/>
          <w:szCs w:val="20"/>
        </w:rPr>
        <w:t xml:space="preserve"> as determined</w:t>
      </w:r>
      <w:r w:rsidRPr="00C8699F">
        <w:rPr>
          <w:rFonts w:ascii="Times New Roman" w:hAnsi="Times New Roman" w:cs="Times New Roman"/>
          <w:szCs w:val="20"/>
        </w:rPr>
        <w:t xml:space="preserve"> by RNA-sequencing.  </w:t>
      </w:r>
      <w:r w:rsidRPr="0020257B">
        <w:rPr>
          <w:rFonts w:ascii="Times New Roman" w:hAnsi="Times New Roman" w:cs="Times New Roman"/>
          <w:szCs w:val="20"/>
        </w:rPr>
        <w:t xml:space="preserve">TS13-64 cells were treated with etomoxir and/or TMZ for 72 </w:t>
      </w:r>
      <w:r>
        <w:rPr>
          <w:rFonts w:ascii="Times New Roman" w:hAnsi="Times New Roman" w:cs="Times New Roman"/>
          <w:szCs w:val="20"/>
        </w:rPr>
        <w:t>h</w:t>
      </w:r>
      <w:r w:rsidRPr="0020257B">
        <w:rPr>
          <w:rFonts w:ascii="Times New Roman" w:hAnsi="Times New Roman" w:cs="Times New Roman"/>
          <w:szCs w:val="20"/>
        </w:rPr>
        <w:t xml:space="preserve">, and RNA-sequencing was </w:t>
      </w:r>
      <w:r>
        <w:rPr>
          <w:rFonts w:ascii="Times New Roman" w:hAnsi="Times New Roman" w:cs="Times New Roman"/>
          <w:szCs w:val="20"/>
        </w:rPr>
        <w:t>performed</w:t>
      </w:r>
      <w:r w:rsidRPr="0020257B">
        <w:rPr>
          <w:rFonts w:ascii="Times New Roman" w:hAnsi="Times New Roman" w:cs="Times New Roman"/>
          <w:szCs w:val="20"/>
        </w:rPr>
        <w:t xml:space="preserve"> to determine the gene expression profile</w:t>
      </w:r>
      <w:r>
        <w:rPr>
          <w:rFonts w:ascii="Times New Roman" w:hAnsi="Times New Roman" w:cs="Times New Roman"/>
          <w:szCs w:val="20"/>
        </w:rPr>
        <w:t>s</w:t>
      </w:r>
      <w:r w:rsidRPr="0020257B">
        <w:rPr>
          <w:rFonts w:ascii="Times New Roman" w:hAnsi="Times New Roman" w:cs="Times New Roman"/>
          <w:szCs w:val="20"/>
        </w:rPr>
        <w:t>.</w:t>
      </w:r>
      <w:r w:rsidRPr="00C8699F">
        <w:rPr>
          <w:rFonts w:ascii="Times New Roman" w:hAnsi="Times New Roman" w:cs="Times New Roman"/>
          <w:szCs w:val="20"/>
        </w:rPr>
        <w:t xml:space="preserve">  </w:t>
      </w:r>
      <w:r w:rsidRPr="00C8699F">
        <w:rPr>
          <w:rFonts w:ascii="Times New Roman" w:hAnsi="Times New Roman" w:cs="Times New Roman"/>
          <w:b/>
          <w:szCs w:val="20"/>
        </w:rPr>
        <w:t>a</w:t>
      </w:r>
      <w:r>
        <w:rPr>
          <w:rFonts w:ascii="Times New Roman" w:hAnsi="Times New Roman" w:cs="Times New Roman"/>
          <w:b/>
          <w:szCs w:val="20"/>
        </w:rPr>
        <w:t>.</w:t>
      </w:r>
      <w:r w:rsidRPr="00C8699F">
        <w:rPr>
          <w:rFonts w:ascii="Times New Roman" w:hAnsi="Times New Roman" w:cs="Times New Roman"/>
          <w:b/>
          <w:szCs w:val="20"/>
        </w:rPr>
        <w:t xml:space="preserve"> </w:t>
      </w:r>
      <w:r w:rsidRPr="00A50F0A">
        <w:rPr>
          <w:rFonts w:ascii="Times New Roman" w:hAnsi="Times New Roman" w:cs="Times New Roman"/>
          <w:szCs w:val="20"/>
        </w:rPr>
        <w:t xml:space="preserve">Average linkage hierarchical clustering was </w:t>
      </w:r>
      <w:r>
        <w:rPr>
          <w:rFonts w:ascii="Times New Roman" w:hAnsi="Times New Roman" w:cs="Times New Roman"/>
          <w:szCs w:val="20"/>
        </w:rPr>
        <w:t>achieved</w:t>
      </w:r>
      <w:r w:rsidRPr="00A50F0A">
        <w:rPr>
          <w:rFonts w:ascii="Times New Roman" w:hAnsi="Times New Roman" w:cs="Times New Roman"/>
          <w:szCs w:val="20"/>
        </w:rPr>
        <w:t xml:space="preserve"> with Euclidean distance</w:t>
      </w:r>
      <w:r>
        <w:rPr>
          <w:rFonts w:ascii="Times New Roman" w:hAnsi="Times New Roman" w:cs="Times New Roman"/>
          <w:szCs w:val="20"/>
        </w:rPr>
        <w:t xml:space="preserve"> used</w:t>
      </w:r>
      <w:r w:rsidRPr="00A50F0A">
        <w:rPr>
          <w:rFonts w:ascii="Times New Roman" w:hAnsi="Times New Roman" w:cs="Times New Roman"/>
          <w:szCs w:val="20"/>
        </w:rPr>
        <w:t xml:space="preserve"> as a distance metric for genes </w:t>
      </w:r>
      <w:r>
        <w:rPr>
          <w:rFonts w:ascii="Times New Roman" w:hAnsi="Times New Roman" w:cs="Times New Roman"/>
          <w:szCs w:val="20"/>
        </w:rPr>
        <w:t>showing</w:t>
      </w:r>
      <w:r w:rsidRPr="00A50F0A">
        <w:rPr>
          <w:rFonts w:ascii="Times New Roman" w:hAnsi="Times New Roman" w:cs="Times New Roman"/>
          <w:szCs w:val="20"/>
        </w:rPr>
        <w:t xml:space="preserve"> average expression in the top 30%</w:t>
      </w:r>
      <w:r>
        <w:rPr>
          <w:rFonts w:ascii="Times New Roman" w:hAnsi="Times New Roman" w:cs="Times New Roman"/>
          <w:szCs w:val="20"/>
        </w:rPr>
        <w:t>.</w:t>
      </w:r>
      <w:r w:rsidRPr="00A50F0A">
        <w:rPr>
          <w:rFonts w:ascii="Times New Roman" w:hAnsi="Times New Roman" w:cs="Times New Roman"/>
          <w:szCs w:val="20"/>
        </w:rPr>
        <w:t xml:space="preserve"> </w:t>
      </w:r>
      <w:r>
        <w:rPr>
          <w:rFonts w:ascii="Times New Roman" w:hAnsi="Times New Roman" w:cs="Times New Roman"/>
          <w:szCs w:val="20"/>
        </w:rPr>
        <w:t>E</w:t>
      </w:r>
      <w:r w:rsidRPr="00A50F0A">
        <w:rPr>
          <w:rFonts w:ascii="Times New Roman" w:hAnsi="Times New Roman" w:cs="Times New Roman"/>
          <w:szCs w:val="20"/>
        </w:rPr>
        <w:t xml:space="preserve">xpression </w:t>
      </w:r>
      <w:r>
        <w:rPr>
          <w:rFonts w:ascii="Times New Roman" w:hAnsi="Times New Roman" w:cs="Times New Roman"/>
          <w:szCs w:val="20"/>
        </w:rPr>
        <w:t>was</w:t>
      </w:r>
      <w:r w:rsidRPr="00A50F0A">
        <w:rPr>
          <w:rFonts w:ascii="Times New Roman" w:hAnsi="Times New Roman" w:cs="Times New Roman"/>
          <w:szCs w:val="20"/>
        </w:rPr>
        <w:t xml:space="preserve"> visualized as a heat map using GENE-E software.</w:t>
      </w:r>
      <w:r w:rsidRPr="00137DB6">
        <w:rPr>
          <w:rFonts w:ascii="Times New Roman" w:hAnsi="Times New Roman" w:cs="Times New Roman"/>
          <w:szCs w:val="20"/>
        </w:rPr>
        <w:t xml:space="preserve">  </w:t>
      </w:r>
      <w:r w:rsidRPr="00C8699F">
        <w:rPr>
          <w:rFonts w:ascii="Times New Roman" w:hAnsi="Times New Roman" w:cs="Times New Roman"/>
          <w:b/>
          <w:szCs w:val="20"/>
        </w:rPr>
        <w:t xml:space="preserve"> </w:t>
      </w:r>
      <w:r w:rsidRPr="00C8699F">
        <w:rPr>
          <w:rFonts w:ascii="Times New Roman" w:hAnsi="Times New Roman" w:cs="Times New Roman"/>
          <w:szCs w:val="20"/>
        </w:rPr>
        <w:t xml:space="preserve">Among the DEGs between </w:t>
      </w:r>
      <w:r>
        <w:rPr>
          <w:rFonts w:ascii="Times New Roman" w:hAnsi="Times New Roman" w:cs="Times New Roman"/>
          <w:szCs w:val="20"/>
        </w:rPr>
        <w:t xml:space="preserve">the </w:t>
      </w:r>
      <w:r w:rsidRPr="00C8699F">
        <w:rPr>
          <w:rFonts w:ascii="Times New Roman" w:hAnsi="Times New Roman" w:cs="Times New Roman"/>
          <w:szCs w:val="20"/>
        </w:rPr>
        <w:t xml:space="preserve">control and combination groups, </w:t>
      </w:r>
      <w:r>
        <w:rPr>
          <w:rFonts w:ascii="Times New Roman" w:hAnsi="Times New Roman" w:cs="Times New Roman"/>
          <w:szCs w:val="20"/>
        </w:rPr>
        <w:t xml:space="preserve">genes with </w:t>
      </w:r>
      <w:r>
        <w:rPr>
          <w:rFonts w:ascii="Times New Roman" w:hAnsi="Times New Roman" w:cs="Times New Roman"/>
          <w:b/>
          <w:szCs w:val="20"/>
        </w:rPr>
        <w:t>b.</w:t>
      </w:r>
      <w:r>
        <w:rPr>
          <w:rFonts w:ascii="Times New Roman" w:hAnsi="Times New Roman" w:cs="Times New Roman"/>
          <w:szCs w:val="20"/>
        </w:rPr>
        <w:t xml:space="preserve"> </w:t>
      </w:r>
      <w:r w:rsidRPr="00C8699F">
        <w:rPr>
          <w:rFonts w:ascii="Times New Roman" w:hAnsi="Times New Roman" w:cs="Times New Roman"/>
          <w:szCs w:val="20"/>
        </w:rPr>
        <w:t>upregulated</w:t>
      </w:r>
      <w:r w:rsidRPr="00525B44">
        <w:rPr>
          <w:rFonts w:ascii="Times New Roman" w:hAnsi="Times New Roman" w:cs="Times New Roman"/>
          <w:szCs w:val="20"/>
        </w:rPr>
        <w:t xml:space="preserve"> </w:t>
      </w:r>
      <w:r w:rsidRPr="00C8699F">
        <w:rPr>
          <w:rFonts w:ascii="Times New Roman" w:hAnsi="Times New Roman" w:cs="Times New Roman"/>
          <w:szCs w:val="20"/>
        </w:rPr>
        <w:t xml:space="preserve">and </w:t>
      </w:r>
      <w:r>
        <w:rPr>
          <w:rFonts w:ascii="Times New Roman" w:hAnsi="Times New Roman" w:cs="Times New Roman"/>
          <w:b/>
          <w:szCs w:val="20"/>
        </w:rPr>
        <w:t>c.</w:t>
      </w:r>
      <w:r w:rsidRPr="00C8699F">
        <w:rPr>
          <w:rFonts w:ascii="Times New Roman" w:hAnsi="Times New Roman" w:cs="Times New Roman"/>
          <w:szCs w:val="20"/>
        </w:rPr>
        <w:t xml:space="preserve"> downregulated </w:t>
      </w:r>
      <w:r>
        <w:rPr>
          <w:rFonts w:ascii="Times New Roman" w:hAnsi="Times New Roman" w:cs="Times New Roman"/>
          <w:szCs w:val="20"/>
        </w:rPr>
        <w:t>expression following</w:t>
      </w:r>
      <w:r w:rsidRPr="00C8699F">
        <w:rPr>
          <w:rFonts w:ascii="Times New Roman" w:hAnsi="Times New Roman" w:cs="Times New Roman"/>
          <w:szCs w:val="20"/>
        </w:rPr>
        <w:t xml:space="preserve"> combination </w:t>
      </w:r>
      <w:r>
        <w:rPr>
          <w:rFonts w:ascii="Times New Roman" w:hAnsi="Times New Roman" w:cs="Times New Roman"/>
          <w:szCs w:val="20"/>
        </w:rPr>
        <w:t xml:space="preserve">therapy </w:t>
      </w:r>
      <w:r w:rsidRPr="00C8699F">
        <w:rPr>
          <w:rFonts w:ascii="Times New Roman" w:hAnsi="Times New Roman" w:cs="Times New Roman"/>
          <w:szCs w:val="20"/>
        </w:rPr>
        <w:t xml:space="preserve">were functionally annotated, clustered, and visualized </w:t>
      </w:r>
      <w:r>
        <w:rPr>
          <w:rFonts w:ascii="Times New Roman" w:hAnsi="Times New Roman" w:cs="Times New Roman"/>
          <w:szCs w:val="20"/>
        </w:rPr>
        <w:t>in</w:t>
      </w:r>
      <w:r w:rsidRPr="00C8699F">
        <w:rPr>
          <w:rFonts w:ascii="Times New Roman" w:hAnsi="Times New Roman" w:cs="Times New Roman"/>
          <w:szCs w:val="20"/>
        </w:rPr>
        <w:t xml:space="preserve"> an enrichment map. </w:t>
      </w:r>
      <w:r w:rsidRPr="0020257B">
        <w:rPr>
          <w:rFonts w:ascii="Times New Roman" w:hAnsi="Times New Roman" w:cs="Times New Roman"/>
          <w:szCs w:val="20"/>
        </w:rPr>
        <w:t>Each node represents a GO term with the size of the nodes indicating the statistical significance of over-representation. The kappa score connection is represented by an edge between two nodes.</w:t>
      </w:r>
      <w:r>
        <w:rPr>
          <w:rFonts w:ascii="Times New Roman" w:hAnsi="Times New Roman" w:cs="Times New Roman"/>
          <w:szCs w:val="20"/>
        </w:rPr>
        <w:t xml:space="preserve"> </w:t>
      </w:r>
      <w:r w:rsidRPr="0020257B">
        <w:rPr>
          <w:rFonts w:ascii="Times New Roman" w:hAnsi="Times New Roman" w:cs="Times New Roman"/>
          <w:szCs w:val="20"/>
        </w:rPr>
        <w:t xml:space="preserve">Clustered modules are represented by node colors, and the most important GO phrases for each module are </w:t>
      </w:r>
      <w:r>
        <w:rPr>
          <w:rFonts w:ascii="Times New Roman" w:hAnsi="Times New Roman" w:cs="Times New Roman"/>
          <w:szCs w:val="20"/>
        </w:rPr>
        <w:t>shown</w:t>
      </w:r>
      <w:r w:rsidRPr="0020257B">
        <w:rPr>
          <w:rFonts w:ascii="Times New Roman" w:hAnsi="Times New Roman" w:cs="Times New Roman"/>
          <w:szCs w:val="20"/>
        </w:rPr>
        <w:t xml:space="preserve"> with highlighted labels.</w:t>
      </w:r>
      <w:r>
        <w:rPr>
          <w:rFonts w:ascii="Times New Roman" w:hAnsi="Times New Roman" w:cs="Times New Roman"/>
          <w:szCs w:val="20"/>
        </w:rPr>
        <w:t xml:space="preserve">  </w:t>
      </w:r>
    </w:p>
    <w:p w14:paraId="5EB89B28" w14:textId="77777777" w:rsidR="0056745C" w:rsidRDefault="0056745C" w:rsidP="0056745C">
      <w:pPr>
        <w:spacing w:line="480" w:lineRule="auto"/>
        <w:rPr>
          <w:rFonts w:ascii="Times New Roman" w:eastAsia="Times New Roman" w:hAnsi="Times New Roman" w:cs="Times New Roman"/>
        </w:rPr>
      </w:pPr>
    </w:p>
    <w:p w14:paraId="6B2543FE" w14:textId="77777777" w:rsidR="0056745C" w:rsidRDefault="0056745C" w:rsidP="0056745C">
      <w:pPr>
        <w:spacing w:line="480" w:lineRule="auto"/>
        <w:rPr>
          <w:rFonts w:ascii="Times New Roman" w:eastAsia="Times New Roman" w:hAnsi="Times New Roman" w:cs="Times New Roman"/>
        </w:rPr>
      </w:pPr>
      <w:bookmarkStart w:id="0" w:name="_GoBack"/>
      <w:r>
        <w:rPr>
          <w:rFonts w:ascii="Times New Roman" w:eastAsia="Times New Roman" w:hAnsi="Times New Roman" w:cs="Times New Roman"/>
          <w:noProof/>
          <w:lang w:val="en-IN" w:eastAsia="en-IN"/>
        </w:rPr>
        <w:drawing>
          <wp:inline distT="0" distB="0" distL="0" distR="0" wp14:anchorId="2C049BB3" wp14:editId="47D5E5EA">
            <wp:extent cx="5731510" cy="6722534"/>
            <wp:effectExtent l="0" t="0" r="0" b="0"/>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그림 16"/>
                    <pic:cNvPicPr/>
                  </pic:nvPicPr>
                  <pic:blipFill rotWithShape="1">
                    <a:blip r:embed="rId8" cstate="print">
                      <a:extLst>
                        <a:ext uri="{28A0092B-C50C-407E-A947-70E740481C1C}">
                          <a14:useLocalDpi xmlns:a14="http://schemas.microsoft.com/office/drawing/2010/main" val="0"/>
                        </a:ext>
                      </a:extLst>
                    </a:blip>
                    <a:srcRect b="12781"/>
                    <a:stretch/>
                  </pic:blipFill>
                  <pic:spPr bwMode="auto">
                    <a:xfrm>
                      <a:off x="0" y="0"/>
                      <a:ext cx="5731510" cy="6722534"/>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33335AC5" w14:textId="0FAE47C9" w:rsidR="004B5FEE" w:rsidRPr="000C087E" w:rsidRDefault="0056745C" w:rsidP="0056745C">
      <w:r w:rsidRPr="005D2E98">
        <w:rPr>
          <w:rFonts w:ascii="Times New Roman" w:hAnsi="Times New Roman" w:cs="Times New Roman" w:hint="eastAsia"/>
          <w:b/>
          <w:szCs w:val="20"/>
        </w:rPr>
        <w:t>Supplementary Fig</w:t>
      </w:r>
      <w:r>
        <w:rPr>
          <w:rFonts w:ascii="Times New Roman" w:hAnsi="Times New Roman" w:cs="Times New Roman"/>
          <w:b/>
          <w:szCs w:val="20"/>
        </w:rPr>
        <w:t>.</w:t>
      </w:r>
      <w:r w:rsidRPr="005D2E98">
        <w:rPr>
          <w:rFonts w:ascii="Times New Roman" w:hAnsi="Times New Roman" w:cs="Times New Roman" w:hint="eastAsia"/>
          <w:b/>
          <w:szCs w:val="20"/>
        </w:rPr>
        <w:t xml:space="preserve"> </w:t>
      </w:r>
      <w:r>
        <w:rPr>
          <w:rFonts w:ascii="Times New Roman" w:hAnsi="Times New Roman" w:cs="Times New Roman"/>
          <w:b/>
          <w:szCs w:val="20"/>
        </w:rPr>
        <w:t>4</w:t>
      </w:r>
      <w:r w:rsidRPr="005D2E98">
        <w:rPr>
          <w:rFonts w:ascii="Times New Roman" w:hAnsi="Times New Roman" w:cs="Times New Roman" w:hint="eastAsia"/>
          <w:b/>
          <w:szCs w:val="20"/>
        </w:rPr>
        <w:t>.</w:t>
      </w:r>
      <w:r>
        <w:rPr>
          <w:rFonts w:ascii="Times New Roman" w:hAnsi="Times New Roman" w:cs="Times New Roman" w:hint="eastAsia"/>
          <w:szCs w:val="20"/>
        </w:rPr>
        <w:t xml:space="preserve"> </w:t>
      </w:r>
      <w:r>
        <w:rPr>
          <w:rFonts w:ascii="Times New Roman" w:hAnsi="Times New Roman" w:cs="Times New Roman"/>
          <w:szCs w:val="20"/>
        </w:rPr>
        <w:t xml:space="preserve"> Kaplan-Meier survival curves following etomoxir-alone, TMZ-alone, or etomoxir-TMZ combination treatment.  </w:t>
      </w:r>
      <w:r w:rsidRPr="00BA07EB">
        <w:rPr>
          <w:rFonts w:ascii="Times New Roman" w:hAnsi="Times New Roman" w:cs="Times New Roman"/>
          <w:b/>
          <w:szCs w:val="20"/>
        </w:rPr>
        <w:t>a</w:t>
      </w:r>
      <w:r>
        <w:rPr>
          <w:rFonts w:ascii="Times New Roman" w:hAnsi="Times New Roman" w:cs="Times New Roman"/>
          <w:b/>
          <w:szCs w:val="20"/>
        </w:rPr>
        <w:t>-c.</w:t>
      </w:r>
      <w:r>
        <w:rPr>
          <w:rFonts w:ascii="Times New Roman" w:hAnsi="Times New Roman" w:cs="Times New Roman"/>
          <w:szCs w:val="20"/>
        </w:rPr>
        <w:t xml:space="preserve"> The etomoxir-only and combination groups had significantly improved survival compared to the control group, in contrast to the TMZ-only group.  </w:t>
      </w:r>
      <w:r w:rsidRPr="005D2E98">
        <w:rPr>
          <w:rFonts w:ascii="Times New Roman" w:hAnsi="Times New Roman" w:cs="Times New Roman"/>
          <w:b/>
          <w:szCs w:val="20"/>
        </w:rPr>
        <w:t>d</w:t>
      </w:r>
      <w:r>
        <w:rPr>
          <w:rFonts w:ascii="Times New Roman" w:hAnsi="Times New Roman" w:cs="Times New Roman"/>
          <w:b/>
          <w:szCs w:val="20"/>
        </w:rPr>
        <w:t>-e.</w:t>
      </w:r>
      <w:r>
        <w:rPr>
          <w:rFonts w:ascii="Times New Roman" w:hAnsi="Times New Roman" w:cs="Times New Roman"/>
          <w:szCs w:val="20"/>
        </w:rPr>
        <w:t xml:space="preserve"> The combination group exhibited improved survival compared to the etomoxir- or TMZ-only groups.</w:t>
      </w:r>
    </w:p>
    <w:sectPr w:rsidR="004B5FEE" w:rsidRPr="000C087E">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algun Gothic">
    <w:altName w:val="Malgun Gothic"/>
    <w:panose1 w:val="020B0503020000020004"/>
    <w:charset w:val="81"/>
    <w:family w:val="swiss"/>
    <w:pitch w:val="variable"/>
    <w:sig w:usb0="9000002F" w:usb1="29D77CFB" w:usb2="00000012" w:usb3="00000000" w:csb0="00080001" w:csb1="00000000"/>
  </w:font>
  <w:font w:name="Times New Roman">
    <w:altName w:val="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FEE"/>
    <w:rsid w:val="0003207F"/>
    <w:rsid w:val="000C087E"/>
    <w:rsid w:val="00207BB1"/>
    <w:rsid w:val="004B5FEE"/>
    <w:rsid w:val="0056745C"/>
    <w:rsid w:val="005D4402"/>
    <w:rsid w:val="00A13DCE"/>
    <w:rsid w:val="00C9321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7DEFB"/>
  <w15:chartTrackingRefBased/>
  <w15:docId w15:val="{4E7C1C4D-1530-4F93-B423-37701F721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FEE"/>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56745C"/>
    <w:pPr>
      <w:wordWrap/>
      <w:autoSpaceDE/>
      <w:autoSpaceDN/>
      <w:spacing w:line="240" w:lineRule="auto"/>
    </w:pPr>
    <w:rPr>
      <w:rFonts w:ascii="Times New Roman" w:eastAsia="Times New Roman" w:hAnsi="Times New Roman" w:cs="Times New Roman"/>
      <w:lang w:val=""/>
    </w:rPr>
  </w:style>
  <w:style w:type="character" w:customStyle="1" w:styleId="EndNoteBibliographyChar">
    <w:name w:val="EndNote Bibliography Char"/>
    <w:basedOn w:val="DefaultParagraphFont"/>
    <w:link w:val="EndNoteBibliography"/>
    <w:rsid w:val="0056745C"/>
    <w:rPr>
      <w:rFonts w:ascii="Times New Roman" w:eastAsia="Times New Roman" w:hAnsi="Times New Roman" w:cs="Times New Roman"/>
      <w:lang w:val=""/>
    </w:rPr>
  </w:style>
  <w:style w:type="character" w:styleId="Hyperlink">
    <w:name w:val="Hyperlink"/>
    <w:basedOn w:val="DefaultParagraphFont"/>
    <w:rsid w:val="0056745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25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ioinf.wehi.edu.au/software/elda"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668</Words>
  <Characters>3809</Characters>
  <Application>Microsoft Office Word</Application>
  <DocSecurity>0</DocSecurity>
  <Lines>31</Lines>
  <Paragraphs>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4469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심 진경</dc:creator>
  <cp:keywords/>
  <dc:description/>
  <cp:lastModifiedBy>Deepikas Sakthivel</cp:lastModifiedBy>
  <cp:revision>3</cp:revision>
  <dcterms:created xsi:type="dcterms:W3CDTF">2022-10-05T04:30:00Z</dcterms:created>
  <dcterms:modified xsi:type="dcterms:W3CDTF">2022-10-05T05:40:00Z</dcterms:modified>
</cp:coreProperties>
</file>