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63405" w14:textId="77777777" w:rsidR="00B6443D" w:rsidRPr="00EE55D5" w:rsidRDefault="00B6443D">
      <w:pPr>
        <w:widowControl w:val="0"/>
        <w:spacing w:before="0" w:after="0"/>
        <w:jc w:val="both"/>
        <w:rPr>
          <w:color w:val="000000" w:themeColor="text1"/>
        </w:rPr>
      </w:pPr>
    </w:p>
    <w:p w14:paraId="7D465FFB" w14:textId="77777777" w:rsidR="00B6443D" w:rsidRPr="00EE55D5" w:rsidRDefault="00EE55D5">
      <w:pPr>
        <w:suppressLineNumbers/>
        <w:spacing w:before="240" w:after="120"/>
        <w:jc w:val="center"/>
        <w:rPr>
          <w:rFonts w:cs="Times New Roman"/>
          <w:i/>
          <w:color w:val="000000" w:themeColor="text1"/>
          <w:sz w:val="32"/>
          <w:szCs w:val="32"/>
        </w:rPr>
      </w:pPr>
      <w:r w:rsidRPr="00EE55D5">
        <w:rPr>
          <w:rFonts w:eastAsia="等线" w:cs="Times New Roman"/>
          <w:b/>
          <w:i/>
          <w:color w:val="000000" w:themeColor="text1"/>
          <w:sz w:val="32"/>
          <w:szCs w:val="32"/>
          <w:lang w:bidi="ar"/>
        </w:rPr>
        <w:t>Additional Material</w:t>
      </w:r>
    </w:p>
    <w:p w14:paraId="0FDD1AEC" w14:textId="77777777" w:rsidR="00B6443D" w:rsidRPr="00EE55D5" w:rsidRDefault="00EE55D5">
      <w:pPr>
        <w:tabs>
          <w:tab w:val="left" w:pos="567"/>
        </w:tabs>
        <w:spacing w:before="240"/>
        <w:outlineLvl w:val="0"/>
        <w:rPr>
          <w:rFonts w:eastAsia="Cambria" w:cs="Times New Roman"/>
          <w:b/>
          <w:color w:val="000000" w:themeColor="text1"/>
          <w:szCs w:val="24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t>Additional Figures and Tables</w:t>
      </w:r>
    </w:p>
    <w:p w14:paraId="305E7C9E" w14:textId="77777777" w:rsidR="00B6443D" w:rsidRPr="00EE55D5" w:rsidRDefault="00EE55D5">
      <w:pPr>
        <w:tabs>
          <w:tab w:val="left" w:pos="567"/>
        </w:tabs>
        <w:spacing w:before="240" w:after="200"/>
        <w:ind w:left="567" w:hanging="567"/>
        <w:outlineLvl w:val="1"/>
        <w:rPr>
          <w:rFonts w:eastAsia="Cambria" w:cs="Times New Roman"/>
          <w:b/>
          <w:color w:val="000000" w:themeColor="text1"/>
          <w:szCs w:val="24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t>Additional Figures</w:t>
      </w:r>
    </w:p>
    <w:p w14:paraId="33DF8BAC" w14:textId="77777777" w:rsidR="00B6443D" w:rsidRPr="00EE55D5" w:rsidRDefault="00B6443D">
      <w:pPr>
        <w:rPr>
          <w:rFonts w:cs="Times New Roman"/>
          <w:b/>
          <w:bCs/>
          <w:color w:val="000000" w:themeColor="text1"/>
          <w:szCs w:val="24"/>
        </w:rPr>
      </w:pPr>
    </w:p>
    <w:p w14:paraId="21FE09E5" w14:textId="77777777" w:rsidR="00B6443D" w:rsidRPr="00EE55D5" w:rsidRDefault="00EE55D5">
      <w:pPr>
        <w:rPr>
          <w:rFonts w:cs="Times New Roman"/>
          <w:b/>
          <w:bCs/>
          <w:color w:val="000000" w:themeColor="text1"/>
          <w:szCs w:val="24"/>
        </w:rPr>
      </w:pPr>
      <w:r w:rsidRPr="00EE55D5">
        <w:rPr>
          <w:rFonts w:eastAsia="等线" w:cs="Times New Roman"/>
          <w:b/>
          <w:noProof/>
          <w:color w:val="000000" w:themeColor="text1"/>
          <w:szCs w:val="24"/>
          <w:lang w:val="en-IN" w:eastAsia="en-IN"/>
        </w:rPr>
        <w:lastRenderedPageBreak/>
        <w:drawing>
          <wp:inline distT="0" distB="0" distL="114300" distR="114300" wp14:anchorId="2EB63F5C" wp14:editId="20A97EC5">
            <wp:extent cx="5273040" cy="6697980"/>
            <wp:effectExtent l="0" t="0" r="0" b="7620"/>
            <wp:docPr id="1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9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E69D0" w14:textId="77777777" w:rsidR="00B6443D" w:rsidRDefault="00EE55D5">
      <w:pPr>
        <w:rPr>
          <w:rFonts w:eastAsia="等线" w:cs="Times New Roman"/>
          <w:color w:val="000000" w:themeColor="text1"/>
          <w:szCs w:val="24"/>
          <w:lang w:bidi="ar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t>Additional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 Figure 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fldChar w:fldCharType="begin"/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instrText xml:space="preserve"> SEQ Figure \* ARABIC </w:instrTex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fldChar w:fldCharType="separate"/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>1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fldChar w:fldCharType="end"/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. </w:t>
      </w:r>
      <w:r w:rsidRPr="00EE55D5">
        <w:rPr>
          <w:rFonts w:eastAsia="等线" w:cs="Times New Roman"/>
          <w:color w:val="000000" w:themeColor="text1"/>
          <w:szCs w:val="24"/>
          <w:lang w:bidi="ar"/>
        </w:rPr>
        <w:t xml:space="preserve">Differential gene analysis of circadian subgroups. (A) heat map of differential expression of circadian rhythm genes in normal group (13) and tumor group (304) ; (B) box plot of differential expression of circadian rhythm genes in normal group (13) and tumor group (304); (C) is the dotplot of expression of selected circadian genes between GEO-collected normal cervical tissues </w:t>
      </w:r>
      <w:r w:rsidRPr="00EE55D5">
        <w:rPr>
          <w:rFonts w:eastAsia="等线" w:cs="Times New Roman"/>
          <w:color w:val="000000" w:themeColor="text1"/>
          <w:szCs w:val="24"/>
          <w:lang w:eastAsia="zh-CN" w:bidi="ar"/>
        </w:rPr>
        <w:t>(101)</w:t>
      </w:r>
      <w:r w:rsidRPr="00EE55D5">
        <w:rPr>
          <w:rFonts w:eastAsia="等线" w:cs="Times New Roman"/>
          <w:color w:val="000000" w:themeColor="text1"/>
          <w:szCs w:val="24"/>
          <w:lang w:bidi="ar"/>
        </w:rPr>
        <w:t xml:space="preserve"> and GTEx normal cervical tissues (13) (upper), and integration analysis of normal cervical tissues (114) compared with </w:t>
      </w:r>
      <w:r w:rsidRPr="00EE55D5">
        <w:rPr>
          <w:rFonts w:eastAsia="等线" w:cs="Times New Roman"/>
          <w:color w:val="000000" w:themeColor="text1"/>
          <w:szCs w:val="24"/>
          <w:lang w:bidi="ar"/>
        </w:rPr>
        <w:lastRenderedPageBreak/>
        <w:t>TCGA-CESC tumor tissues (304) (down); (D) is the heatmap of circadian candidate genes from a validation dataset GSE9750 (normal=23,tumor=33); (E). Differential gene heatmap between high and low-risk groups; (F). Differential gene volcano map between high and low-risk groups.</w:t>
      </w:r>
    </w:p>
    <w:p w14:paraId="6D50D192" w14:textId="77777777" w:rsidR="006A4AF2" w:rsidRDefault="006A4AF2" w:rsidP="006A4AF2">
      <w:pPr>
        <w:rPr>
          <w:rFonts w:cs="Times New Roman"/>
          <w:szCs w:val="24"/>
        </w:rPr>
      </w:pPr>
    </w:p>
    <w:p w14:paraId="5084B0F2" w14:textId="77777777" w:rsidR="006A4AF2" w:rsidRDefault="006A4AF2" w:rsidP="006A4AF2">
      <w:pPr>
        <w:rPr>
          <w:rFonts w:cs="Times New Roman"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4314864E" wp14:editId="05713389">
            <wp:extent cx="5276850" cy="17907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959"/>
                    <a:stretch/>
                  </pic:blipFill>
                  <pic:spPr bwMode="auto">
                    <a:xfrm>
                      <a:off x="0" y="0"/>
                      <a:ext cx="52768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504C4" w14:textId="720FD3A9" w:rsidR="006A4AF2" w:rsidRDefault="006A4AF2" w:rsidP="006A4AF2">
      <w:pPr>
        <w:rPr>
          <w:rFonts w:cs="Times New Roman"/>
          <w:szCs w:val="24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t>Additional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 </w:t>
      </w:r>
      <w:r w:rsidRPr="0026333A">
        <w:rPr>
          <w:rFonts w:cs="Times New Roman"/>
          <w:b/>
          <w:bCs/>
          <w:szCs w:val="24"/>
        </w:rPr>
        <w:t xml:space="preserve">Figure 2. </w:t>
      </w:r>
      <w:r w:rsidRPr="0026333A">
        <w:rPr>
          <w:rFonts w:cs="Times New Roman"/>
          <w:szCs w:val="24"/>
        </w:rPr>
        <w:t>Prognostic value of KRT24 in cases of OS or PFS</w:t>
      </w:r>
      <w:r w:rsidRPr="0026333A">
        <w:rPr>
          <w:rFonts w:cs="Times New Roman" w:hint="eastAsia"/>
          <w:szCs w:val="24"/>
        </w:rPr>
        <w:t>.</w:t>
      </w:r>
      <w:r w:rsidRPr="0026333A">
        <w:rPr>
          <w:rFonts w:cs="Times New Roman"/>
          <w:szCs w:val="24"/>
        </w:rPr>
        <w:t xml:space="preserve"> (A) is </w:t>
      </w:r>
      <w:r w:rsidRPr="0026333A">
        <w:rPr>
          <w:rFonts w:cs="Times New Roman" w:hint="eastAsia"/>
          <w:szCs w:val="24"/>
        </w:rPr>
        <w:t>time</w:t>
      </w:r>
      <w:r w:rsidRPr="0026333A">
        <w:rPr>
          <w:rFonts w:cs="Times New Roman"/>
          <w:szCs w:val="24"/>
        </w:rPr>
        <w:t xml:space="preserve">-dependent AUC analysis of KRT24 in OS, with each broken line represents the change of the AUC value at the indicated time point; (B) is time-dependent AUC analysis of KRT24 in PFS; (C) is </w:t>
      </w:r>
      <w:r w:rsidRPr="0026333A">
        <w:rPr>
          <w:rFonts w:cs="Times New Roman" w:hint="eastAsia"/>
          <w:szCs w:val="24"/>
        </w:rPr>
        <w:t>time</w:t>
      </w:r>
      <w:r w:rsidRPr="0026333A">
        <w:rPr>
          <w:rFonts w:cs="Times New Roman"/>
          <w:szCs w:val="24"/>
        </w:rPr>
        <w:t>-dependent ROC analysis of KRT24 for 1, 3 and 5 years’ PFS.</w:t>
      </w:r>
    </w:p>
    <w:p w14:paraId="5BF1FBAC" w14:textId="77777777" w:rsidR="006A4AF2" w:rsidRPr="00EE55D5" w:rsidRDefault="006A4AF2">
      <w:pPr>
        <w:rPr>
          <w:rFonts w:cs="Times New Roman"/>
          <w:color w:val="000000" w:themeColor="text1"/>
          <w:szCs w:val="24"/>
        </w:rPr>
      </w:pPr>
    </w:p>
    <w:p w14:paraId="6EBE1F4F" w14:textId="77777777" w:rsidR="00B6443D" w:rsidRPr="00EE55D5" w:rsidRDefault="00EE55D5">
      <w:pPr>
        <w:rPr>
          <w:rFonts w:cs="Times New Roman"/>
          <w:color w:val="000000" w:themeColor="text1"/>
          <w:szCs w:val="24"/>
        </w:rPr>
      </w:pPr>
      <w:r w:rsidRPr="00EE55D5">
        <w:rPr>
          <w:rFonts w:eastAsia="等线" w:cs="Times New Roman"/>
          <w:noProof/>
          <w:color w:val="000000" w:themeColor="text1"/>
          <w:szCs w:val="24"/>
          <w:lang w:val="en-IN" w:eastAsia="en-IN"/>
        </w:rPr>
        <w:lastRenderedPageBreak/>
        <w:drawing>
          <wp:inline distT="0" distB="0" distL="114300" distR="114300" wp14:anchorId="217116F2" wp14:editId="0A8A116B">
            <wp:extent cx="5273040" cy="5219700"/>
            <wp:effectExtent l="0" t="0" r="0" b="7620"/>
            <wp:docPr id="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4163C" w14:textId="2B7F3D48" w:rsidR="00B6443D" w:rsidRPr="00EE55D5" w:rsidRDefault="00EE55D5">
      <w:pPr>
        <w:rPr>
          <w:rFonts w:cs="Times New Roman"/>
          <w:color w:val="000000" w:themeColor="text1"/>
          <w:szCs w:val="24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t>Additional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 Figure </w:t>
      </w:r>
      <w:r w:rsidR="006A4AF2">
        <w:rPr>
          <w:rFonts w:eastAsia="等线" w:cs="Times New Roman"/>
          <w:b/>
          <w:color w:val="000000" w:themeColor="text1"/>
          <w:szCs w:val="24"/>
          <w:lang w:bidi="ar"/>
        </w:rPr>
        <w:t>3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. </w:t>
      </w:r>
      <w:r w:rsidRPr="00EE55D5">
        <w:rPr>
          <w:rFonts w:eastAsia="等线" w:cs="Times New Roman"/>
          <w:bCs/>
          <w:color w:val="000000" w:themeColor="text1"/>
          <w:szCs w:val="24"/>
          <w:lang w:bidi="ar"/>
        </w:rPr>
        <w:t>(A)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 </w:t>
      </w:r>
      <w:r w:rsidRPr="00EE55D5">
        <w:rPr>
          <w:rFonts w:eastAsia="等线" w:cs="Times New Roman"/>
          <w:color w:val="000000" w:themeColor="text1"/>
          <w:szCs w:val="24"/>
          <w:lang w:bidi="ar"/>
        </w:rPr>
        <w:t xml:space="preserve">Circadian gene </w:t>
      </w:r>
      <w:r w:rsidRPr="00EE55D5">
        <w:rPr>
          <w:rFonts w:eastAsia="等线" w:cs="Times New Roman"/>
          <w:color w:val="000000" w:themeColor="text1"/>
          <w:szCs w:val="24"/>
          <w:lang w:eastAsia="zh-CN" w:bidi="ar"/>
        </w:rPr>
        <w:t>e</w:t>
      </w:r>
      <w:r w:rsidRPr="00EE55D5">
        <w:rPr>
          <w:rFonts w:eastAsia="等线" w:cs="Times New Roman"/>
          <w:color w:val="000000" w:themeColor="text1"/>
          <w:szCs w:val="24"/>
          <w:lang w:bidi="ar"/>
        </w:rPr>
        <w:t>xpression between high and low risk groups</w:t>
      </w:r>
      <w:r w:rsidRPr="00EE55D5">
        <w:rPr>
          <w:rFonts w:eastAsia="等线" w:cs="Times New Roman"/>
          <w:color w:val="000000" w:themeColor="text1"/>
          <w:szCs w:val="24"/>
          <w:lang w:eastAsia="zh-CN" w:bidi="ar"/>
        </w:rPr>
        <w:t>; (B) is the survival plot of patient separated by the risk model in TCGA-CESC; (C-D) are multivariate cox analysis of OS and DSS (disease free survival) of patients in TCGA-CESC by TNM stages, CCL20, KRT24 and GNB2.</w:t>
      </w:r>
    </w:p>
    <w:p w14:paraId="1395AB14" w14:textId="77777777" w:rsidR="00B6443D" w:rsidRPr="00EE55D5" w:rsidRDefault="00B6443D">
      <w:pPr>
        <w:spacing w:before="240"/>
        <w:rPr>
          <w:rFonts w:cs="Times New Roman"/>
          <w:color w:val="000000" w:themeColor="text1"/>
          <w:szCs w:val="24"/>
        </w:rPr>
      </w:pPr>
    </w:p>
    <w:p w14:paraId="6FD0E957" w14:textId="77777777" w:rsidR="00B6443D" w:rsidRPr="00EE55D5" w:rsidRDefault="00EE55D5">
      <w:pPr>
        <w:spacing w:before="240"/>
        <w:rPr>
          <w:rFonts w:cs="Times New Roman"/>
          <w:color w:val="000000" w:themeColor="text1"/>
          <w:szCs w:val="24"/>
        </w:rPr>
      </w:pPr>
      <w:r w:rsidRPr="00EE55D5">
        <w:rPr>
          <w:rFonts w:eastAsia="等线" w:cs="Times New Roman"/>
          <w:noProof/>
          <w:color w:val="000000" w:themeColor="text1"/>
          <w:szCs w:val="24"/>
          <w:lang w:val="en-IN" w:eastAsia="en-IN"/>
        </w:rPr>
        <w:lastRenderedPageBreak/>
        <w:drawing>
          <wp:inline distT="0" distB="0" distL="114300" distR="114300" wp14:anchorId="6DCADEA1" wp14:editId="1ACBBF80">
            <wp:extent cx="5273040" cy="2247900"/>
            <wp:effectExtent l="0" t="0" r="0" b="762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A6234" w14:textId="385345E1" w:rsidR="006A4AF2" w:rsidRDefault="00EE55D5" w:rsidP="006A4AF2">
      <w:pPr>
        <w:rPr>
          <w:rFonts w:eastAsia="等线" w:cs="Times New Roman"/>
          <w:color w:val="000000" w:themeColor="text1"/>
          <w:szCs w:val="24"/>
          <w:lang w:bidi="ar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t>Additional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 Figure </w:t>
      </w:r>
      <w:r w:rsidR="006A4AF2">
        <w:rPr>
          <w:rFonts w:eastAsia="等线" w:cs="Times New Roman"/>
          <w:b/>
          <w:color w:val="000000" w:themeColor="text1"/>
          <w:szCs w:val="24"/>
          <w:lang w:bidi="ar"/>
        </w:rPr>
        <w:t>4</w:t>
      </w:r>
      <w:r w:rsidRPr="00EE55D5">
        <w:rPr>
          <w:rFonts w:eastAsia="等线" w:cs="Times New Roman"/>
          <w:b/>
          <w:color w:val="000000" w:themeColor="text1"/>
          <w:szCs w:val="24"/>
          <w:lang w:bidi="ar"/>
        </w:rPr>
        <w:t xml:space="preserve">. </w:t>
      </w:r>
      <w:r w:rsidR="006A4AF2" w:rsidRPr="006A4AF2">
        <w:rPr>
          <w:rFonts w:eastAsia="等线" w:cs="Times New Roman"/>
          <w:color w:val="000000" w:themeColor="text1"/>
          <w:szCs w:val="24"/>
          <w:lang w:bidi="ar"/>
        </w:rPr>
        <w:t>PPI network of core genes derived from transcriptome DEG analysis between high-risk and low-risk groups.</w:t>
      </w:r>
    </w:p>
    <w:p w14:paraId="0F4FC5DC" w14:textId="77777777" w:rsidR="006A4AF2" w:rsidRDefault="006A4AF2" w:rsidP="006A4AF2">
      <w:pPr>
        <w:spacing w:before="240"/>
        <w:rPr>
          <w:noProof/>
        </w:rPr>
      </w:pPr>
    </w:p>
    <w:p w14:paraId="02664159" w14:textId="77777777" w:rsidR="006A4AF2" w:rsidRPr="003C729F" w:rsidRDefault="006A4AF2" w:rsidP="006A4AF2">
      <w:pPr>
        <w:spacing w:before="24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1ADDFB" wp14:editId="40C2A69F">
            <wp:simplePos x="0" y="0"/>
            <wp:positionH relativeFrom="column">
              <wp:posOffset>0</wp:posOffset>
            </wp:positionH>
            <wp:positionV relativeFrom="paragraph">
              <wp:posOffset>84909</wp:posOffset>
            </wp:positionV>
            <wp:extent cx="5269230" cy="2797628"/>
            <wp:effectExtent l="0" t="0" r="7620" b="3175"/>
            <wp:wrapTopAndBottom/>
            <wp:docPr id="15085700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447"/>
                    <a:stretch/>
                  </pic:blipFill>
                  <pic:spPr bwMode="auto">
                    <a:xfrm>
                      <a:off x="0" y="0"/>
                      <a:ext cx="5269230" cy="279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3FBA3B" w14:textId="36B42745" w:rsidR="006A4AF2" w:rsidRPr="006A4AF2" w:rsidRDefault="006A4AF2" w:rsidP="006A4AF2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>A</w:t>
      </w:r>
      <w:r>
        <w:rPr>
          <w:rFonts w:cs="Times New Roman" w:hint="eastAsia"/>
          <w:b/>
          <w:szCs w:val="24"/>
          <w:lang w:eastAsia="zh-CN"/>
        </w:rPr>
        <w:t>dd</w:t>
      </w:r>
      <w:r>
        <w:rPr>
          <w:rFonts w:cs="Times New Roman"/>
          <w:b/>
          <w:szCs w:val="24"/>
        </w:rPr>
        <w:t>itional</w:t>
      </w:r>
      <w:r w:rsidRPr="0026333A">
        <w:rPr>
          <w:rFonts w:cs="Times New Roman"/>
          <w:b/>
          <w:szCs w:val="24"/>
        </w:rPr>
        <w:t xml:space="preserve"> Figure 5.</w:t>
      </w:r>
      <w:r w:rsidRPr="0026333A">
        <w:rPr>
          <w:rFonts w:cs="Times New Roman"/>
          <w:szCs w:val="24"/>
        </w:rPr>
        <w:t>V</w:t>
      </w:r>
      <w:r w:rsidRPr="0026333A">
        <w:rPr>
          <w:rFonts w:cs="Times New Roman" w:hint="eastAsia"/>
          <w:szCs w:val="24"/>
        </w:rPr>
        <w:t>al</w:t>
      </w:r>
      <w:r w:rsidRPr="0026333A">
        <w:rPr>
          <w:rFonts w:cs="Times New Roman"/>
          <w:szCs w:val="24"/>
        </w:rPr>
        <w:t>idation of CCL20-OE U14 cell lines.</w:t>
      </w:r>
      <w:r w:rsidRPr="0026333A">
        <w:rPr>
          <w:rFonts w:cs="Times New Roman"/>
          <w:bCs/>
          <w:szCs w:val="24"/>
        </w:rPr>
        <w:t>(A)</w:t>
      </w:r>
      <w:r w:rsidRPr="0026333A">
        <w:rPr>
          <w:rFonts w:cs="Times New Roman"/>
          <w:szCs w:val="24"/>
        </w:rPr>
        <w:t xml:space="preserve"> Immunocytochemistry (I</w:t>
      </w:r>
      <w:r>
        <w:rPr>
          <w:rFonts w:cs="Times New Roman"/>
          <w:szCs w:val="24"/>
        </w:rPr>
        <w:t>C</w:t>
      </w:r>
      <w:r w:rsidRPr="0026333A">
        <w:rPr>
          <w:rFonts w:cs="Times New Roman"/>
          <w:szCs w:val="24"/>
        </w:rPr>
        <w:t>C) of CCL20 expression for U14 cell lines of NC (NC-CCL20) (left) or overexpression (OE-CCL20) (right)</w:t>
      </w:r>
      <w:r w:rsidRPr="0026333A">
        <w:rPr>
          <w:rFonts w:cs="Times New Roman" w:hint="eastAsia"/>
          <w:szCs w:val="24"/>
        </w:rPr>
        <w:t>;</w:t>
      </w:r>
      <w:r w:rsidRPr="0026333A">
        <w:rPr>
          <w:rFonts w:cs="Times New Roman"/>
          <w:szCs w:val="24"/>
        </w:rPr>
        <w:t xml:space="preserve"> (B) is western blot (WB) plot of NC (left) or OE (right), with HSP90 as the loading control; (C) is the flow cytometry plot of NC-CCL20 (left) or OE-CCL20 (right); (D) is the qRT-PCR results of CCL20 with blue indicating NC-CCL20 and red indicading OE-CCL20.</w:t>
      </w:r>
    </w:p>
    <w:p w14:paraId="34F2ED9A" w14:textId="77777777" w:rsidR="006A4AF2" w:rsidRPr="00EE55D5" w:rsidRDefault="006A4AF2" w:rsidP="006A4AF2">
      <w:pPr>
        <w:rPr>
          <w:rFonts w:cs="Times New Roman"/>
          <w:color w:val="000000" w:themeColor="text1"/>
        </w:rPr>
      </w:pPr>
    </w:p>
    <w:p w14:paraId="21FA4DB6" w14:textId="440C1775" w:rsidR="00B6443D" w:rsidRPr="00771510" w:rsidRDefault="00EE55D5" w:rsidP="00771510">
      <w:pPr>
        <w:tabs>
          <w:tab w:val="left" w:pos="567"/>
        </w:tabs>
        <w:spacing w:before="240" w:after="200"/>
        <w:ind w:left="567" w:hanging="567"/>
        <w:outlineLvl w:val="1"/>
        <w:rPr>
          <w:rFonts w:eastAsia="Cambria" w:cs="Times New Roman"/>
          <w:b/>
          <w:color w:val="000000" w:themeColor="text1"/>
          <w:szCs w:val="24"/>
        </w:rPr>
      </w:pPr>
      <w:r w:rsidRPr="00EE55D5">
        <w:rPr>
          <w:rFonts w:eastAsia="Cambria" w:cs="Times New Roman"/>
          <w:b/>
          <w:color w:val="000000" w:themeColor="text1"/>
          <w:szCs w:val="24"/>
          <w:lang w:bidi="ar"/>
        </w:rPr>
        <w:lastRenderedPageBreak/>
        <w:t>Additional Tables</w:t>
      </w:r>
      <w:bookmarkStart w:id="0" w:name="_Hlk49587323"/>
    </w:p>
    <w:tbl>
      <w:tblPr>
        <w:tblW w:w="3960" w:type="dxa"/>
        <w:tblLook w:val="04A0" w:firstRow="1" w:lastRow="0" w:firstColumn="1" w:lastColumn="0" w:noHBand="0" w:noVBand="1"/>
      </w:tblPr>
      <w:tblGrid>
        <w:gridCol w:w="1560"/>
        <w:gridCol w:w="1200"/>
        <w:gridCol w:w="1200"/>
      </w:tblGrid>
      <w:tr w:rsidR="00EE55D5" w:rsidRPr="00EE55D5" w14:paraId="57B8FCB3" w14:textId="77777777">
        <w:trPr>
          <w:trHeight w:val="300"/>
        </w:trPr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bookmarkEnd w:id="0"/>
          <w:p w14:paraId="1A840BC5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Characteristic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C45770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levels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5B397B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Overall</w:t>
            </w:r>
          </w:p>
        </w:tc>
      </w:tr>
      <w:tr w:rsidR="00EE55D5" w:rsidRPr="00EE55D5" w14:paraId="6738B1C7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6EC330C6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n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132FC49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C056D23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279</w:t>
            </w:r>
          </w:p>
        </w:tc>
      </w:tr>
      <w:tr w:rsidR="00EE55D5" w:rsidRPr="00EE55D5" w14:paraId="11AFEBBD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050905E0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Age, n (%)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633090A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&lt;60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EEE93F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221 (79.2%)</w:t>
            </w:r>
          </w:p>
        </w:tc>
      </w:tr>
      <w:tr w:rsidR="00EE55D5" w:rsidRPr="00EE55D5" w14:paraId="63F6F01F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24F36630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8A3FF94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&gt;=60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69096D3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58 (20.8%)</w:t>
            </w:r>
          </w:p>
        </w:tc>
      </w:tr>
      <w:tr w:rsidR="00EE55D5" w:rsidRPr="00EE55D5" w14:paraId="4578BB33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1366BC71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pStage, n (%)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6757F318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Miss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415DAD4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 (2.2%)</w:t>
            </w:r>
          </w:p>
        </w:tc>
      </w:tr>
      <w:tr w:rsidR="00EE55D5" w:rsidRPr="00EE55D5" w14:paraId="094BCCDB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43B2789B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0C9AD6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Stage I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440EDD47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150 (53.8%)</w:t>
            </w:r>
          </w:p>
        </w:tc>
      </w:tr>
      <w:tr w:rsidR="00EE55D5" w:rsidRPr="00EE55D5" w14:paraId="2F827A95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3BFE9BCA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1AB70FF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Stage II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91AAD99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63 (22.6%)</w:t>
            </w:r>
          </w:p>
        </w:tc>
      </w:tr>
      <w:tr w:rsidR="00EE55D5" w:rsidRPr="00EE55D5" w14:paraId="48BBE187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3BA58237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7815AE2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Stage III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18888751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39 (14%)</w:t>
            </w:r>
          </w:p>
        </w:tc>
      </w:tr>
      <w:tr w:rsidR="00EE55D5" w:rsidRPr="00EE55D5" w14:paraId="50D77871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6AC7CD3C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E1964C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Stage IV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F3C8C18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21 (7.5%)</w:t>
            </w:r>
          </w:p>
        </w:tc>
      </w:tr>
      <w:tr w:rsidR="00EE55D5" w:rsidRPr="00EE55D5" w14:paraId="41EBA1EF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75346D7A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event, n (%)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7758C6C5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Alive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23CE71A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216 (77.4%)</w:t>
            </w:r>
          </w:p>
        </w:tc>
      </w:tr>
      <w:tr w:rsidR="00EE55D5" w:rsidRPr="00EE55D5" w14:paraId="70D9545F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07B02E7C" w14:textId="77777777" w:rsidR="00B6443D" w:rsidRPr="00EE55D5" w:rsidRDefault="00B6443D">
            <w:pPr>
              <w:rPr>
                <w:rFonts w:ascii="等线" w:eastAsia="等线" w:hAnsi="等线" w:cs="等线"/>
                <w:color w:val="000000" w:themeColor="text1"/>
                <w:kern w:val="2"/>
                <w:sz w:val="21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CF40AAA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Death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0949D768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63 (22.6%)</w:t>
            </w:r>
          </w:p>
        </w:tc>
      </w:tr>
      <w:tr w:rsidR="00EE55D5" w:rsidRPr="00EE55D5" w14:paraId="71C03022" w14:textId="7777777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</w:tcPr>
          <w:p w14:paraId="5C86A510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survtime, n (%)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34774E06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&lt;5 year</w:t>
            </w:r>
          </w:p>
        </w:tc>
        <w:tc>
          <w:tcPr>
            <w:tcW w:w="1200" w:type="dxa"/>
            <w:shd w:val="clear" w:color="auto" w:fill="auto"/>
            <w:noWrap/>
            <w:vAlign w:val="bottom"/>
          </w:tcPr>
          <w:p w14:paraId="5FF915A4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239 (85.7%)</w:t>
            </w:r>
          </w:p>
        </w:tc>
      </w:tr>
      <w:tr w:rsidR="00EE55D5" w:rsidRPr="00EE55D5" w14:paraId="758A94F8" w14:textId="77777777">
        <w:trPr>
          <w:trHeight w:val="30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037658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 w:hint="eastAsia"/>
                <w:color w:val="000000" w:themeColor="text1"/>
                <w:sz w:val="22"/>
                <w:lang w:bidi="ar"/>
              </w:rPr>
              <w:t xml:space="preserve"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E000B0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&gt;=5 year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871702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40 (14.3%)</w:t>
            </w:r>
          </w:p>
        </w:tc>
      </w:tr>
    </w:tbl>
    <w:p w14:paraId="6081E7DA" w14:textId="77777777" w:rsidR="00B6443D" w:rsidRPr="00EE55D5" w:rsidRDefault="00EE55D5">
      <w:pPr>
        <w:spacing w:beforeLines="50" w:before="163" w:afterLines="50" w:after="163"/>
        <w:rPr>
          <w:rFonts w:eastAsia="宋体" w:cs="Times New Roman"/>
          <w:color w:val="000000" w:themeColor="text1"/>
          <w:sz w:val="22"/>
          <w:szCs w:val="24"/>
        </w:rPr>
      </w:pPr>
      <w:r w:rsidRPr="00EE55D5">
        <w:rPr>
          <w:rFonts w:eastAsia="宋体" w:cs="Times New Roman"/>
          <w:b/>
          <w:bCs/>
          <w:color w:val="000000" w:themeColor="text1"/>
          <w:sz w:val="22"/>
          <w:szCs w:val="24"/>
          <w:lang w:bidi="ar"/>
        </w:rPr>
        <w:t xml:space="preserve">Table S1 </w:t>
      </w:r>
      <w:r w:rsidRPr="00EE55D5">
        <w:rPr>
          <w:rFonts w:eastAsia="宋体" w:cs="Times New Roman"/>
          <w:color w:val="000000" w:themeColor="text1"/>
          <w:sz w:val="22"/>
          <w:szCs w:val="24"/>
          <w:lang w:bidi="ar"/>
        </w:rPr>
        <w:t xml:space="preserve">Baseline data of TCGA-CESC patients in TCGA database </w:t>
      </w:r>
      <w:r w:rsidRPr="00EE55D5">
        <w:rPr>
          <w:rFonts w:eastAsia="宋体" w:cs="Times New Roman"/>
          <w:color w:val="000000" w:themeColor="text1"/>
          <w:sz w:val="22"/>
          <w:szCs w:val="24"/>
          <w:lang w:bidi="ar"/>
        </w:rPr>
        <w:br w:type="page"/>
      </w:r>
    </w:p>
    <w:tbl>
      <w:tblPr>
        <w:tblW w:w="9127" w:type="dxa"/>
        <w:tblLook w:val="04A0" w:firstRow="1" w:lastRow="0" w:firstColumn="1" w:lastColumn="0" w:noHBand="0" w:noVBand="1"/>
      </w:tblPr>
      <w:tblGrid>
        <w:gridCol w:w="1363"/>
        <w:gridCol w:w="1116"/>
        <w:gridCol w:w="1116"/>
        <w:gridCol w:w="1116"/>
        <w:gridCol w:w="1116"/>
        <w:gridCol w:w="1116"/>
        <w:gridCol w:w="1116"/>
        <w:gridCol w:w="1068"/>
      </w:tblGrid>
      <w:tr w:rsidR="00EE55D5" w:rsidRPr="00EE55D5" w14:paraId="61D9E4A4" w14:textId="77777777">
        <w:trPr>
          <w:trHeight w:val="315"/>
        </w:trPr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A8767A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lastRenderedPageBreak/>
              <w:t>symbol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D60FD2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a_total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29BB8B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d_total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0C6538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a_hete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93BEC8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d_hete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0AC34A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a_homo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F2D668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d_homo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183C9B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Cs w:val="24"/>
                <w:lang w:bidi="ar"/>
              </w:rPr>
              <w:t>entrez</w:t>
            </w:r>
          </w:p>
        </w:tc>
      </w:tr>
      <w:tr w:rsidR="00EE55D5" w:rsidRPr="00EE55D5" w14:paraId="695203E8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7F255BB7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ARNTL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73C6A2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4.40678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3C1189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34.57627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1D8F1B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4.40678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ABE787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34.57627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820256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448A94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5292EB1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406</w:t>
            </w:r>
          </w:p>
        </w:tc>
      </w:tr>
      <w:tr w:rsidR="00EE55D5" w:rsidRPr="00EE55D5" w14:paraId="53DC4F0D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0A6CD5B8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ARNTL2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C4F9FA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5AD93A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13.89831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F06456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EA19B8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13.55932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8D8170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4F76B7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52E26F7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56938</w:t>
            </w:r>
          </w:p>
        </w:tc>
      </w:tr>
      <w:tr w:rsidR="00EE55D5" w:rsidRPr="00EE55D5" w14:paraId="4B209830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45D17F7D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BHLHE40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114A91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12.54237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0A89B0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36.27119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F50E93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11.86441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E0F8BE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35.25424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5768A6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FA8BD2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1.016949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476D674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8553</w:t>
            </w:r>
          </w:p>
        </w:tc>
      </w:tr>
      <w:tr w:rsidR="00EE55D5" w:rsidRPr="00EE55D5" w14:paraId="09F589AB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3C7B5183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BHLHE41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1F2F3E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08361D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13.89831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B4D8A8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8C7A4C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13.55932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E0909F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BCFE78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11F1F29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79365</w:t>
            </w:r>
          </w:p>
        </w:tc>
      </w:tr>
      <w:tr w:rsidR="00EE55D5" w:rsidRPr="00EE55D5" w14:paraId="5623CA8E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2BAF18A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CLOCK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752571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6.779661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CE53BE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27.45763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1378EF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5.762712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B7389B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27.45763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A772D7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1.016949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918DF9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7A45784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9575</w:t>
            </w:r>
          </w:p>
        </w:tc>
      </w:tr>
      <w:tr w:rsidR="00EE55D5" w:rsidRPr="00EE55D5" w14:paraId="2219A638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361E7B2F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CRY1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A688C7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15.9322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7E2B67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7.457627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F7F7E6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15.9322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921EB1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7.457627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544ED3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04CDCE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1FC34AC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1407</w:t>
            </w:r>
          </w:p>
        </w:tc>
      </w:tr>
      <w:tr w:rsidR="00EE55D5" w:rsidRPr="00EE55D5" w14:paraId="0C89ED8C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4D0A6AFD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CRY2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3B7520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6.779661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AD3133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27.79661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E94E6B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6.101695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162F99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27.45763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D0E78F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F43646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276FF15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1408</w:t>
            </w:r>
          </w:p>
        </w:tc>
      </w:tr>
      <w:tr w:rsidR="00EE55D5" w:rsidRPr="00EE55D5" w14:paraId="0E993699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226AD905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CSNK1D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814616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21.35593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0E92B9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15.9322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C3A403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21.01695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1BE10D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15.25424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399BF6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C51D45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4A4D328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1453</w:t>
            </w:r>
          </w:p>
        </w:tc>
      </w:tr>
      <w:tr w:rsidR="00EE55D5" w:rsidRPr="00EE55D5" w14:paraId="777FD4BC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26D04A39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CSNK1E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FBC40D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11.86441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410C45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24.40678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249DD1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11.52542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6B42CE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24.40678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92C4AF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34437B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B1AA02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1454</w:t>
            </w:r>
          </w:p>
        </w:tc>
      </w:tr>
      <w:tr w:rsidR="00EE55D5" w:rsidRPr="00EE55D5" w14:paraId="5DEEDF70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7E1120E9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DBP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2288B2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28.47458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86EF81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12.20339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42F4DC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27.45763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5C7046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12.20339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F01109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1.016949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6E5CED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93CD61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1628</w:t>
            </w:r>
          </w:p>
        </w:tc>
      </w:tr>
      <w:tr w:rsidR="00EE55D5" w:rsidRPr="00EE55D5" w14:paraId="3E98301C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2FFEC1C7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FBXL3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B5CACF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D641FA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25.42373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51F0BA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16.27119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30FED0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25.08475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504DEB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1.694915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6E0DCA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4B7E127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26224</w:t>
            </w:r>
          </w:p>
        </w:tc>
      </w:tr>
      <w:tr w:rsidR="00EE55D5" w:rsidRPr="00EE55D5" w14:paraId="167E4680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6F7A6ED2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HLF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6FA678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20.67797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F6255A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9.152542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A7B9BB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31184F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9.152542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22798A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418281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3DC7010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3131</w:t>
            </w:r>
          </w:p>
        </w:tc>
      </w:tr>
      <w:tr w:rsidR="00EE55D5" w:rsidRPr="00EE55D5" w14:paraId="3C3DB305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05636CC1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NFIL3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24FC9D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17.62712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9FEC02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D1F695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17.28814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9193D7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18.30508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858F38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78332F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0F47456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4783</w:t>
            </w:r>
          </w:p>
        </w:tc>
      </w:tr>
      <w:tr w:rsidR="00EE55D5" w:rsidRPr="00EE55D5" w14:paraId="44BFA928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2609884E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NPAS2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6BEE8B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12.88136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4F34A5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10.84746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476CCF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12.20339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CA2A50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10.84746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6A0FFD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982B05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5B3FB6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4862</w:t>
            </w:r>
          </w:p>
        </w:tc>
      </w:tr>
      <w:tr w:rsidR="00EE55D5" w:rsidRPr="00EE55D5" w14:paraId="7350EB03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07C9331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NR1D1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CBA68E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15.59322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657347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11.18644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A83BAA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14.91525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A9D60B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11.18644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293BBE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89D211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2F0BD0A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9572</w:t>
            </w:r>
          </w:p>
        </w:tc>
      </w:tr>
      <w:tr w:rsidR="00EE55D5" w:rsidRPr="00EE55D5" w14:paraId="3F3C3186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0254C974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NR1D2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9C1284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11.18644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232198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37.9661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70A780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10.84746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7AB51E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37.28814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270D41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D856EC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2F72B1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9975</w:t>
            </w:r>
          </w:p>
        </w:tc>
      </w:tr>
      <w:tr w:rsidR="00EE55D5" w:rsidRPr="00EE55D5" w14:paraId="653CF093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0344AF4F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PER1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D06241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4.745763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FA28D1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36.61017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A0CD33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4.745763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910206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36.61017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AB6E79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5DEF76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15C5EDB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5187</w:t>
            </w:r>
          </w:p>
        </w:tc>
      </w:tr>
      <w:tr w:rsidR="00EE55D5" w:rsidRPr="00EE55D5" w14:paraId="5D17196A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6DE61D9A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lastRenderedPageBreak/>
              <w:t>PER2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00A93D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4.067797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0D71C9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41.69492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770932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3.728814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4C98E1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37.62712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35CE33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D86A80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4.067797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01E8DA9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8864</w:t>
            </w:r>
          </w:p>
        </w:tc>
      </w:tr>
      <w:tr w:rsidR="00EE55D5" w:rsidRPr="00EE55D5" w14:paraId="6E7CACCD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5A36DEAF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PER3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609D4F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27.79661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23CB99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13.22034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EA89AD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27.79661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549F54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12.20339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153EC0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B92A1B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1.016949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3527C6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8863</w:t>
            </w:r>
          </w:p>
        </w:tc>
      </w:tr>
      <w:tr w:rsidR="00EE55D5" w:rsidRPr="00EE55D5" w14:paraId="2F02C253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3FFE25B1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RORA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3F8BC7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862C77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08A2C5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FD2F95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18.30508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BB4573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083E12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0.338983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E618A4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6095</w:t>
            </w:r>
          </w:p>
        </w:tc>
      </w:tr>
      <w:tr w:rsidR="00EE55D5" w:rsidRPr="00EE55D5" w14:paraId="4071E66B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17E5BFC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RORB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63FBC03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16.94915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4C08CB6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18.64407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870F43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16.94915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055666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17.9661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7464C6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EED838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78DC8F4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6096</w:t>
            </w:r>
          </w:p>
        </w:tc>
      </w:tr>
      <w:tr w:rsidR="00EE55D5" w:rsidRPr="00EE55D5" w14:paraId="2312853B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6CA17D4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RORC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A50B21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53.22034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4CBE78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2.372881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D7F00F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50.16949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C54B70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2.372881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8FF7E2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3.050848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5C98B2B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90C973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6097</w:t>
            </w:r>
          </w:p>
        </w:tc>
      </w:tr>
      <w:tr w:rsidR="00EE55D5" w:rsidRPr="00EE55D5" w14:paraId="6689B80E" w14:textId="77777777">
        <w:trPr>
          <w:trHeight w:val="315"/>
        </w:trPr>
        <w:tc>
          <w:tcPr>
            <w:tcW w:w="1363" w:type="dxa"/>
            <w:shd w:val="clear" w:color="auto" w:fill="auto"/>
            <w:noWrap/>
            <w:vAlign w:val="bottom"/>
          </w:tcPr>
          <w:p w14:paraId="188DF743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TEF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19537C1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10.84746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2CD35E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27.11864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0599E92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10.16949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7C92A89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26.44068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215B0C9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116" w:type="dxa"/>
            <w:shd w:val="clear" w:color="auto" w:fill="auto"/>
            <w:noWrap/>
            <w:vAlign w:val="bottom"/>
          </w:tcPr>
          <w:p w14:paraId="3CFDCA7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0.677966</w:t>
            </w:r>
          </w:p>
        </w:tc>
        <w:tc>
          <w:tcPr>
            <w:tcW w:w="1068" w:type="dxa"/>
            <w:shd w:val="clear" w:color="auto" w:fill="auto"/>
            <w:noWrap/>
            <w:vAlign w:val="bottom"/>
          </w:tcPr>
          <w:p w14:paraId="6F4C8B5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7008</w:t>
            </w:r>
          </w:p>
        </w:tc>
      </w:tr>
      <w:tr w:rsidR="00EE55D5" w:rsidRPr="00EE55D5" w14:paraId="6E78AB0D" w14:textId="77777777">
        <w:trPr>
          <w:trHeight w:val="315"/>
        </w:trPr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66E73F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TIMELESS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C246E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17.28814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2634A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5.423729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BDC6E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16.27119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8356A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5.423729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A0A90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1.016949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8223C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A34AC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Cs w:val="24"/>
              </w:rPr>
            </w:pPr>
            <w:r w:rsidRPr="00EE55D5">
              <w:rPr>
                <w:rFonts w:eastAsia="宋体" w:cs="Times New Roman"/>
                <w:color w:val="000000" w:themeColor="text1"/>
                <w:szCs w:val="24"/>
                <w:lang w:bidi="ar"/>
              </w:rPr>
              <w:t>8914</w:t>
            </w:r>
          </w:p>
        </w:tc>
      </w:tr>
    </w:tbl>
    <w:p w14:paraId="26470E1B" w14:textId="77777777" w:rsidR="00B6443D" w:rsidRPr="00EE55D5" w:rsidRDefault="00EE55D5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  <w:r w:rsidRPr="00EE55D5">
        <w:rPr>
          <w:rFonts w:eastAsia="宋体" w:cs="Times New Roman"/>
          <w:b/>
          <w:bCs/>
          <w:color w:val="000000" w:themeColor="text1"/>
          <w:lang w:bidi="ar"/>
        </w:rPr>
        <w:t xml:space="preserve">Table S2. </w:t>
      </w:r>
      <w:r w:rsidRPr="00EE55D5">
        <w:rPr>
          <w:rFonts w:eastAsia="宋体" w:cs="Times New Roman"/>
          <w:color w:val="000000" w:themeColor="text1"/>
          <w:lang w:bidi="ar"/>
        </w:rPr>
        <w:t>CNVs of 24 circadian gene signatures in TCGA-CESC</w:t>
      </w:r>
    </w:p>
    <w:p w14:paraId="0EF4E95E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64A98088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55B4C2E3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12A5645F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6E08452F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4E531083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63AD55EB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0BC5FA88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4528E4EF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4CE38123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4EDDED29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32E028BE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5C87DB9C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6300E0A9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33B7B04D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28F34BF2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18B551D1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7F107CAA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p w14:paraId="368B7960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tbl>
      <w:tblPr>
        <w:tblW w:w="8907" w:type="dxa"/>
        <w:tblLook w:val="04A0" w:firstRow="1" w:lastRow="0" w:firstColumn="1" w:lastColumn="0" w:noHBand="0" w:noVBand="1"/>
      </w:tblPr>
      <w:tblGrid>
        <w:gridCol w:w="1813"/>
        <w:gridCol w:w="1365"/>
        <w:gridCol w:w="3503"/>
        <w:gridCol w:w="1075"/>
        <w:gridCol w:w="1151"/>
      </w:tblGrid>
      <w:tr w:rsidR="00EE55D5" w:rsidRPr="00EE55D5" w14:paraId="7FE12639" w14:textId="77777777">
        <w:trPr>
          <w:trHeight w:val="285"/>
        </w:trPr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BC15D8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class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EBB44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ID</w:t>
            </w:r>
          </w:p>
        </w:tc>
        <w:tc>
          <w:tcPr>
            <w:tcW w:w="35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82D13C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Descrption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A1A0BF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Pvalue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A090D5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Qvalue</w:t>
            </w:r>
          </w:p>
        </w:tc>
      </w:tr>
      <w:tr w:rsidR="00EE55D5" w:rsidRPr="00EE55D5" w14:paraId="5D772559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7B8459A8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1F70731A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GO:0005576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37FC63A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extracellular region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8886BF0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1.54E-14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54A1C7B4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2.52E-12</w:t>
            </w:r>
          </w:p>
        </w:tc>
      </w:tr>
      <w:tr w:rsidR="00EE55D5" w:rsidRPr="00EE55D5" w14:paraId="7A5F3AAD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3EE0A2D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4AD323D0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GO:0044421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2111AE0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extracellular region part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3E4DA5EC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7.56E-13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43E319BD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6.20E-11</w:t>
            </w:r>
          </w:p>
        </w:tc>
      </w:tr>
      <w:tr w:rsidR="00EE55D5" w:rsidRPr="00EE55D5" w14:paraId="521BD6EE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325B08F1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6972D66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GO:0005615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7597E08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extracellular space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5E8D2382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1.21E-12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6798204B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6.64E-11</w:t>
            </w:r>
          </w:p>
        </w:tc>
      </w:tr>
      <w:tr w:rsidR="00EE55D5" w:rsidRPr="00EE55D5" w14:paraId="312AD681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111141B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5E1256AD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GO:0031982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0094253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vesicle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E642D7B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1.34E-07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431AF9C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5.48E-06</w:t>
            </w:r>
          </w:p>
        </w:tc>
      </w:tr>
      <w:tr w:rsidR="00EE55D5" w:rsidRPr="00EE55D5" w14:paraId="632ADF7A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5373DCD1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1EEB227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GO:0070062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3D96996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extracellular exosome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55871021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3.43E-07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39829F6D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9.47E-06</w:t>
            </w:r>
          </w:p>
        </w:tc>
      </w:tr>
      <w:tr w:rsidR="00EE55D5" w:rsidRPr="00EE55D5" w14:paraId="3EF437FF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7ECC451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7D82F078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GO:1903561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2350347D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extracellular vesicle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56FA73DA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3.99E-07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613B673B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9.47E-06</w:t>
            </w:r>
          </w:p>
        </w:tc>
      </w:tr>
      <w:tr w:rsidR="00EE55D5" w:rsidRPr="00EE55D5" w14:paraId="04FE643C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3A150B40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lastRenderedPageBreak/>
              <w:t>Cellular Component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545D7961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GO:0043230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210663F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extracellular organelle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0D36D461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4.04E-07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0B7E3D32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9.47E-06</w:t>
            </w:r>
          </w:p>
        </w:tc>
      </w:tr>
      <w:tr w:rsidR="00EE55D5" w:rsidRPr="00EE55D5" w14:paraId="2755AE55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2E5806B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0205BDA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GO:0032496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31493AC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response to lipopolysaccharide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15FF9D2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3.02E-08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39FFD9DC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3.34E-05</w:t>
            </w:r>
          </w:p>
        </w:tc>
      </w:tr>
      <w:tr w:rsidR="00EE55D5" w:rsidRPr="00EE55D5" w14:paraId="312D90E4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1D0DAB7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307739F0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GO:0002237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68F679E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response to molecule of bacterial origin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52AEE12A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4.77E-08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1A00F116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3.34E-05</w:t>
            </w:r>
          </w:p>
        </w:tc>
      </w:tr>
      <w:tr w:rsidR="00EE55D5" w:rsidRPr="00EE55D5" w14:paraId="73878913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3C1C41A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230ED6A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GO:0070268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0B4D35E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cornification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C19E770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1.52E-07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8D08B93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7.11E-05</w:t>
            </w:r>
          </w:p>
        </w:tc>
      </w:tr>
      <w:tr w:rsidR="00EE55D5" w:rsidRPr="00EE55D5" w14:paraId="6841B9D9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31A295B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4556520A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GO:0009617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1B962B31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response to bacterium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6B03BD4E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2.15E-07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0982569F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7.54E-05</w:t>
            </w:r>
          </w:p>
        </w:tc>
      </w:tr>
      <w:tr w:rsidR="00EE55D5" w:rsidRPr="00EE55D5" w14:paraId="4ADFC3BA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3C839A7D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1FCA936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GO:0071621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39851EF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granulocyte chemotaxis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3020069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2.79E-07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3ED6A0B3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7.81E-05</w:t>
            </w:r>
          </w:p>
        </w:tc>
      </w:tr>
      <w:tr w:rsidR="00EE55D5" w:rsidRPr="00EE55D5" w14:paraId="5E21AB03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0564821A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7BDFD68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GO:0030855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5535733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epithelial cell differentiation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7E913F12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6.54E-07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252D83B0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0.0001348</w:t>
            </w:r>
          </w:p>
        </w:tc>
      </w:tr>
      <w:tr w:rsidR="00EE55D5" w:rsidRPr="00EE55D5" w14:paraId="114AE4D7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4CAA752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425CEB3A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GO:0019730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01B8E14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antimicrobial humoral response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CA7D031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6.74E-07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3CEAA864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0.0001348</w:t>
            </w:r>
          </w:p>
        </w:tc>
      </w:tr>
      <w:tr w:rsidR="00EE55D5" w:rsidRPr="00EE55D5" w14:paraId="4A6D6658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0139BDC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1F328BE8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GO:0097530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712E0C7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granulocyte migration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0EA1E826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7.91E-07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453B5AB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0.0001385</w:t>
            </w:r>
          </w:p>
        </w:tc>
      </w:tr>
      <w:tr w:rsidR="00EE55D5" w:rsidRPr="00EE55D5" w14:paraId="4AEEC983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61FC164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1EF0B47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GO:0050786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1347CB9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RAGE receptor binding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445A2696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1.22E-06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51873450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0.0001561</w:t>
            </w:r>
          </w:p>
        </w:tc>
      </w:tr>
      <w:tr w:rsidR="00EE55D5" w:rsidRPr="00EE55D5" w14:paraId="63D056EC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45B5885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Molecular Function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603D7FE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GO:0005504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326171A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fatty acid binding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5F51E33D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1.83E-06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6387979D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0.0001561</w:t>
            </w:r>
          </w:p>
        </w:tc>
      </w:tr>
      <w:tr w:rsidR="00EE55D5" w:rsidRPr="00EE55D5" w14:paraId="35BB22A4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4AA3835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7DF3424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GO:0042119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7842802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neutrophil activation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A3C04DB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1.04E-06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5B931C8D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0.000162</w:t>
            </w:r>
          </w:p>
        </w:tc>
      </w:tr>
      <w:tr w:rsidR="00EE55D5" w:rsidRPr="00EE55D5" w14:paraId="285E8FB2" w14:textId="77777777">
        <w:trPr>
          <w:trHeight w:val="300"/>
        </w:trPr>
        <w:tc>
          <w:tcPr>
            <w:tcW w:w="1813" w:type="dxa"/>
            <w:shd w:val="clear" w:color="auto" w:fill="auto"/>
            <w:noWrap/>
            <w:vAlign w:val="center"/>
          </w:tcPr>
          <w:p w14:paraId="672CCA1D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lastRenderedPageBreak/>
              <w:t>Biological Process</w:t>
            </w:r>
          </w:p>
        </w:tc>
        <w:tc>
          <w:tcPr>
            <w:tcW w:w="1365" w:type="dxa"/>
            <w:shd w:val="clear" w:color="auto" w:fill="auto"/>
            <w:noWrap/>
            <w:vAlign w:val="center"/>
          </w:tcPr>
          <w:p w14:paraId="3C52A0E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GO:0036230</w:t>
            </w:r>
          </w:p>
        </w:tc>
        <w:tc>
          <w:tcPr>
            <w:tcW w:w="3503" w:type="dxa"/>
            <w:shd w:val="clear" w:color="auto" w:fill="auto"/>
            <w:noWrap/>
            <w:vAlign w:val="center"/>
          </w:tcPr>
          <w:p w14:paraId="48F302F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granulocyte activation</w:t>
            </w:r>
          </w:p>
        </w:tc>
        <w:tc>
          <w:tcPr>
            <w:tcW w:w="1075" w:type="dxa"/>
            <w:shd w:val="clear" w:color="auto" w:fill="auto"/>
            <w:noWrap/>
            <w:vAlign w:val="center"/>
          </w:tcPr>
          <w:p w14:paraId="2DC4FFFE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1.17E-06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99D7355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0.0001636</w:t>
            </w:r>
          </w:p>
        </w:tc>
      </w:tr>
      <w:tr w:rsidR="00EE55D5" w:rsidRPr="00EE55D5" w14:paraId="59A4DC0D" w14:textId="77777777">
        <w:trPr>
          <w:trHeight w:val="300"/>
        </w:trPr>
        <w:tc>
          <w:tcPr>
            <w:tcW w:w="1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EBB7768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Biological Process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E09F2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GO:0006959</w:t>
            </w:r>
          </w:p>
        </w:tc>
        <w:tc>
          <w:tcPr>
            <w:tcW w:w="3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469B3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humoral immune response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BD9D72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1.47E-06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4DD9AF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0.0001695</w:t>
            </w:r>
          </w:p>
        </w:tc>
      </w:tr>
    </w:tbl>
    <w:p w14:paraId="249AB185" w14:textId="77777777" w:rsidR="00B6443D" w:rsidRPr="00EE55D5" w:rsidRDefault="00EE55D5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  <w:r w:rsidRPr="00EE55D5">
        <w:rPr>
          <w:rFonts w:eastAsia="宋体" w:cs="Times New Roman"/>
          <w:b/>
          <w:bCs/>
          <w:color w:val="000000" w:themeColor="text1"/>
          <w:lang w:bidi="ar"/>
        </w:rPr>
        <w:t xml:space="preserve">Table S3 </w:t>
      </w:r>
      <w:r w:rsidRPr="00EE55D5">
        <w:rPr>
          <w:rFonts w:eastAsia="宋体" w:cs="Times New Roman"/>
          <w:color w:val="000000" w:themeColor="text1"/>
          <w:lang w:bidi="ar"/>
        </w:rPr>
        <w:t>Top20 significant GO analysis</w:t>
      </w:r>
      <w:r w:rsidRPr="00EE55D5">
        <w:rPr>
          <w:rFonts w:eastAsia="宋体" w:cs="Times New Roman"/>
          <w:color w:val="000000" w:themeColor="text1"/>
          <w:sz w:val="20"/>
          <w:lang w:bidi="ar"/>
        </w:rPr>
        <w:br w:type="page"/>
      </w:r>
      <w:r w:rsidRPr="00EE55D5">
        <w:rPr>
          <w:rFonts w:eastAsia="宋体" w:cs="Times New Roman"/>
          <w:b/>
          <w:bCs/>
          <w:color w:val="000000" w:themeColor="text1"/>
          <w:lang w:bidi="ar"/>
        </w:rPr>
        <w:lastRenderedPageBreak/>
        <w:t xml:space="preserve"> </w:t>
      </w:r>
    </w:p>
    <w:tbl>
      <w:tblPr>
        <w:tblW w:w="9188" w:type="dxa"/>
        <w:tblLook w:val="04A0" w:firstRow="1" w:lastRow="0" w:firstColumn="1" w:lastColumn="0" w:noHBand="0" w:noVBand="1"/>
      </w:tblPr>
      <w:tblGrid>
        <w:gridCol w:w="1035"/>
        <w:gridCol w:w="2955"/>
        <w:gridCol w:w="4047"/>
        <w:gridCol w:w="1151"/>
      </w:tblGrid>
      <w:tr w:rsidR="00EE55D5" w:rsidRPr="00EE55D5" w14:paraId="4C76011C" w14:textId="77777777">
        <w:trPr>
          <w:trHeight w:val="285"/>
        </w:trPr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990A24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Pathway ID</w:t>
            </w:r>
          </w:p>
        </w:tc>
        <w:tc>
          <w:tcPr>
            <w:tcW w:w="29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26E437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KEGG_class</w:t>
            </w:r>
          </w:p>
        </w:tc>
        <w:tc>
          <w:tcPr>
            <w:tcW w:w="4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0DE35B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Pathway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D7D793" w14:textId="77777777" w:rsidR="00B6443D" w:rsidRPr="00EE55D5" w:rsidRDefault="00EE55D5">
            <w:pPr>
              <w:rPr>
                <w:rFonts w:eastAsia="等线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b/>
                <w:bCs/>
                <w:color w:val="000000" w:themeColor="text1"/>
                <w:sz w:val="22"/>
                <w:lang w:bidi="ar"/>
              </w:rPr>
              <w:t>Pvalue</w:t>
            </w:r>
          </w:p>
        </w:tc>
      </w:tr>
      <w:tr w:rsidR="00EE55D5" w:rsidRPr="00EE55D5" w14:paraId="5DEEFF52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66157FC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ko04657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61D4427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Immune system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2705F5F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IL-17 signaling pathway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2ABADE4D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1.86E-07</w:t>
            </w:r>
          </w:p>
        </w:tc>
      </w:tr>
      <w:tr w:rsidR="00EE55D5" w:rsidRPr="00EE55D5" w14:paraId="425033BE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34C5D45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ko00982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246FE87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Xenobiotics biodegradation and metabolism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7437104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Drug metabolism - cytochrome P450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F7839D9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0.0008978</w:t>
            </w:r>
          </w:p>
        </w:tc>
      </w:tr>
      <w:tr w:rsidR="00EE55D5" w:rsidRPr="00EE55D5" w14:paraId="2C740E70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19DDC7E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ko05323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6C49E3F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Immune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69BC7EA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Rheumatoid arthritis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F52F453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0.0010327</w:t>
            </w:r>
          </w:p>
        </w:tc>
      </w:tr>
      <w:tr w:rsidR="00EE55D5" w:rsidRPr="00EE55D5" w14:paraId="399DCF93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7B5AA2F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ko00980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5F2A09F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Xenobiotics biodegradation and metabolism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6ACCF98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Metabolism of xenobiotics by cytochrome P450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548CD395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0.0010976</w:t>
            </w:r>
          </w:p>
        </w:tc>
      </w:tr>
      <w:tr w:rsidR="00EE55D5" w:rsidRPr="00EE55D5" w14:paraId="66F3D739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7631091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ko05204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5236137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Cancers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7F9595E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Chemical carcinogenesis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28A54279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0.0016308</w:t>
            </w:r>
          </w:p>
        </w:tc>
      </w:tr>
      <w:tr w:rsidR="00EE55D5" w:rsidRPr="00EE55D5" w14:paraId="4F65B109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3394998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ko04061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66D362A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Signaling molecules and interaction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567C95D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Viral protein interaction with cytokine and cytokine receptor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048DCFB3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0.0025847</w:t>
            </w:r>
          </w:p>
        </w:tc>
      </w:tr>
      <w:tr w:rsidR="00EE55D5" w:rsidRPr="00EE55D5" w14:paraId="744DE500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0B458A2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ko04915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05D1B28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Endocrine system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58BA3C3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Estrogen signaling pathway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BA49750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0.0065999</w:t>
            </w:r>
          </w:p>
        </w:tc>
      </w:tr>
      <w:tr w:rsidR="00EE55D5" w:rsidRPr="00EE55D5" w14:paraId="02931B85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6B57247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ko05418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091EBFA0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Cardiovascular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7BAA213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Fluid shear stress and atherosclerosis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48C9D8E8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0.0067302</w:t>
            </w:r>
          </w:p>
        </w:tc>
      </w:tr>
      <w:tr w:rsidR="00EE55D5" w:rsidRPr="00EE55D5" w14:paraId="470C0167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60936B9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ko04060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12949659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Signaling molecules and interaction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695887C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Cytokine-cytokine receptor interaction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045EE1E0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0.0087577</w:t>
            </w:r>
          </w:p>
        </w:tc>
      </w:tr>
      <w:tr w:rsidR="00EE55D5" w:rsidRPr="00EE55D5" w14:paraId="5E9C3262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329E9AA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ko05134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099F77B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Infectious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45BFB3A4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Legionellosis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665B7B75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0.0110204</w:t>
            </w:r>
          </w:p>
        </w:tc>
      </w:tr>
      <w:tr w:rsidR="00EE55D5" w:rsidRPr="00EE55D5" w14:paraId="6A90C515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2945D59C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ko05150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77208CB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Infectious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36C47BBD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Staphylococcus aureus infection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2ACBE158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0.0115547</w:t>
            </w:r>
          </w:p>
        </w:tc>
      </w:tr>
      <w:tr w:rsidR="00EE55D5" w:rsidRPr="00EE55D5" w14:paraId="05E603CC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4EE5A7D8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ko00480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5B64F4EA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Metabolism of other amino acids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4B14A0F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Glutathione metabolism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71708D34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0.0121393</w:t>
            </w:r>
          </w:p>
        </w:tc>
      </w:tr>
      <w:tr w:rsidR="00EE55D5" w:rsidRPr="00EE55D5" w14:paraId="03A72AF8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642C5EF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ko05164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1544B40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Infectious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07BB392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Influenza A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348C4105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0.0126692</w:t>
            </w:r>
          </w:p>
        </w:tc>
      </w:tr>
      <w:tr w:rsidR="00EE55D5" w:rsidRPr="00EE55D5" w14:paraId="3B2C2935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3F2830E1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lastRenderedPageBreak/>
              <w:t>ko05120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03E7F7D7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Infectious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751BAD3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Epithelial cell signaling in Helicobacter pylori infection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41D2484A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0.0157805</w:t>
            </w:r>
          </w:p>
        </w:tc>
      </w:tr>
      <w:tr w:rsidR="00EE55D5" w:rsidRPr="00EE55D5" w14:paraId="05F633B2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2835A66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ko04062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2D3E8B1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Immune system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536A2BD2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Chemokine signaling pathway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2B2001EA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0.0163765</w:t>
            </w:r>
          </w:p>
        </w:tc>
      </w:tr>
      <w:tr w:rsidR="00EE55D5" w:rsidRPr="00EE55D5" w14:paraId="1A298712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5129E44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ko01524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4F27E6AA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Drug resistance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48C8E44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Platinum drug resistance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5DEAF799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0.017982</w:t>
            </w:r>
          </w:p>
        </w:tc>
      </w:tr>
      <w:tr w:rsidR="00EE55D5" w:rsidRPr="00EE55D5" w14:paraId="2BBD3731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462F72E3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ko04971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255754E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Digestive system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22609448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Gastric acid secretion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6E2565BF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0.0188972</w:t>
            </w:r>
          </w:p>
        </w:tc>
      </w:tr>
      <w:tr w:rsidR="00EE55D5" w:rsidRPr="00EE55D5" w14:paraId="2108BB63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14FB0E5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ko05133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7E63157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Infectious diseases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3A3C91D0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Pertussis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40B2A8F6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0.0193621</w:t>
            </w:r>
          </w:p>
        </w:tc>
      </w:tr>
      <w:tr w:rsidR="00EE55D5" w:rsidRPr="00EE55D5" w14:paraId="5D8970B6" w14:textId="77777777">
        <w:trPr>
          <w:trHeight w:val="300"/>
        </w:trPr>
        <w:tc>
          <w:tcPr>
            <w:tcW w:w="1035" w:type="dxa"/>
            <w:shd w:val="clear" w:color="auto" w:fill="auto"/>
            <w:noWrap/>
            <w:vAlign w:val="center"/>
          </w:tcPr>
          <w:p w14:paraId="67098C85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ko00983</w:t>
            </w:r>
          </w:p>
        </w:tc>
        <w:tc>
          <w:tcPr>
            <w:tcW w:w="2955" w:type="dxa"/>
            <w:shd w:val="clear" w:color="auto" w:fill="auto"/>
            <w:noWrap/>
            <w:vAlign w:val="center"/>
          </w:tcPr>
          <w:p w14:paraId="7460B60F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Xenobiotics biodegradation and metabolism</w:t>
            </w:r>
          </w:p>
        </w:tc>
        <w:tc>
          <w:tcPr>
            <w:tcW w:w="4047" w:type="dxa"/>
            <w:shd w:val="clear" w:color="auto" w:fill="auto"/>
            <w:noWrap/>
            <w:vAlign w:val="center"/>
          </w:tcPr>
          <w:p w14:paraId="3D35654B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Drug metabolism - other enzymes</w:t>
            </w:r>
          </w:p>
        </w:tc>
        <w:tc>
          <w:tcPr>
            <w:tcW w:w="1151" w:type="dxa"/>
            <w:shd w:val="clear" w:color="auto" w:fill="auto"/>
            <w:noWrap/>
            <w:vAlign w:val="center"/>
          </w:tcPr>
          <w:p w14:paraId="447BD439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0.0203045</w:t>
            </w:r>
          </w:p>
        </w:tc>
      </w:tr>
      <w:tr w:rsidR="00EE55D5" w:rsidRPr="00EE55D5" w14:paraId="2997DF33" w14:textId="77777777">
        <w:trPr>
          <w:trHeight w:val="300"/>
        </w:trPr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B5E66E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ko04933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5614E0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Endocrine and metabolic diseases</w:t>
            </w:r>
          </w:p>
        </w:tc>
        <w:tc>
          <w:tcPr>
            <w:tcW w:w="40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66BCC96" w14:textId="77777777" w:rsidR="00B6443D" w:rsidRPr="00EE55D5" w:rsidRDefault="00EE55D5">
            <w:pPr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AGE-RAGE signaling pathway in diabetic complications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946FF6" w14:textId="77777777" w:rsidR="00B6443D" w:rsidRPr="00EE55D5" w:rsidRDefault="00EE55D5">
            <w:pPr>
              <w:jc w:val="right"/>
              <w:rPr>
                <w:rFonts w:eastAsia="等线" w:cs="Times New Roman"/>
                <w:color w:val="000000" w:themeColor="text1"/>
                <w:sz w:val="22"/>
              </w:rPr>
            </w:pPr>
            <w:r w:rsidRPr="00EE55D5">
              <w:rPr>
                <w:rFonts w:eastAsia="等线" w:cs="Times New Roman"/>
                <w:color w:val="000000" w:themeColor="text1"/>
                <w:sz w:val="22"/>
                <w:lang w:bidi="ar"/>
              </w:rPr>
              <w:t>0.0324866</w:t>
            </w:r>
          </w:p>
        </w:tc>
      </w:tr>
    </w:tbl>
    <w:p w14:paraId="425A6F29" w14:textId="77777777" w:rsidR="00B6443D" w:rsidRPr="00EE55D5" w:rsidRDefault="00EE55D5">
      <w:pPr>
        <w:spacing w:beforeLines="50" w:before="163" w:afterLines="50" w:after="163"/>
        <w:rPr>
          <w:rFonts w:eastAsia="宋体" w:cs="Times New Roman"/>
          <w:color w:val="000000" w:themeColor="text1"/>
        </w:rPr>
      </w:pPr>
      <w:r w:rsidRPr="00EE55D5">
        <w:rPr>
          <w:rFonts w:eastAsia="宋体" w:cs="Times New Roman"/>
          <w:b/>
          <w:bCs/>
          <w:color w:val="000000" w:themeColor="text1"/>
          <w:lang w:bidi="ar"/>
        </w:rPr>
        <w:t xml:space="preserve">Table S4 </w:t>
      </w:r>
      <w:r w:rsidRPr="00EE55D5">
        <w:rPr>
          <w:rFonts w:eastAsia="宋体" w:cs="Times New Roman"/>
          <w:color w:val="000000" w:themeColor="text1"/>
          <w:lang w:bidi="ar"/>
        </w:rPr>
        <w:t xml:space="preserve">Top20 significant KEGG analysis </w:t>
      </w:r>
      <w:r w:rsidRPr="00EE55D5">
        <w:rPr>
          <w:rFonts w:eastAsia="宋体" w:cs="Times New Roman"/>
          <w:color w:val="000000" w:themeColor="text1"/>
          <w:lang w:bidi="ar"/>
        </w:rPr>
        <w:br w:type="page"/>
      </w:r>
    </w:p>
    <w:p w14:paraId="22674440" w14:textId="77777777" w:rsidR="00B6443D" w:rsidRPr="00EE55D5" w:rsidRDefault="00B6443D">
      <w:pPr>
        <w:spacing w:beforeLines="50" w:before="163" w:afterLines="50" w:after="163" w:line="360" w:lineRule="auto"/>
        <w:rPr>
          <w:rFonts w:eastAsia="宋体" w:cs="Times New Roman"/>
          <w:b/>
          <w:bCs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02"/>
        <w:gridCol w:w="654"/>
        <w:gridCol w:w="532"/>
        <w:gridCol w:w="776"/>
        <w:gridCol w:w="776"/>
      </w:tblGrid>
      <w:tr w:rsidR="00EE55D5" w:rsidRPr="00EE55D5" w14:paraId="39B3F802" w14:textId="7777777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B2023F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0D112A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setSize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584FDA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NES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FC1EA2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pvalue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300EC8" w14:textId="77777777" w:rsidR="00B6443D" w:rsidRPr="00EE55D5" w:rsidRDefault="00EE55D5">
            <w:pPr>
              <w:rPr>
                <w:rFonts w:eastAsia="宋体" w:cs="Times New Roman"/>
                <w:b/>
                <w:bCs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b/>
                <w:bCs/>
                <w:color w:val="000000" w:themeColor="text1"/>
                <w:sz w:val="22"/>
                <w:lang w:bidi="ar"/>
              </w:rPr>
              <w:t>FDR</w:t>
            </w:r>
          </w:p>
        </w:tc>
      </w:tr>
      <w:tr w:rsidR="00EE55D5" w:rsidRPr="00EE55D5" w14:paraId="7F0E4C9E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83E270A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KEGG_NOD_LIKE_RECEPTOR_SIGNALING_PATHWAY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6C7AF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3B5D80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2.06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2E5CC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2.97E-03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A9903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6.72E-02</w:t>
            </w:r>
          </w:p>
        </w:tc>
      </w:tr>
      <w:tr w:rsidR="00EE55D5" w:rsidRPr="00EE55D5" w14:paraId="6D70FED5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9E43E8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KEGG_FRUCTOSE_AND_MANNOSE_METABOLISM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9FF48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7478F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1.74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51963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1.16E-02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FD7B5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1.16E-01</w:t>
            </w:r>
          </w:p>
        </w:tc>
      </w:tr>
      <w:tr w:rsidR="00EE55D5" w:rsidRPr="00EE55D5" w14:paraId="6C9A2C44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22ED2FD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KEGG_DRUG_METABOLISM_OTHER_ENZYMES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51D5C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82F86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1.71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7F66D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9.06E-03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99713D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1.00E-01</w:t>
            </w:r>
          </w:p>
        </w:tc>
      </w:tr>
      <w:tr w:rsidR="00EE55D5" w:rsidRPr="00EE55D5" w14:paraId="711ECA4D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1A11753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KEGG_PPAR_SIGNALING_PATHWAY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08B74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6BD67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1.69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0F6B8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6.17E-03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9BBFE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8.63E-02</w:t>
            </w:r>
          </w:p>
        </w:tc>
      </w:tr>
      <w:tr w:rsidR="00EE55D5" w:rsidRPr="00EE55D5" w14:paraId="510C6A3B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543D8B2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KEGG_OLFACTORY_TRANSDUCTION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DCEDB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98898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1.66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DFF5A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5.88E-03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DFCEC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8.63E-02</w:t>
            </w:r>
          </w:p>
        </w:tc>
      </w:tr>
      <w:tr w:rsidR="00EE55D5" w:rsidRPr="00EE55D5" w14:paraId="1495EC4C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4542D47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KEGG_PENTOSE_PHOSPHATE_PATHWAY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59E07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04659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1.56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B9DBC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3.12E-02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30075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1.99E-01</w:t>
            </w:r>
          </w:p>
        </w:tc>
      </w:tr>
      <w:tr w:rsidR="00EE55D5" w:rsidRPr="00EE55D5" w14:paraId="00C194CB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696DDE0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KEGG_GALACTOSE_METABOLISM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AB20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1D176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1.55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17A84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3.06E-02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A082A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1.98E-01</w:t>
            </w:r>
          </w:p>
        </w:tc>
      </w:tr>
      <w:tr w:rsidR="00EE55D5" w:rsidRPr="00EE55D5" w14:paraId="292A1D45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D75EBD7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KEGG_RIG_I_LIKE_RECEPTOR_SIGNALING_PATHWAY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E5648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E4DA68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1.53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FB772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1.85E-02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168CF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1.51E-01</w:t>
            </w:r>
          </w:p>
        </w:tc>
      </w:tr>
      <w:tr w:rsidR="00EE55D5" w:rsidRPr="00EE55D5" w14:paraId="1A19B8F6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FB1B57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KEGG_HISTIDINE_METABOLISM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F8C329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7D647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1.49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84A15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5.10E-02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2D8A2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2.58E-01</w:t>
            </w:r>
          </w:p>
        </w:tc>
      </w:tr>
      <w:tr w:rsidR="00EE55D5" w:rsidRPr="00EE55D5" w14:paraId="616164AE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7D97115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KEGG_EPITHELIAL_CELL_SIGNALING_IN_HELICOBACTER_PYLORI_INFECTION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D429E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58D67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1.47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277E2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2.80E-02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E59A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1.89E-01</w:t>
            </w:r>
          </w:p>
        </w:tc>
      </w:tr>
      <w:tr w:rsidR="00EE55D5" w:rsidRPr="00EE55D5" w14:paraId="61B489F4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70605654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KEGG_COMPLEMENT_AND_COAGULATION_CASCADES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DCD3A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B12A6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1.46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B47EB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3.09E-02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6F2A3F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1.98E-01</w:t>
            </w:r>
          </w:p>
        </w:tc>
      </w:tr>
      <w:tr w:rsidR="00EE55D5" w:rsidRPr="00EE55D5" w14:paraId="736E20C4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61D3206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lastRenderedPageBreak/>
              <w:t>KEGG_CYTOKINE_CYTOKINE_RECEPTOR_INTERACTION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150EF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EBB3BC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1.45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5AE7E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1.84E-02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7F29A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1.51E-01</w:t>
            </w:r>
          </w:p>
        </w:tc>
      </w:tr>
      <w:tr w:rsidR="00EE55D5" w:rsidRPr="00EE55D5" w14:paraId="6F4C0DF0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62EC0061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KEGG_STARCH_AND_SUCROSE_METABOLISM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D768C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DB3E1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1.43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EA8B4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3.93E-02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ED9A7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2.25E-01</w:t>
            </w:r>
          </w:p>
        </w:tc>
      </w:tr>
      <w:tr w:rsidR="00EE55D5" w:rsidRPr="00EE55D5" w14:paraId="7B62AE94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53BFA54D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KEGG_TOLL_LIKE_RECEPTOR_SIGNALING_PATHWAY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35513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798771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1.42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4DD99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2.11E-02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A119A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1.62E-01</w:t>
            </w:r>
          </w:p>
        </w:tc>
      </w:tr>
      <w:tr w:rsidR="00EE55D5" w:rsidRPr="00EE55D5" w14:paraId="4DA79998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13D04E8B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KEGG_APOPTOSIS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61D7D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87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A1B5B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1.34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C5BF5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4.51E-02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4A68E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2.40E-01</w:t>
            </w:r>
          </w:p>
        </w:tc>
      </w:tr>
      <w:tr w:rsidR="00EE55D5" w:rsidRPr="00EE55D5" w14:paraId="63BC6145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1BC4C3D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KEGG_JAK_STAT_SIGNALING_PATHWAY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C588D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155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1F814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1.27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AFBDE9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3.42E-02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157F2A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2.11E-01</w:t>
            </w:r>
          </w:p>
        </w:tc>
      </w:tr>
      <w:tr w:rsidR="00EE55D5" w:rsidRPr="00EE55D5" w14:paraId="50039695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4CEC8D4D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KEGG_TGF_BETA_SIGNALING_PATHWAY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598C4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85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F2703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-1.39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C7E61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3.92E-02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D2E0B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2.25E-01</w:t>
            </w:r>
          </w:p>
        </w:tc>
      </w:tr>
      <w:tr w:rsidR="00EE55D5" w:rsidRPr="00EE55D5" w14:paraId="3CE825B0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4B4C49F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KEGG_PROTEASOME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E7D03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92BC09E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-1.39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E896A2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5.40E-02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BA44A5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2.61E-01</w:t>
            </w:r>
          </w:p>
        </w:tc>
      </w:tr>
      <w:tr w:rsidR="00EE55D5" w:rsidRPr="00EE55D5" w14:paraId="41DB0480" w14:textId="7777777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</w:tcPr>
          <w:p w14:paraId="30FAB02C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KEGG_T_CELL_RECEPTOR_SIGNALING_PATHWAY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455CA8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005640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-1.42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F9981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2.81E-02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4C5EBB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1.89E-01</w:t>
            </w:r>
          </w:p>
        </w:tc>
      </w:tr>
      <w:tr w:rsidR="00EE55D5" w:rsidRPr="00EE55D5" w14:paraId="2A64B5F5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4870CE" w14:textId="77777777" w:rsidR="00B6443D" w:rsidRPr="00EE55D5" w:rsidRDefault="00EE55D5">
            <w:pPr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KEGG_INTESTINAL_IMMUNE_NETWORK_FOR_IGA_PRODUCTION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1C3B32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17B506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 xml:space="preserve">-1.42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886213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4.27E-02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2743E7" w14:textId="77777777" w:rsidR="00B6443D" w:rsidRPr="00EE55D5" w:rsidRDefault="00EE55D5">
            <w:pPr>
              <w:jc w:val="right"/>
              <w:rPr>
                <w:rFonts w:eastAsia="宋体" w:cs="Times New Roman"/>
                <w:color w:val="000000" w:themeColor="text1"/>
                <w:sz w:val="22"/>
              </w:rPr>
            </w:pPr>
            <w:r w:rsidRPr="00EE55D5">
              <w:rPr>
                <w:rFonts w:eastAsia="宋体" w:cs="Times New Roman"/>
                <w:color w:val="000000" w:themeColor="text1"/>
                <w:sz w:val="22"/>
                <w:lang w:bidi="ar"/>
              </w:rPr>
              <w:t>2.32E-01</w:t>
            </w:r>
          </w:p>
        </w:tc>
      </w:tr>
    </w:tbl>
    <w:p w14:paraId="74A544F4" w14:textId="77777777" w:rsidR="00B6443D" w:rsidRPr="00EE55D5" w:rsidRDefault="00EE55D5">
      <w:pPr>
        <w:rPr>
          <w:rFonts w:cs="Times New Roman"/>
          <w:color w:val="000000" w:themeColor="text1"/>
        </w:rPr>
      </w:pPr>
      <w:r w:rsidRPr="00EE55D5">
        <w:rPr>
          <w:rFonts w:eastAsia="宋体" w:cs="Times New Roman"/>
          <w:b/>
          <w:bCs/>
          <w:color w:val="000000" w:themeColor="text1"/>
          <w:lang w:bidi="ar"/>
        </w:rPr>
        <w:t xml:space="preserve">Table S5 </w:t>
      </w:r>
      <w:r w:rsidRPr="00EE55D5">
        <w:rPr>
          <w:rFonts w:eastAsia="宋体" w:cs="Times New Roman"/>
          <w:color w:val="000000" w:themeColor="text1"/>
          <w:lang w:bidi="ar"/>
        </w:rPr>
        <w:t>GSEA analysis results</w:t>
      </w:r>
    </w:p>
    <w:p w14:paraId="03533364" w14:textId="77777777" w:rsidR="00B6443D" w:rsidRPr="00EE55D5" w:rsidRDefault="00B6443D">
      <w:pPr>
        <w:spacing w:before="240"/>
        <w:rPr>
          <w:rFonts w:cs="Times New Roman"/>
          <w:color w:val="000000" w:themeColor="text1"/>
        </w:rPr>
      </w:pPr>
    </w:p>
    <w:p w14:paraId="29E7226D" w14:textId="77777777" w:rsidR="00B6443D" w:rsidRPr="00EE55D5" w:rsidRDefault="00B6443D">
      <w:pPr>
        <w:rPr>
          <w:rFonts w:cs="Times New Roman"/>
          <w:color w:val="000000" w:themeColor="text1"/>
        </w:rPr>
      </w:pPr>
    </w:p>
    <w:p w14:paraId="232071B0" w14:textId="77777777" w:rsidR="00B6443D" w:rsidRPr="00EE55D5" w:rsidRDefault="00B6443D">
      <w:pPr>
        <w:rPr>
          <w:color w:val="000000" w:themeColor="text1"/>
        </w:rPr>
      </w:pPr>
    </w:p>
    <w:sectPr w:rsidR="00B6443D" w:rsidRPr="00EE55D5" w:rsidSect="00EE55D5">
      <w:pgSz w:w="12240" w:h="15840"/>
      <w:pgMar w:top="1440" w:right="1800" w:bottom="1440" w:left="1800" w:header="720" w:footer="720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C93A2" w14:textId="77777777" w:rsidR="00DA6917" w:rsidRDefault="00DA6917">
      <w:pPr>
        <w:spacing w:before="0" w:after="0"/>
      </w:pPr>
      <w:r>
        <w:separator/>
      </w:r>
    </w:p>
  </w:endnote>
  <w:endnote w:type="continuationSeparator" w:id="0">
    <w:p w14:paraId="18971B88" w14:textId="77777777" w:rsidR="00DA6917" w:rsidRDefault="00DA691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88DF1" w14:textId="77777777" w:rsidR="00DA6917" w:rsidRDefault="00DA6917">
      <w:pPr>
        <w:spacing w:before="0" w:after="0"/>
      </w:pPr>
      <w:r>
        <w:separator/>
      </w:r>
    </w:p>
  </w:footnote>
  <w:footnote w:type="continuationSeparator" w:id="0">
    <w:p w14:paraId="5D604B90" w14:textId="77777777" w:rsidR="00DA6917" w:rsidRDefault="00DA691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 w16cid:durableId="1376199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JjNGE4NDE4YTVjYWI0MGQ3NzIxYjU5NzlhMzg0ZDUifQ=="/>
  </w:docVars>
  <w:rsids>
    <w:rsidRoot w:val="00C939CE"/>
    <w:rsid w:val="00293946"/>
    <w:rsid w:val="006540C4"/>
    <w:rsid w:val="006A4AF2"/>
    <w:rsid w:val="006C765D"/>
    <w:rsid w:val="006E54A5"/>
    <w:rsid w:val="00771510"/>
    <w:rsid w:val="00B6443D"/>
    <w:rsid w:val="00C939CE"/>
    <w:rsid w:val="00DA6917"/>
    <w:rsid w:val="00E45E0F"/>
    <w:rsid w:val="00EE55D5"/>
    <w:rsid w:val="00F65267"/>
    <w:rsid w:val="60F9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1787B"/>
  <w15:docId w15:val="{70E6470A-C7FD-465D-868C-C4115FF61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20" w:after="240"/>
    </w:pPr>
    <w:rPr>
      <w:rFonts w:ascii="Times New Roman" w:eastAsiaTheme="minorEastAsia" w:hAnsi="Times New Roman" w:cstheme="minorBidi"/>
      <w:sz w:val="24"/>
      <w:szCs w:val="22"/>
      <w:lang w:val="en-US" w:eastAsia="en-US"/>
    </w:rPr>
  </w:style>
  <w:style w:type="paragraph" w:styleId="1">
    <w:name w:val="heading 1"/>
    <w:basedOn w:val="a0"/>
    <w:next w:val="a"/>
    <w:link w:val="10"/>
    <w:uiPriority w:val="2"/>
    <w:qFormat/>
    <w:pPr>
      <w:numPr>
        <w:numId w:val="1"/>
      </w:numPr>
      <w:spacing w:before="240"/>
      <w:ind w:firstLineChars="0" w:firstLine="0"/>
      <w:outlineLvl w:val="0"/>
    </w:pPr>
    <w:rPr>
      <w:rFonts w:eastAsia="Cambria" w:cs="Times New Roman"/>
      <w:b/>
      <w:szCs w:val="24"/>
    </w:rPr>
  </w:style>
  <w:style w:type="paragraph" w:styleId="2">
    <w:name w:val="heading 2"/>
    <w:basedOn w:val="1"/>
    <w:next w:val="a"/>
    <w:link w:val="20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"/>
    <w:link w:val="40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1"/>
    <w:link w:val="1"/>
    <w:uiPriority w:val="2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0">
    <w:name w:val="标题 2 字符"/>
    <w:basedOn w:val="a1"/>
    <w:link w:val="2"/>
    <w:uiPriority w:val="2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0">
    <w:name w:val="标题 3 字符"/>
    <w:basedOn w:val="a1"/>
    <w:link w:val="3"/>
    <w:uiPriority w:val="2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0">
    <w:name w:val="标题 4 字符"/>
    <w:basedOn w:val="a1"/>
    <w:link w:val="4"/>
    <w:uiPriority w:val="2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0">
    <w:name w:val="标题 5 字符"/>
    <w:basedOn w:val="a1"/>
    <w:link w:val="5"/>
    <w:uiPriority w:val="2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paragraph" w:customStyle="1" w:styleId="SupplementaryMaterial">
    <w:name w:val="Supplementary Material"/>
    <w:basedOn w:val="a8"/>
    <w:next w:val="a8"/>
    <w:qFormat/>
    <w:pPr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</w:rPr>
  </w:style>
  <w:style w:type="character" w:customStyle="1" w:styleId="a9">
    <w:name w:val="标题 字符"/>
    <w:basedOn w:val="a1"/>
    <w:link w:val="a8"/>
    <w:uiPriority w:val="10"/>
    <w:qFormat/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character" w:customStyle="1" w:styleId="a7">
    <w:name w:val="页眉 字符"/>
    <w:basedOn w:val="a1"/>
    <w:link w:val="a6"/>
    <w:uiPriority w:val="99"/>
    <w:rPr>
      <w:rFonts w:ascii="Times New Roman" w:hAnsi="Times New Roman"/>
      <w:kern w:val="0"/>
      <w:sz w:val="18"/>
      <w:szCs w:val="18"/>
      <w:lang w:eastAsia="en-US"/>
    </w:rPr>
  </w:style>
  <w:style w:type="character" w:customStyle="1" w:styleId="a5">
    <w:name w:val="页脚 字符"/>
    <w:basedOn w:val="a1"/>
    <w:link w:val="a4"/>
    <w:uiPriority w:val="99"/>
    <w:rPr>
      <w:rFonts w:ascii="Times New Roman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15</Pages>
  <Words>1275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meng zhouwenli</dc:creator>
  <cp:lastModifiedBy>meng zhouwenli</cp:lastModifiedBy>
  <cp:revision>7</cp:revision>
  <dcterms:created xsi:type="dcterms:W3CDTF">2022-10-02T16:19:00Z</dcterms:created>
  <dcterms:modified xsi:type="dcterms:W3CDTF">2023-05-05T03:21:00Z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345A58907A6147C8A0D44A37CF871836</vt:lpwstr>
  </property>
</Properties>
</file>