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00" w:after="100" w:line="240" w:lineRule="auto"/>
        <w:ind w:left="100" w:right="100" w:firstLine="0"/>
        <w:jc w:val="center"/>
        <w:rPr>
          <w:rFonts w:hint="default" w:eastAsia="宋体"/>
          <w:lang w:val="en-US" w:eastAsia="zh-CN"/>
        </w:rPr>
      </w:pPr>
      <w:bookmarkStart w:id="0" w:name="_GoBack"/>
      <w:r>
        <w:rPr>
          <w:rFonts w:ascii="Times New Roman" w:hAnsi="Times New Roman" w:eastAsia="宋体" w:cs="Times New Roman"/>
          <w:b/>
          <w:bCs/>
          <w:color w:val="000000" w:themeColor="text1"/>
          <w:kern w:val="0"/>
          <w:sz w:val="28"/>
          <w:szCs w:val="28"/>
          <w:shd w:val="clear" w:color="auto" w:fill="FFFFFF"/>
          <w14:textFill>
            <w14:solidFill>
              <w14:schemeClr w14:val="tx1"/>
            </w14:solidFill>
          </w14:textFill>
        </w:rPr>
        <w:t>Table S</w:t>
      </w:r>
      <w:r>
        <w:rPr>
          <w:rFonts w:hint="eastAsia" w:ascii="Times New Roman" w:hAnsi="Times New Roman" w:eastAsia="宋体" w:cs="Times New Roman"/>
          <w:b/>
          <w:bCs/>
          <w:color w:val="000000" w:themeColor="text1"/>
          <w:kern w:val="0"/>
          <w:sz w:val="28"/>
          <w:szCs w:val="28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3 Univariate and multivariate Cox regression of overall survival</w:t>
      </w:r>
    </w:p>
    <w:bookmarkEnd w:id="0"/>
    <w:tbl>
      <w:tblPr>
        <w:tblStyle w:val="8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0"/>
        <w:gridCol w:w="1061"/>
        <w:gridCol w:w="2151"/>
        <w:gridCol w:w="1011"/>
        <w:gridCol w:w="461"/>
        <w:gridCol w:w="2151"/>
        <w:gridCol w:w="101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tblHeader/>
          <w:jc w:val="center"/>
        </w:trPr>
        <w:tc>
          <w:tcPr>
            <w:vMerge w:val="restart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Characteristics</w:t>
            </w:r>
          </w:p>
        </w:tc>
        <w:tc>
          <w:tcPr>
            <w:vMerge w:val="restart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Total(N)</w:t>
            </w:r>
          </w:p>
        </w:tc>
        <w:tc>
          <w:tcPr>
            <w:gridSpan w:val="2"/>
            <w:tcBorders>
              <w:top w:val="single" w:color="000000" w:sz="6" w:space="0"/>
              <w:bottom w:val="single" w:color="666666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Univariate analysis</w:t>
            </w:r>
          </w:p>
        </w:tc>
        <w:tc>
          <w:tcPr>
            <w:vMerge w:val="restart"/>
            <w:tcBorders>
              <w:top w:val="single" w:color="000000" w:sz="6" w:space="0"/>
              <w:bottom w:val="single" w:color="000000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gridSpan w:val="2"/>
            <w:tcBorders>
              <w:top w:val="single" w:color="000000" w:sz="6" w:space="0"/>
              <w:bottom w:val="single" w:color="666666" w:sz="8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Multivariate analysis</w:t>
            </w:r>
          </w:p>
        </w:tc>
      </w:tr>
      <w:tr>
        <w:trPr>
          <w:cantSplit/>
          <w:trHeight w:val="0" w:hRule="atLeast"/>
          <w:tblHeader/>
          <w:jc w:val="center"/>
        </w:trPr>
        <w:tc>
          <w:tcPr>
            <w:vMerge w:val="continue"/>
            <w:tcBorders>
              <w:top w:val="single" w:color="666666" w:sz="8" w:space="0"/>
              <w:bottom w:val="single" w:color="000000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vMerge w:val="continue"/>
            <w:tcBorders>
              <w:top w:val="single" w:color="666666" w:sz="8" w:space="0"/>
              <w:bottom w:val="single" w:color="000000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tcBorders>
              <w:top w:val="single" w:color="666666" w:sz="8" w:space="0"/>
              <w:bottom w:val="single" w:color="000000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Hazard ratio (95% CI)</w:t>
            </w:r>
          </w:p>
        </w:tc>
        <w:tc>
          <w:tcPr>
            <w:tcBorders>
              <w:top w:val="single" w:color="666666" w:sz="8" w:space="0"/>
              <w:bottom w:val="single" w:color="000000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P value</w:t>
            </w:r>
          </w:p>
        </w:tc>
        <w:tc>
          <w:tcPr>
            <w:vMerge w:val="continue"/>
            <w:tcBorders>
              <w:top w:val="single" w:color="666666" w:sz="8" w:space="0"/>
              <w:bottom w:val="single" w:color="000000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tcBorders>
              <w:top w:val="single" w:color="666666" w:sz="8" w:space="0"/>
              <w:bottom w:val="single" w:color="000000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Hazard ratio (95% CI)</w:t>
            </w:r>
          </w:p>
        </w:tc>
        <w:tc>
          <w:tcPr>
            <w:tcBorders>
              <w:top w:val="single" w:color="666666" w:sz="8" w:space="0"/>
              <w:bottom w:val="single" w:color="000000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P value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Age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367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&lt;=65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163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Reference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&gt;65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204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1.620 (1.154-2.276)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b/>
                <w:color w:val="000000"/>
                <w:sz w:val="18"/>
                <w:szCs w:val="18"/>
              </w:rPr>
              <w:t>0.005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1.823 (1.237-2.687)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b/>
                <w:color w:val="000000"/>
                <w:sz w:val="18"/>
                <w:szCs w:val="18"/>
              </w:rPr>
              <w:t>0.002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Gender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370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Female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133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Reference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Male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237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1.267 (0.891-1.804)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0.188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1.658 (1.113-2.470)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b/>
                <w:color w:val="000000"/>
                <w:sz w:val="18"/>
                <w:szCs w:val="18"/>
              </w:rPr>
              <w:t>0.013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Histological type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369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Diffuse Type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63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Reference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Mucinous Type&amp;Papillary Type&amp;Signet Ring Type&amp;Tubular Type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104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0.932 (0.564-1.539)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0.783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0.769 (0.437-1.352)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0.361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Not Otherwise Specified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202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1.175 (0.748-1.844)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0.485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1.128 (0.679-1.871)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0.642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T stage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362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T1&amp;T2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96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Reference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T3&amp;T4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266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1.719 (1.131-2.612)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b/>
                <w:color w:val="000000"/>
                <w:sz w:val="18"/>
                <w:szCs w:val="18"/>
              </w:rPr>
              <w:t>0.011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1.130 (0.660-1.936)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0.655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N stage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352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N0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107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Reference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N1&amp;N2&amp;N3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245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1.925 (1.264-2.931)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b/>
                <w:color w:val="000000"/>
                <w:sz w:val="18"/>
                <w:szCs w:val="18"/>
              </w:rPr>
              <w:t>0.002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1.602 (0.877-2.927)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0.125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M stage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352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M0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327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Reference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M1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25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2.254 (1.295-3.924)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b/>
                <w:color w:val="000000"/>
                <w:sz w:val="18"/>
                <w:szCs w:val="18"/>
              </w:rPr>
              <w:t>0.004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2.507 (1.336-4.703)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b/>
                <w:color w:val="000000"/>
                <w:sz w:val="18"/>
                <w:szCs w:val="18"/>
              </w:rPr>
              <w:t>0.004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Pathologic stage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347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Stage I&amp;Stage II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160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Reference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Stage III&amp;Stage IV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187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1.947 (1.358-2.793)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b/>
                <w:color w:val="000000"/>
                <w:sz w:val="18"/>
                <w:szCs w:val="18"/>
              </w:rPr>
              <w:t>&lt;0.001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1.228 (0.698-2.161)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0.477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ENG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370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Low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186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Reference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High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184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1.164 (0.838-1.618)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0.364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0.857 (0.564-1.303)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0.471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THY1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370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Low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185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Reference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High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185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1.177 (0.848-1.634)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0.330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1.166 (0.770-1.766)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0.469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NT5E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370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Low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184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Reference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High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186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1.805 (1.290-2.524)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b/>
                <w:color w:val="000000"/>
                <w:sz w:val="18"/>
                <w:szCs w:val="18"/>
              </w:rPr>
              <w:t>&lt;0.001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1.874 (1.272-2.761)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b/>
                <w:color w:val="000000"/>
                <w:sz w:val="18"/>
                <w:szCs w:val="18"/>
              </w:rPr>
              <w:t>0.001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CD44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370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Low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185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Reference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High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185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1.553 (1.115-2.162)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b/>
                <w:color w:val="000000"/>
                <w:sz w:val="18"/>
                <w:szCs w:val="18"/>
              </w:rPr>
              <w:t>0.009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1.379 (0.946-2.011)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0.095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CPT1A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370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Low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186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Reference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High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184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0.910 (0.656-1.262)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0.573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0.885 (0.621-1.260)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0.497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CXCL8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370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Low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185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Reference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High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185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1.086 (0.783-1.507)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0.620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0.868 (0.599-1.259)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0.456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STC1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370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Low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184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Reference</w:t>
            </w: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Borders>
              <w:bottom w:val="single" w:color="000000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High</w:t>
            </w:r>
          </w:p>
        </w:tc>
        <w:tc>
          <w:tcPr>
            <w:tcBorders>
              <w:bottom w:val="single" w:color="000000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186</w:t>
            </w:r>
          </w:p>
        </w:tc>
        <w:tc>
          <w:tcPr>
            <w:tcBorders>
              <w:bottom w:val="single" w:color="000000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1.484 (1.062-2.074)</w:t>
            </w:r>
          </w:p>
        </w:tc>
        <w:tc>
          <w:tcPr>
            <w:tcBorders>
              <w:bottom w:val="single" w:color="000000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b/>
                <w:color w:val="000000"/>
                <w:sz w:val="18"/>
                <w:szCs w:val="18"/>
              </w:rPr>
              <w:t>0.021</w:t>
            </w:r>
          </w:p>
        </w:tc>
        <w:tc>
          <w:tcPr>
            <w:tcBorders>
              <w:bottom w:val="single" w:color="000000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</w:p>
        </w:tc>
        <w:tc>
          <w:tcPr>
            <w:tcBorders>
              <w:bottom w:val="single" w:color="000000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1.058 (0.706-1.586)</w:t>
            </w:r>
          </w:p>
        </w:tc>
        <w:tc>
          <w:tcPr>
            <w:tcBorders>
              <w:bottom w:val="single" w:color="000000" w:sz="6" w:space="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pacing w:before="100" w:after="100" w:line="240" w:lineRule="auto"/>
              <w:ind w:left="100" w:right="100" w:firstLine="0"/>
              <w:jc w:val="center"/>
            </w:pPr>
            <w:r>
              <w:rPr>
                <w:rFonts w:ascii="Arial" w:hAnsi="DejaVu Sans" w:eastAsia="DejaVu Sans" w:cs="DejaVu Sans"/>
                <w:color w:val="000000"/>
                <w:sz w:val="18"/>
                <w:szCs w:val="18"/>
              </w:rPr>
              <w:t>0.784</w:t>
            </w:r>
          </w:p>
        </w:tc>
      </w:tr>
    </w:tbl>
    <w:p/>
    <w:sectPr>
      <w:type w:val="continuous"/>
      <w:pgSz w:w="11900" w:h="16840"/>
      <w:pgMar w:top="1417" w:right="1417" w:bottom="1417" w:left="1417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ＭＳ 明朝">
    <w:altName w:val="Segoe Print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Lucida Grande">
    <w:altName w:val="Courier New"/>
    <w:panose1 w:val="020B0600040502020204"/>
    <w:charset w:val="00"/>
    <w:family w:val="auto"/>
    <w:pitch w:val="default"/>
    <w:sig w:usb0="00000000" w:usb1="00000000" w:usb2="00000000" w:usb3="00000000" w:csb0="000001BF" w:csb1="00000000"/>
  </w:font>
  <w:font w:name="Courier New">
    <w:panose1 w:val="02070309020205020404"/>
    <w:charset w:val="00"/>
    <w:family w:val="auto"/>
    <w:pitch w:val="default"/>
    <w:sig w:usb0="E0002EFF" w:usb1="C0007843" w:usb2="00000009" w:usb3="00000000" w:csb0="400001FF" w:csb1="FFFF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DejaVu 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E925FD"/>
    <w:multiLevelType w:val="multilevel"/>
    <w:tmpl w:val="07E925FD"/>
    <w:lvl w:ilvl="0" w:tentative="0">
      <w:start w:val="1"/>
      <w:numFmt w:val="decimal"/>
      <w:pStyle w:val="2"/>
      <w:lvlText w:val="%1."/>
      <w:lvlJc w:val="left"/>
      <w:pPr>
        <w:ind w:left="360" w:hanging="360"/>
      </w:pPr>
    </w:lvl>
    <w:lvl w:ilvl="1" w:tentative="0">
      <w:start w:val="1"/>
      <w:numFmt w:val="decimal"/>
      <w:pStyle w:val="3"/>
      <w:lvlText w:val="%1.%2."/>
      <w:lvlJc w:val="left"/>
      <w:pPr>
        <w:ind w:left="792" w:hanging="432"/>
      </w:pPr>
    </w:lvl>
    <w:lvl w:ilvl="2" w:tentative="0">
      <w:start w:val="1"/>
      <w:numFmt w:val="decimal"/>
      <w:pStyle w:val="4"/>
      <w:lvlText w:val="%1.%2.%3."/>
      <w:lvlJc w:val="left"/>
      <w:pPr>
        <w:ind w:left="1224" w:hanging="504"/>
      </w:pPr>
    </w:lvl>
    <w:lvl w:ilvl="3" w:tentative="0">
      <w:start w:val="1"/>
      <w:numFmt w:val="decimal"/>
      <w:lvlText w:val="%1.%2.%3.%4."/>
      <w:lvlJc w:val="left"/>
      <w:pPr>
        <w:ind w:left="1728" w:hanging="648"/>
      </w:pPr>
    </w:lvl>
    <w:lvl w:ilvl="4" w:tentative="0">
      <w:start w:val="1"/>
      <w:numFmt w:val="decimal"/>
      <w:lvlText w:val="%1.%2.%3.%4.%5."/>
      <w:lvlJc w:val="left"/>
      <w:pPr>
        <w:ind w:left="2232" w:hanging="792"/>
      </w:pPr>
    </w:lvl>
    <w:lvl w:ilvl="5" w:tentative="0">
      <w:start w:val="1"/>
      <w:numFmt w:val="decimal"/>
      <w:lvlText w:val="%1.%2.%3.%4.%5.%6."/>
      <w:lvlJc w:val="left"/>
      <w:pPr>
        <w:ind w:left="2736" w:hanging="936"/>
      </w:pPr>
    </w:lvl>
    <w:lvl w:ilvl="6" w:tentative="0">
      <w:start w:val="1"/>
      <w:numFmt w:val="decimal"/>
      <w:lvlText w:val="%1.%2.%3.%4.%5.%6.%7."/>
      <w:lvlJc w:val="left"/>
      <w:pPr>
        <w:ind w:left="3240" w:hanging="1080"/>
      </w:pPr>
    </w:lvl>
    <w:lvl w:ilvl="7" w:tentative="0">
      <w:start w:val="1"/>
      <w:numFmt w:val="decimal"/>
      <w:lvlText w:val="%1.%2.%3.%4.%5.%6.%7.%8."/>
      <w:lvlJc w:val="left"/>
      <w:pPr>
        <w:ind w:left="3744" w:hanging="1224"/>
      </w:pPr>
    </w:lvl>
    <w:lvl w:ilvl="8" w:tentative="0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documentProtection w:enforcement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I4YjkxODA5NDY3MmFmNzA1MTMwNGQ1MjE5YTAzMGQifQ=="/>
  </w:docVars>
  <w:rsids>
    <w:rsidRoot w:val="00B4379D"/>
    <w:rsid w:val="00036527"/>
    <w:rsid w:val="00073835"/>
    <w:rsid w:val="001379FE"/>
    <w:rsid w:val="001C0A13"/>
    <w:rsid w:val="001D75AB"/>
    <w:rsid w:val="0035500D"/>
    <w:rsid w:val="00362E65"/>
    <w:rsid w:val="004158F9"/>
    <w:rsid w:val="00457CF1"/>
    <w:rsid w:val="00747CCE"/>
    <w:rsid w:val="007B3E96"/>
    <w:rsid w:val="008F1F48"/>
    <w:rsid w:val="00901463"/>
    <w:rsid w:val="00946CB3"/>
    <w:rsid w:val="00AE18EF"/>
    <w:rsid w:val="00AE1BDD"/>
    <w:rsid w:val="00B3547C"/>
    <w:rsid w:val="00B4379D"/>
    <w:rsid w:val="00C27329"/>
    <w:rsid w:val="00C31EEB"/>
    <w:rsid w:val="00F12158"/>
    <w:rsid w:val="00FB63E7"/>
    <w:rsid w:val="00FC557F"/>
    <w:rsid w:val="03077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semiHidden="0" w:name="toc 1"/>
    <w:lsdException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sz w:val="24"/>
      <w:szCs w:val="24"/>
      <w:lang w:val="en-US" w:eastAsia="en-US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numPr>
        <w:ilvl w:val="0"/>
        <w:numId w:val="1"/>
      </w:numPr>
      <w:pBdr>
        <w:bottom w:val="single" w:color="auto" w:sz="4" w:space="1"/>
      </w:pBdr>
      <w:spacing w:before="480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numPr>
        <w:ilvl w:val="1"/>
        <w:numId w:val="1"/>
      </w:numPr>
      <w:spacing w:before="200"/>
      <w:outlineLvl w:val="1"/>
    </w:pPr>
    <w:rPr>
      <w:rFonts w:asciiTheme="majorHAnsi" w:hAnsiTheme="majorHAnsi" w:eastAsiaTheme="majorEastAsia" w:cstheme="majorBidi"/>
      <w:b/>
      <w:bCs/>
      <w:sz w:val="26"/>
      <w:szCs w:val="26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numPr>
        <w:ilvl w:val="2"/>
        <w:numId w:val="1"/>
      </w:numPr>
      <w:spacing w:before="200"/>
      <w:outlineLvl w:val="2"/>
    </w:pPr>
    <w:rPr>
      <w:rFonts w:asciiTheme="majorHAnsi" w:hAnsiTheme="majorHAnsi" w:eastAsiaTheme="majorEastAsia" w:cstheme="majorBidi"/>
      <w:b/>
      <w:bCs/>
    </w:rPr>
  </w:style>
  <w:style w:type="character" w:default="1" w:styleId="11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20"/>
    <w:semiHidden/>
    <w:unhideWhenUsed/>
    <w:uiPriority w:val="99"/>
    <w:rPr>
      <w:rFonts w:ascii="Lucida Grande" w:hAnsi="Lucida Grande"/>
      <w:sz w:val="18"/>
      <w:szCs w:val="18"/>
    </w:rPr>
  </w:style>
  <w:style w:type="paragraph" w:styleId="6">
    <w:name w:val="toc 1"/>
    <w:basedOn w:val="1"/>
    <w:next w:val="1"/>
    <w:unhideWhenUsed/>
    <w:uiPriority w:val="39"/>
    <w:pPr>
      <w:spacing w:after="100"/>
    </w:pPr>
  </w:style>
  <w:style w:type="paragraph" w:styleId="7">
    <w:name w:val="toc 2"/>
    <w:basedOn w:val="1"/>
    <w:next w:val="1"/>
    <w:unhideWhenUsed/>
    <w:uiPriority w:val="39"/>
    <w:pPr>
      <w:spacing w:after="100"/>
      <w:ind w:left="240"/>
    </w:pPr>
  </w:style>
  <w:style w:type="table" w:styleId="9">
    <w:name w:val="Table Professional"/>
    <w:basedOn w:val="8"/>
    <w:semiHidden/>
    <w:unhideWhenUsed/>
    <w:uiPriority w:val="99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shd w:val="solid" w:color="000000" w:fill="FFFFFF"/>
      </w:tcPr>
    </w:tblStylePr>
  </w:style>
  <w:style w:type="table" w:styleId="10">
    <w:name w:val="Light List Accent 2"/>
    <w:basedOn w:val="8"/>
    <w:uiPriority w:val="61"/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character" w:customStyle="1" w:styleId="12">
    <w:name w:val="strong"/>
    <w:basedOn w:val="11"/>
    <w:qFormat/>
    <w:uiPriority w:val="1"/>
    <w:rPr>
      <w:b/>
    </w:rPr>
  </w:style>
  <w:style w:type="paragraph" w:customStyle="1" w:styleId="13">
    <w:name w:val="centered"/>
    <w:basedOn w:val="1"/>
    <w:qFormat/>
    <w:uiPriority w:val="0"/>
    <w:pPr>
      <w:jc w:val="center"/>
    </w:pPr>
  </w:style>
  <w:style w:type="table" w:customStyle="1" w:styleId="14">
    <w:name w:val="table_template"/>
    <w:basedOn w:val="8"/>
    <w:uiPriority w:val="59"/>
    <w:pPr>
      <w:jc w:val="right"/>
    </w:pPr>
    <w:tblPr>
      <w:jc w:val="center"/>
      <w:tblBorders>
        <w:top w:val="single" w:color="auto" w:sz="8" w:space="0"/>
        <w:bottom w:val="single" w:color="auto" w:sz="8" w:space="0"/>
        <w:insideH w:val="single" w:color="auto" w:sz="8" w:space="0"/>
      </w:tblBorders>
    </w:tblPr>
    <w:trPr>
      <w:jc w:val="center"/>
    </w:trPr>
    <w:tblStylePr w:type="firstRow">
      <w:rPr>
        <w:b/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15">
    <w:name w:val="Titre 1 Car"/>
    <w:basedOn w:val="11"/>
    <w:link w:val="2"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6">
    <w:name w:val="Titre 2 Car"/>
    <w:basedOn w:val="11"/>
    <w:link w:val="3"/>
    <w:semiHidden/>
    <w:uiPriority w:val="9"/>
    <w:rPr>
      <w:rFonts w:asciiTheme="majorHAnsi" w:hAnsiTheme="majorHAnsi" w:eastAsiaTheme="majorEastAsia" w:cstheme="majorBidi"/>
      <w:b/>
      <w:bCs/>
      <w:sz w:val="26"/>
      <w:szCs w:val="26"/>
    </w:rPr>
  </w:style>
  <w:style w:type="character" w:customStyle="1" w:styleId="17">
    <w:name w:val="Titre 3 Car"/>
    <w:basedOn w:val="11"/>
    <w:link w:val="4"/>
    <w:semiHidden/>
    <w:uiPriority w:val="9"/>
    <w:rPr>
      <w:rFonts w:asciiTheme="majorHAnsi" w:hAnsiTheme="majorHAnsi" w:eastAsiaTheme="majorEastAsia" w:cstheme="majorBidi"/>
      <w:b/>
      <w:bCs/>
    </w:rPr>
  </w:style>
  <w:style w:type="paragraph" w:customStyle="1" w:styleId="18">
    <w:name w:val="Image Caption"/>
    <w:basedOn w:val="1"/>
    <w:qFormat/>
    <w:uiPriority w:val="0"/>
    <w:pPr>
      <w:jc w:val="center"/>
    </w:pPr>
    <w:rPr>
      <w:b/>
      <w:i/>
    </w:rPr>
  </w:style>
  <w:style w:type="paragraph" w:customStyle="1" w:styleId="19">
    <w:name w:val="Table Caption"/>
    <w:basedOn w:val="18"/>
    <w:qFormat/>
    <w:uiPriority w:val="0"/>
  </w:style>
  <w:style w:type="character" w:customStyle="1" w:styleId="20">
    <w:name w:val="Texte de bulles Car"/>
    <w:basedOn w:val="11"/>
    <w:link w:val="5"/>
    <w:semiHidden/>
    <w:uiPriority w:val="99"/>
    <w:rPr>
      <w:rFonts w:ascii="Lucida Grande" w:hAnsi="Lucida Grande"/>
      <w:sz w:val="18"/>
      <w:szCs w:val="18"/>
    </w:rPr>
  </w:style>
  <w:style w:type="character" w:customStyle="1" w:styleId="21">
    <w:name w:val="reference_id"/>
    <w:basedOn w:val="11"/>
    <w:uiPriority w:val="1"/>
    <w:rPr>
      <w:vertAlign w:val="superscript"/>
    </w:rPr>
  </w:style>
  <w:style w:type="paragraph" w:customStyle="1" w:styleId="22">
    <w:name w:val="graphic title"/>
    <w:basedOn w:val="18"/>
    <w:next w:val="1"/>
    <w:uiPriority w:val="0"/>
  </w:style>
  <w:style w:type="paragraph" w:customStyle="1" w:styleId="23">
    <w:name w:val="table title"/>
    <w:basedOn w:val="19"/>
    <w:next w:val="1"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225</Words>
  <Characters>1345</Characters>
  <Lines>0</Lines>
  <Paragraphs>0</Paragraphs>
  <TotalTime>3</TotalTime>
  <ScaleCrop>false</ScaleCrop>
  <LinksUpToDate>false</LinksUpToDate>
  <CharactersWithSpaces>1403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2017-02-28T11:18:00Z</dcterms:created>
  <dc:creator>枣枣早安</dc:creator>
  <cp:lastModifiedBy>枣枣早安</cp:lastModifiedBy>
  <dcterms:modified xsi:type="dcterms:W3CDTF">2022-12-23T04:15:35Z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59BAC9EF972647D389FF080481C21E47</vt:lpwstr>
  </property>
</Properties>
</file>