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3AE070" w14:textId="02CCB2EB" w:rsidR="002C3D37" w:rsidRPr="00EA03CE" w:rsidRDefault="002C7755">
      <w:pPr>
        <w:rPr>
          <w:rFonts w:ascii="Times New Roman" w:hAnsi="Times New Roman" w:cs="Times New Roman"/>
          <w:b/>
          <w:bCs/>
          <w:sz w:val="32"/>
          <w:szCs w:val="32"/>
          <w:lang w:val="en-GB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en-GB"/>
        </w:rPr>
        <w:t>Additional</w:t>
      </w:r>
      <w:r w:rsidR="00E7002B" w:rsidRPr="00EA03CE">
        <w:rPr>
          <w:rFonts w:ascii="Times New Roman" w:hAnsi="Times New Roman" w:cs="Times New Roman"/>
          <w:b/>
          <w:bCs/>
          <w:sz w:val="32"/>
          <w:szCs w:val="32"/>
          <w:lang w:val="en-GB"/>
        </w:rPr>
        <w:t xml:space="preserve"> Figures</w:t>
      </w:r>
    </w:p>
    <w:p w14:paraId="687ACE1C" w14:textId="3AB7C062" w:rsidR="00E7002B" w:rsidRDefault="00E7002B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Figure </w:t>
      </w:r>
      <w:r w:rsidR="002C7755">
        <w:rPr>
          <w:rFonts w:ascii="Times New Roman" w:hAnsi="Times New Roman" w:cs="Times New Roman"/>
          <w:b/>
          <w:bCs/>
          <w:sz w:val="24"/>
          <w:szCs w:val="24"/>
          <w:lang w:val="en-GB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1</w:t>
      </w:r>
    </w:p>
    <w:p w14:paraId="2B4C51FB" w14:textId="308193CC" w:rsidR="00E7002B" w:rsidRDefault="00AF19DC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760FC4C9" wp14:editId="73520C26">
            <wp:extent cx="5400040" cy="6474460"/>
            <wp:effectExtent l="0" t="0" r="0" b="2540"/>
            <wp:docPr id="6" name="Imagen 6" descr="Diagram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Diagrama&#10;&#10;Descripción generada automáticamente con confianza media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647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A58E92" w14:textId="365C452A" w:rsidR="00E7002B" w:rsidRPr="00AF19DC" w:rsidRDefault="00E7002B" w:rsidP="00E7002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2624A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Figure </w:t>
      </w:r>
      <w:r w:rsidR="008935A1">
        <w:rPr>
          <w:rFonts w:ascii="Times New Roman" w:hAnsi="Times New Roman" w:cs="Times New Roman"/>
          <w:b/>
          <w:bCs/>
          <w:sz w:val="24"/>
          <w:szCs w:val="24"/>
          <w:lang w:val="en-GB"/>
        </w:rPr>
        <w:t>S</w:t>
      </w:r>
      <w:r w:rsidRPr="00C2624A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1. PRLR </w:t>
      </w:r>
      <w:proofErr w:type="spellStart"/>
      <w:r w:rsidRPr="00C2624A">
        <w:rPr>
          <w:rFonts w:ascii="Times New Roman" w:hAnsi="Times New Roman" w:cs="Times New Roman"/>
          <w:b/>
          <w:bCs/>
          <w:sz w:val="24"/>
          <w:szCs w:val="24"/>
          <w:lang w:val="en-GB"/>
        </w:rPr>
        <w:t>signaling</w:t>
      </w:r>
      <w:proofErr w:type="spellEnd"/>
      <w:r w:rsidRPr="00C2624A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pathway is differentially expressed in </w:t>
      </w:r>
      <w:r w:rsidR="008935A1">
        <w:rPr>
          <w:rFonts w:ascii="Times New Roman" w:hAnsi="Times New Roman" w:cs="Times New Roman"/>
          <w:b/>
          <w:bCs/>
          <w:sz w:val="24"/>
          <w:szCs w:val="24"/>
          <w:lang w:val="en-GB"/>
        </w:rPr>
        <w:t>AML</w:t>
      </w:r>
      <w:r w:rsidRPr="00C2624A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in comparison to HSCs and early precursors. </w:t>
      </w:r>
      <w:r w:rsidR="00AF19DC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A) </w:t>
      </w:r>
      <w:r w:rsidRPr="00C2624A">
        <w:rPr>
          <w:rFonts w:ascii="Times New Roman" w:hAnsi="Times New Roman" w:cs="Times New Roman"/>
          <w:sz w:val="24"/>
          <w:szCs w:val="24"/>
          <w:lang w:val="en-GB"/>
        </w:rPr>
        <w:t xml:space="preserve">mRNA expression profiles related to PRLR </w:t>
      </w:r>
      <w:proofErr w:type="spellStart"/>
      <w:r w:rsidRPr="00C2624A">
        <w:rPr>
          <w:rFonts w:ascii="Times New Roman" w:hAnsi="Times New Roman" w:cs="Times New Roman"/>
          <w:sz w:val="24"/>
          <w:szCs w:val="24"/>
          <w:lang w:val="en-GB"/>
        </w:rPr>
        <w:t>signaling</w:t>
      </w:r>
      <w:proofErr w:type="spellEnd"/>
      <w:r w:rsidRPr="00C2624A">
        <w:rPr>
          <w:rFonts w:ascii="Times New Roman" w:hAnsi="Times New Roman" w:cs="Times New Roman"/>
          <w:sz w:val="24"/>
          <w:szCs w:val="24"/>
          <w:lang w:val="en-GB"/>
        </w:rPr>
        <w:t xml:space="preserve"> (GSE24006 and KEGG Prolactin </w:t>
      </w:r>
      <w:proofErr w:type="spellStart"/>
      <w:r w:rsidRPr="00C2624A">
        <w:rPr>
          <w:rFonts w:ascii="Times New Roman" w:hAnsi="Times New Roman" w:cs="Times New Roman"/>
          <w:sz w:val="24"/>
          <w:szCs w:val="24"/>
          <w:lang w:val="en-GB"/>
        </w:rPr>
        <w:t>signaling</w:t>
      </w:r>
      <w:proofErr w:type="spellEnd"/>
      <w:r w:rsidRPr="00C2624A">
        <w:rPr>
          <w:rFonts w:ascii="Times New Roman" w:hAnsi="Times New Roman" w:cs="Times New Roman"/>
          <w:sz w:val="24"/>
          <w:szCs w:val="24"/>
          <w:lang w:val="en-GB"/>
        </w:rPr>
        <w:t xml:space="preserve"> pathway hsa04917) were selected and hierarchy grouped without supervision, previous normalization by RMA (Robust Multichip Average).  AML patient samples enrich in LSCs were marked.</w:t>
      </w:r>
      <w:r w:rsidR="00AF19D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AF19DC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B) </w:t>
      </w:r>
      <w:r w:rsidR="00AF19DC"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PRLR (211917_s_at) mRNA expression in healthy blood </w:t>
      </w:r>
      <w:r w:rsidR="007048B9">
        <w:rPr>
          <w:rFonts w:ascii="Times New Roman" w:hAnsi="Times New Roman" w:cs="Times New Roman"/>
          <w:sz w:val="24"/>
          <w:szCs w:val="24"/>
          <w:lang w:val="en-GB"/>
        </w:rPr>
        <w:t>donor</w:t>
      </w:r>
      <w:r w:rsidR="00AF19DC">
        <w:rPr>
          <w:rFonts w:ascii="Times New Roman" w:hAnsi="Times New Roman" w:cs="Times New Roman"/>
          <w:sz w:val="24"/>
          <w:szCs w:val="24"/>
          <w:lang w:val="en-GB"/>
        </w:rPr>
        <w:t xml:space="preserve"> cells (grey), ALL (acute lymphoblastic </w:t>
      </w:r>
      <w:proofErr w:type="spellStart"/>
      <w:r w:rsidR="00AF19DC">
        <w:rPr>
          <w:rFonts w:ascii="Times New Roman" w:hAnsi="Times New Roman" w:cs="Times New Roman"/>
          <w:sz w:val="24"/>
          <w:szCs w:val="24"/>
          <w:lang w:val="en-GB"/>
        </w:rPr>
        <w:t>leukemia</w:t>
      </w:r>
      <w:proofErr w:type="spellEnd"/>
      <w:r w:rsidR="00AF19DC">
        <w:rPr>
          <w:rFonts w:ascii="Times New Roman" w:hAnsi="Times New Roman" w:cs="Times New Roman"/>
          <w:sz w:val="24"/>
          <w:szCs w:val="24"/>
          <w:lang w:val="en-GB"/>
        </w:rPr>
        <w:t xml:space="preserve">, green), AML (acute myeloid </w:t>
      </w:r>
      <w:proofErr w:type="spellStart"/>
      <w:r w:rsidR="00AF19DC">
        <w:rPr>
          <w:rFonts w:ascii="Times New Roman" w:hAnsi="Times New Roman" w:cs="Times New Roman"/>
          <w:sz w:val="24"/>
          <w:szCs w:val="24"/>
          <w:lang w:val="en-GB"/>
        </w:rPr>
        <w:t>leukemia</w:t>
      </w:r>
      <w:proofErr w:type="spellEnd"/>
      <w:r w:rsidR="00AF19DC">
        <w:rPr>
          <w:rFonts w:ascii="Times New Roman" w:hAnsi="Times New Roman" w:cs="Times New Roman"/>
          <w:sz w:val="24"/>
          <w:szCs w:val="24"/>
          <w:lang w:val="en-GB"/>
        </w:rPr>
        <w:t xml:space="preserve">, red), CLL (chronic lymphocytic </w:t>
      </w:r>
      <w:proofErr w:type="spellStart"/>
      <w:r w:rsidR="00AF19DC">
        <w:rPr>
          <w:rFonts w:ascii="Times New Roman" w:hAnsi="Times New Roman" w:cs="Times New Roman"/>
          <w:sz w:val="24"/>
          <w:szCs w:val="24"/>
          <w:lang w:val="en-GB"/>
        </w:rPr>
        <w:t>leukemia</w:t>
      </w:r>
      <w:proofErr w:type="spellEnd"/>
      <w:r w:rsidR="00AF19DC">
        <w:rPr>
          <w:rFonts w:ascii="Times New Roman" w:hAnsi="Times New Roman" w:cs="Times New Roman"/>
          <w:sz w:val="24"/>
          <w:szCs w:val="24"/>
          <w:lang w:val="en-GB"/>
        </w:rPr>
        <w:t xml:space="preserve">, yellow), CML (chronic myeloid </w:t>
      </w:r>
      <w:proofErr w:type="spellStart"/>
      <w:r w:rsidR="00AF19DC">
        <w:rPr>
          <w:rFonts w:ascii="Times New Roman" w:hAnsi="Times New Roman" w:cs="Times New Roman"/>
          <w:sz w:val="24"/>
          <w:szCs w:val="24"/>
          <w:lang w:val="en-GB"/>
        </w:rPr>
        <w:t>leukemia</w:t>
      </w:r>
      <w:proofErr w:type="spellEnd"/>
      <w:r w:rsidR="00AF19DC">
        <w:rPr>
          <w:rFonts w:ascii="Times New Roman" w:hAnsi="Times New Roman" w:cs="Times New Roman"/>
          <w:sz w:val="24"/>
          <w:szCs w:val="24"/>
          <w:lang w:val="en-GB"/>
        </w:rPr>
        <w:t>, orange), and MDS (myelodysplastic syndromes, blue) from the GSR13159 database. **p&lt;0.01; ***p&lt;0.001; ****p&lt;0.0001. (One-way ANOVA, Tukey’s multiple comparison test).</w:t>
      </w:r>
    </w:p>
    <w:p w14:paraId="18D56EF4" w14:textId="385B49C3" w:rsidR="00E7002B" w:rsidRDefault="00E7002B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br w:type="page"/>
      </w:r>
    </w:p>
    <w:p w14:paraId="4346D4BB" w14:textId="123F1F3D" w:rsidR="00E7002B" w:rsidRDefault="00E7002B" w:rsidP="00E7002B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 xml:space="preserve">Figure </w:t>
      </w:r>
      <w:r w:rsidR="002C7755">
        <w:rPr>
          <w:rFonts w:ascii="Times New Roman" w:hAnsi="Times New Roman" w:cs="Times New Roman"/>
          <w:b/>
          <w:bCs/>
          <w:sz w:val="24"/>
          <w:szCs w:val="24"/>
          <w:lang w:val="en-GB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2</w:t>
      </w:r>
    </w:p>
    <w:p w14:paraId="5794A061" w14:textId="6BBA04FA" w:rsidR="00E7002B" w:rsidRDefault="00E7002B" w:rsidP="00E7002B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770CBB9A" wp14:editId="26176CEA">
            <wp:extent cx="5400040" cy="5452110"/>
            <wp:effectExtent l="0" t="0" r="0" b="0"/>
            <wp:docPr id="2" name="Imagen 2" descr="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Interfaz de usuario gráfica&#10;&#10;Descripción generada automáticament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452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2985B3" w14:textId="1A9E1E63" w:rsidR="00E7002B" w:rsidRDefault="00E7002B" w:rsidP="00E7002B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C2624A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Figure </w:t>
      </w:r>
      <w:r w:rsidR="008935A1">
        <w:rPr>
          <w:rFonts w:ascii="Times New Roman" w:hAnsi="Times New Roman" w:cs="Times New Roman"/>
          <w:b/>
          <w:bCs/>
          <w:sz w:val="24"/>
          <w:szCs w:val="24"/>
          <w:lang w:val="en-GB"/>
        </w:rPr>
        <w:t>S</w:t>
      </w:r>
      <w:r w:rsidRPr="00C2624A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2. </w:t>
      </w:r>
      <w:r w:rsidR="008935A1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Validation of </w:t>
      </w:r>
      <w:r w:rsidRPr="00C2624A">
        <w:rPr>
          <w:rFonts w:ascii="Times New Roman" w:hAnsi="Times New Roman" w:cs="Times New Roman"/>
          <w:b/>
          <w:bCs/>
          <w:sz w:val="24"/>
          <w:szCs w:val="24"/>
          <w:lang w:val="en-GB"/>
        </w:rPr>
        <w:t>PRLR-transduced cells</w:t>
      </w:r>
      <w:r w:rsidR="00EA03CE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and AML murine model</w:t>
      </w:r>
      <w:r w:rsidRPr="00C2624A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. A) </w:t>
      </w:r>
      <w:r w:rsidRPr="00C2624A">
        <w:rPr>
          <w:rFonts w:ascii="Times New Roman" w:hAnsi="Times New Roman" w:cs="Times New Roman"/>
          <w:sz w:val="24"/>
          <w:szCs w:val="24"/>
          <w:lang w:val="en-GB"/>
        </w:rPr>
        <w:t>PRLR surface expression in PRLR</w:t>
      </w:r>
      <w:r w:rsidR="00EA03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2624A">
        <w:rPr>
          <w:rFonts w:ascii="Times New Roman" w:hAnsi="Times New Roman" w:cs="Times New Roman"/>
          <w:sz w:val="24"/>
          <w:szCs w:val="24"/>
          <w:lang w:val="en-GB"/>
        </w:rPr>
        <w:t>wt</w:t>
      </w:r>
      <w:proofErr w:type="spellEnd"/>
      <w:r w:rsidRPr="00C2624A">
        <w:rPr>
          <w:rFonts w:ascii="Times New Roman" w:hAnsi="Times New Roman" w:cs="Times New Roman"/>
          <w:sz w:val="24"/>
          <w:szCs w:val="24"/>
          <w:lang w:val="en-GB"/>
        </w:rPr>
        <w:t xml:space="preserve">-transduced (orange) and parental control (grey) MonoMac-1 (MM), HL-60 and SKM-1 cells by flow cytometry. A representative histogram is shown (n=3). </w:t>
      </w:r>
      <w:r w:rsidRPr="00C2624A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B) </w:t>
      </w:r>
      <w:proofErr w:type="spellStart"/>
      <w:r w:rsidRPr="00C2624A">
        <w:rPr>
          <w:rFonts w:ascii="Times New Roman" w:hAnsi="Times New Roman" w:cs="Times New Roman"/>
          <w:sz w:val="24"/>
          <w:szCs w:val="24"/>
          <w:lang w:val="en-GB"/>
        </w:rPr>
        <w:t>rFLuc</w:t>
      </w:r>
      <w:proofErr w:type="spellEnd"/>
      <w:r w:rsidR="008935A1">
        <w:rPr>
          <w:rFonts w:ascii="Times New Roman" w:hAnsi="Times New Roman" w:cs="Times New Roman"/>
          <w:sz w:val="24"/>
          <w:szCs w:val="24"/>
          <w:lang w:val="en-GB"/>
        </w:rPr>
        <w:t>-</w:t>
      </w:r>
      <w:r w:rsidRPr="00C2624A">
        <w:rPr>
          <w:rFonts w:ascii="Times New Roman" w:hAnsi="Times New Roman" w:cs="Times New Roman"/>
          <w:sz w:val="24"/>
          <w:szCs w:val="24"/>
          <w:lang w:val="en-GB"/>
        </w:rPr>
        <w:t xml:space="preserve">transduced MonoMac-1 (MM </w:t>
      </w:r>
      <w:proofErr w:type="spellStart"/>
      <w:r w:rsidRPr="00C2624A">
        <w:rPr>
          <w:rFonts w:ascii="Times New Roman" w:hAnsi="Times New Roman" w:cs="Times New Roman"/>
          <w:sz w:val="24"/>
          <w:szCs w:val="24"/>
          <w:lang w:val="en-GB"/>
        </w:rPr>
        <w:t>rFluc</w:t>
      </w:r>
      <w:proofErr w:type="spellEnd"/>
      <w:r w:rsidRPr="00C2624A">
        <w:rPr>
          <w:rFonts w:ascii="Times New Roman" w:hAnsi="Times New Roman" w:cs="Times New Roman"/>
          <w:sz w:val="24"/>
          <w:szCs w:val="24"/>
          <w:lang w:val="en-GB"/>
        </w:rPr>
        <w:t xml:space="preserve">) </w:t>
      </w:r>
      <w:r w:rsidR="00EA03CE">
        <w:rPr>
          <w:rFonts w:ascii="Times New Roman" w:hAnsi="Times New Roman" w:cs="Times New Roman"/>
          <w:sz w:val="24"/>
          <w:szCs w:val="24"/>
          <w:lang w:val="en-GB"/>
        </w:rPr>
        <w:t xml:space="preserve">cells </w:t>
      </w:r>
      <w:r w:rsidRPr="00C2624A">
        <w:rPr>
          <w:rFonts w:ascii="Times New Roman" w:hAnsi="Times New Roman" w:cs="Times New Roman"/>
          <w:sz w:val="24"/>
          <w:szCs w:val="24"/>
          <w:lang w:val="en-GB"/>
        </w:rPr>
        <w:t xml:space="preserve">were intravenously injected into </w:t>
      </w:r>
      <w:r w:rsidR="008935A1">
        <w:rPr>
          <w:rFonts w:ascii="Times New Roman" w:hAnsi="Times New Roman" w:cs="Times New Roman"/>
          <w:sz w:val="24"/>
          <w:szCs w:val="24"/>
          <w:lang w:val="en-GB"/>
        </w:rPr>
        <w:t xml:space="preserve">adult </w:t>
      </w:r>
      <w:r w:rsidRPr="00C2624A">
        <w:rPr>
          <w:rFonts w:ascii="Times New Roman" w:hAnsi="Times New Roman" w:cs="Times New Roman"/>
          <w:sz w:val="24"/>
          <w:szCs w:val="24"/>
          <w:lang w:val="en-GB"/>
        </w:rPr>
        <w:t>conditioned NSG mice. At day 4, 6, 8, 11 and 13 mice were treated intraperitoneally with the vehicle, PRL or G129R at 0.2</w:t>
      </w:r>
      <w:r w:rsidR="00EA03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C2624A">
        <w:rPr>
          <w:rFonts w:ascii="Times New Roman" w:hAnsi="Times New Roman" w:cs="Times New Roman"/>
          <w:sz w:val="24"/>
          <w:szCs w:val="24"/>
          <w:lang w:val="en-GB"/>
        </w:rPr>
        <w:t xml:space="preserve">mg/kg. Engraftment was followed by bioluminescence at day 4, 6, 8, 11, 13 and 14. </w:t>
      </w:r>
      <w:r w:rsidRPr="00C2624A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C) </w:t>
      </w:r>
      <w:r w:rsidRPr="00C2624A">
        <w:rPr>
          <w:rFonts w:ascii="Times New Roman" w:hAnsi="Times New Roman" w:cs="Times New Roman"/>
          <w:sz w:val="24"/>
          <w:szCs w:val="24"/>
          <w:lang w:val="en-GB"/>
        </w:rPr>
        <w:t>PRLR</w:t>
      </w:r>
      <w:r w:rsidR="00EA03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2624A">
        <w:rPr>
          <w:rFonts w:ascii="Times New Roman" w:hAnsi="Times New Roman" w:cs="Times New Roman"/>
          <w:sz w:val="24"/>
          <w:szCs w:val="24"/>
          <w:lang w:val="en-GB"/>
        </w:rPr>
        <w:t>wt</w:t>
      </w:r>
      <w:proofErr w:type="spellEnd"/>
      <w:r w:rsidRPr="00C2624A">
        <w:rPr>
          <w:rFonts w:ascii="Times New Roman" w:hAnsi="Times New Roman" w:cs="Times New Roman"/>
          <w:sz w:val="24"/>
          <w:szCs w:val="24"/>
          <w:lang w:val="en-GB"/>
        </w:rPr>
        <w:t>- (orange) and PRLR</w:t>
      </w:r>
      <w:r w:rsidR="00EA03C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C2624A">
        <w:rPr>
          <w:rFonts w:ascii="Times New Roman" w:hAnsi="Times New Roman" w:cs="Times New Roman"/>
          <w:sz w:val="24"/>
          <w:szCs w:val="24"/>
          <w:lang w:val="en-GB"/>
        </w:rPr>
        <w:t>sh</w:t>
      </w:r>
      <w:r w:rsidR="00EA03CE">
        <w:rPr>
          <w:rFonts w:ascii="Times New Roman" w:hAnsi="Times New Roman" w:cs="Times New Roman"/>
          <w:sz w:val="24"/>
          <w:szCs w:val="24"/>
          <w:lang w:val="en-GB"/>
        </w:rPr>
        <w:t>ort</w:t>
      </w:r>
      <w:r w:rsidRPr="00C2624A">
        <w:rPr>
          <w:rFonts w:ascii="Times New Roman" w:hAnsi="Times New Roman" w:cs="Times New Roman"/>
          <w:sz w:val="24"/>
          <w:szCs w:val="24"/>
          <w:lang w:val="en-GB"/>
        </w:rPr>
        <w:t>-transduced (blue)</w:t>
      </w:r>
      <w:r w:rsidRPr="00C2624A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Pr="00C2624A">
        <w:rPr>
          <w:rFonts w:ascii="Times New Roman" w:hAnsi="Times New Roman" w:cs="Times New Roman"/>
          <w:sz w:val="24"/>
          <w:szCs w:val="24"/>
          <w:lang w:val="en-GB"/>
        </w:rPr>
        <w:t xml:space="preserve">MonoMac-1 (MM) </w:t>
      </w:r>
      <w:r w:rsidR="00EA03CE">
        <w:rPr>
          <w:rFonts w:ascii="Times New Roman" w:hAnsi="Times New Roman" w:cs="Times New Roman"/>
          <w:sz w:val="24"/>
          <w:szCs w:val="24"/>
          <w:lang w:val="en-GB"/>
        </w:rPr>
        <w:t xml:space="preserve">cells </w:t>
      </w:r>
      <w:r w:rsidRPr="00C2624A">
        <w:rPr>
          <w:rFonts w:ascii="Times New Roman" w:hAnsi="Times New Roman" w:cs="Times New Roman"/>
          <w:sz w:val="24"/>
          <w:szCs w:val="24"/>
          <w:lang w:val="en-GB"/>
        </w:rPr>
        <w:t>were validated by qPCR (mRNA expression, bars represent 2</w:t>
      </w:r>
      <w:r w:rsidRPr="00C2624A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-ΔCt</w:t>
      </w:r>
      <w:r w:rsidRPr="00C2624A">
        <w:rPr>
          <w:rFonts w:ascii="Times New Roman" w:hAnsi="Times New Roman" w:cs="Times New Roman"/>
          <w:sz w:val="24"/>
          <w:szCs w:val="24"/>
          <w:lang w:val="en-GB"/>
        </w:rPr>
        <w:t xml:space="preserve"> ± SEM) and Western Blot (protein) with GAPDH </w:t>
      </w:r>
      <w:r w:rsidRPr="00C2624A"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as loading control and a representative membrane is shown. *p&lt;0.05; ****p&lt;0.0001 (two-way ANOVA, </w:t>
      </w:r>
      <w:proofErr w:type="spellStart"/>
      <w:r w:rsidRPr="00C2624A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Šidák’s</w:t>
      </w:r>
      <w:proofErr w:type="spellEnd"/>
      <w:r w:rsidRPr="00C2624A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 multiple comparison test, triplicates</w:t>
      </w:r>
      <w:hyperlink r:id="rId6" w:history="1"/>
      <w:r w:rsidRPr="00C2624A">
        <w:rPr>
          <w:rFonts w:ascii="Times New Roman" w:hAnsi="Times New Roman" w:cs="Times New Roman"/>
          <w:sz w:val="24"/>
          <w:szCs w:val="24"/>
          <w:lang w:val="en-GB"/>
        </w:rPr>
        <w:t>).</w:t>
      </w:r>
    </w:p>
    <w:p w14:paraId="274C6773" w14:textId="39295C21" w:rsidR="00E7002B" w:rsidRDefault="00E7002B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br w:type="page"/>
      </w:r>
    </w:p>
    <w:p w14:paraId="04859BF2" w14:textId="0DFF7C64" w:rsidR="00E7002B" w:rsidRDefault="00E7002B" w:rsidP="00E7002B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 xml:space="preserve">Figure </w:t>
      </w:r>
      <w:r w:rsidR="002C7755">
        <w:rPr>
          <w:rFonts w:ascii="Times New Roman" w:hAnsi="Times New Roman" w:cs="Times New Roman"/>
          <w:b/>
          <w:bCs/>
          <w:sz w:val="24"/>
          <w:szCs w:val="24"/>
          <w:lang w:val="en-GB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3</w:t>
      </w:r>
    </w:p>
    <w:p w14:paraId="02C01E0E" w14:textId="13A8A308" w:rsidR="00E7002B" w:rsidRDefault="00C0028A" w:rsidP="00E7002B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5CFEC6C7" wp14:editId="524A9E52">
            <wp:extent cx="5400040" cy="3501390"/>
            <wp:effectExtent l="0" t="0" r="0" b="3810"/>
            <wp:docPr id="3" name="Imagen 3" descr="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Interfaz de usuario gráfica&#10;&#10;Descripción generada automá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501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BEE87C" w14:textId="1D53C2ED" w:rsidR="00C0028A" w:rsidRPr="00C2624A" w:rsidRDefault="00C0028A" w:rsidP="00C0028A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C2624A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Figure </w:t>
      </w:r>
      <w:r w:rsidR="00EA03CE">
        <w:rPr>
          <w:rFonts w:ascii="Times New Roman" w:hAnsi="Times New Roman" w:cs="Times New Roman"/>
          <w:b/>
          <w:bCs/>
          <w:sz w:val="24"/>
          <w:szCs w:val="24"/>
          <w:lang w:val="en-GB"/>
        </w:rPr>
        <w:t>S</w:t>
      </w:r>
      <w:r w:rsidRPr="00C2624A">
        <w:rPr>
          <w:rFonts w:ascii="Times New Roman" w:hAnsi="Times New Roman" w:cs="Times New Roman"/>
          <w:b/>
          <w:bCs/>
          <w:sz w:val="24"/>
          <w:szCs w:val="24"/>
          <w:lang w:val="en-GB"/>
        </w:rPr>
        <w:t>3. PRLR signal</w:t>
      </w:r>
      <w:r w:rsidR="00F35FF5">
        <w:rPr>
          <w:rFonts w:ascii="Times New Roman" w:hAnsi="Times New Roman" w:cs="Times New Roman"/>
          <w:b/>
          <w:bCs/>
          <w:sz w:val="24"/>
          <w:szCs w:val="24"/>
          <w:lang w:val="en-GB"/>
        </w:rPr>
        <w:t>s</w:t>
      </w:r>
      <w:r w:rsidRPr="00C2624A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through Jak2/Stat5. A) </w:t>
      </w:r>
      <w:r w:rsidRPr="00C2624A">
        <w:rPr>
          <w:rFonts w:ascii="Times New Roman" w:hAnsi="Times New Roman" w:cs="Times New Roman"/>
          <w:sz w:val="24"/>
          <w:szCs w:val="24"/>
          <w:lang w:val="en-GB"/>
        </w:rPr>
        <w:t xml:space="preserve">PRLR-transduced MonoMac-1 cells (MM PRLR </w:t>
      </w:r>
      <w:proofErr w:type="spellStart"/>
      <w:r w:rsidRPr="00C2624A">
        <w:rPr>
          <w:rFonts w:ascii="Times New Roman" w:hAnsi="Times New Roman" w:cs="Times New Roman"/>
          <w:sz w:val="24"/>
          <w:szCs w:val="24"/>
          <w:lang w:val="en-GB"/>
        </w:rPr>
        <w:t>wt</w:t>
      </w:r>
      <w:proofErr w:type="spellEnd"/>
      <w:r w:rsidRPr="00C2624A">
        <w:rPr>
          <w:rFonts w:ascii="Times New Roman" w:hAnsi="Times New Roman" w:cs="Times New Roman"/>
          <w:sz w:val="24"/>
          <w:szCs w:val="24"/>
          <w:lang w:val="en-GB"/>
        </w:rPr>
        <w:t>) were treated with the vehicle, PRL (blue) or G129R (red) at different doses for 2h and total protein lysates were obtained. Phosphorylated and total Stat5 were analysed by Western Blot; GAPDH was used as loading control. A representative membrane is shown (n=3).</w:t>
      </w:r>
      <w:r w:rsidRPr="00C2624A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B) </w:t>
      </w:r>
      <w:r w:rsidRPr="00C2624A">
        <w:rPr>
          <w:rFonts w:ascii="Times New Roman" w:hAnsi="Times New Roman" w:cs="Times New Roman"/>
          <w:sz w:val="24"/>
          <w:szCs w:val="24"/>
          <w:lang w:val="en-GB"/>
        </w:rPr>
        <w:t>CRE and SRE reporters were transfected in HEK293T cells and treated with the vehicle (grey), PRL (blue) or G129R (red) at 500 ng/</w:t>
      </w:r>
      <w:proofErr w:type="spellStart"/>
      <w:r w:rsidRPr="00C2624A">
        <w:rPr>
          <w:rFonts w:ascii="Times New Roman" w:hAnsi="Times New Roman" w:cs="Times New Roman"/>
          <w:sz w:val="24"/>
          <w:szCs w:val="24"/>
          <w:lang w:val="en-GB"/>
        </w:rPr>
        <w:t>mL.</w:t>
      </w:r>
      <w:proofErr w:type="spellEnd"/>
      <w:r w:rsidRPr="00C2624A">
        <w:rPr>
          <w:rFonts w:ascii="Times New Roman" w:hAnsi="Times New Roman" w:cs="Times New Roman"/>
          <w:sz w:val="24"/>
          <w:szCs w:val="24"/>
          <w:lang w:val="en-GB"/>
        </w:rPr>
        <w:t xml:space="preserve"> The luciferase activity is shown in a representative replicate. **p&lt;0.01 (two-way ANOVA, Tukey’s multiple comparison test, triplicates). </w:t>
      </w:r>
      <w:r w:rsidRPr="00C2624A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C) </w:t>
      </w:r>
      <w:r w:rsidRPr="00C2624A">
        <w:rPr>
          <w:rFonts w:ascii="Times New Roman" w:hAnsi="Times New Roman" w:cs="Times New Roman"/>
          <w:sz w:val="24"/>
          <w:szCs w:val="24"/>
          <w:lang w:val="en-GB"/>
        </w:rPr>
        <w:t>MonoMac-1 (MM, black) and HL-60 (green) were treated with a Stat3, Stat5 and Jak2 inhibitor</w:t>
      </w:r>
      <w:r w:rsidR="00EA03CE"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C2624A">
        <w:rPr>
          <w:rFonts w:ascii="Times New Roman" w:hAnsi="Times New Roman" w:cs="Times New Roman"/>
          <w:sz w:val="24"/>
          <w:szCs w:val="24"/>
          <w:lang w:val="en-GB"/>
        </w:rPr>
        <w:t xml:space="preserve"> for 72h at different doses and viability was analysed by flow cytometry. A representative result was shown (n=3). Bars represent the mean ± SEM.</w:t>
      </w:r>
    </w:p>
    <w:p w14:paraId="47832B52" w14:textId="5FE9A43A" w:rsidR="00C0028A" w:rsidRDefault="00C0028A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br w:type="page"/>
      </w:r>
    </w:p>
    <w:p w14:paraId="787E238B" w14:textId="3F0D633B" w:rsidR="00C0028A" w:rsidRDefault="00C0028A" w:rsidP="00C0028A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 xml:space="preserve">Figure </w:t>
      </w:r>
      <w:r w:rsidR="002C7755">
        <w:rPr>
          <w:rFonts w:ascii="Times New Roman" w:hAnsi="Times New Roman" w:cs="Times New Roman"/>
          <w:b/>
          <w:bCs/>
          <w:sz w:val="24"/>
          <w:szCs w:val="24"/>
          <w:lang w:val="en-GB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4</w:t>
      </w:r>
    </w:p>
    <w:p w14:paraId="7E59DCF4" w14:textId="054C35E1" w:rsidR="00C0028A" w:rsidRDefault="00C0028A" w:rsidP="00C0028A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57BBBA39" wp14:editId="6DCEE67F">
            <wp:extent cx="5400040" cy="3860800"/>
            <wp:effectExtent l="0" t="0" r="0" b="6350"/>
            <wp:docPr id="4" name="Imagen 4" descr="Imagen de la pantalla de un video juego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Imagen de la pantalla de un video juego&#10;&#10;Descripción generada automáticamente con confianza media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8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5B5748" w14:textId="7FA499E2" w:rsidR="00C0028A" w:rsidRPr="00C2624A" w:rsidRDefault="00C0028A" w:rsidP="00C0028A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C2624A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Figure </w:t>
      </w:r>
      <w:r w:rsidR="00F35FF5">
        <w:rPr>
          <w:rFonts w:ascii="Times New Roman" w:hAnsi="Times New Roman" w:cs="Times New Roman"/>
          <w:b/>
          <w:bCs/>
          <w:sz w:val="24"/>
          <w:szCs w:val="24"/>
          <w:lang w:val="en-GB"/>
        </w:rPr>
        <w:t>S</w:t>
      </w:r>
      <w:r w:rsidRPr="00C2624A">
        <w:rPr>
          <w:rFonts w:ascii="Times New Roman" w:hAnsi="Times New Roman" w:cs="Times New Roman"/>
          <w:b/>
          <w:bCs/>
          <w:sz w:val="24"/>
          <w:szCs w:val="24"/>
          <w:lang w:val="en-GB"/>
        </w:rPr>
        <w:t>4. PRLR confer</w:t>
      </w:r>
      <w:r w:rsidR="00F35FF5">
        <w:rPr>
          <w:rFonts w:ascii="Times New Roman" w:hAnsi="Times New Roman" w:cs="Times New Roman"/>
          <w:b/>
          <w:bCs/>
          <w:sz w:val="24"/>
          <w:szCs w:val="24"/>
          <w:lang w:val="en-GB"/>
        </w:rPr>
        <w:t>s</w:t>
      </w:r>
      <w:r w:rsidRPr="00C2624A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chemoresistance to AML. A) </w:t>
      </w:r>
      <w:r w:rsidRPr="00C2624A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PRLR surface expression analysis in non-refractory (grey) </w:t>
      </w:r>
      <w:r w:rsidR="00F35FF5">
        <w:rPr>
          <w:rFonts w:ascii="Times New Roman" w:hAnsi="Times New Roman" w:cs="Times New Roman"/>
          <w:noProof/>
          <w:sz w:val="24"/>
          <w:szCs w:val="24"/>
          <w:lang w:val="en-GB"/>
        </w:rPr>
        <w:t>vs.</w:t>
      </w:r>
      <w:r w:rsidRPr="00C2624A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refractory (red) AML patient samples (n=59) by flow cytometry (unpaired t test).</w:t>
      </w:r>
      <w:r w:rsidRPr="00C2624A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B) </w:t>
      </w:r>
      <w:r w:rsidRPr="00C2624A">
        <w:rPr>
          <w:rFonts w:ascii="Times New Roman" w:hAnsi="Times New Roman" w:cs="Times New Roman"/>
          <w:noProof/>
          <w:sz w:val="24"/>
          <w:szCs w:val="24"/>
          <w:lang w:val="en-GB"/>
        </w:rPr>
        <w:t>Cytarabine-resistant (red, AraC resistant) and the parental (black) cell lines</w:t>
      </w:r>
      <w:r w:rsidRPr="00C2624A">
        <w:rPr>
          <w:rFonts w:ascii="Times New Roman" w:hAnsi="Times New Roman" w:cs="Times New Roman"/>
          <w:b/>
          <w:bCs/>
          <w:noProof/>
          <w:sz w:val="24"/>
          <w:szCs w:val="24"/>
          <w:lang w:val="en-GB"/>
        </w:rPr>
        <w:t xml:space="preserve"> </w:t>
      </w:r>
      <w:r w:rsidRPr="00C2624A">
        <w:rPr>
          <w:rFonts w:ascii="Times New Roman" w:hAnsi="Times New Roman" w:cs="Times New Roman"/>
          <w:noProof/>
          <w:sz w:val="24"/>
          <w:szCs w:val="24"/>
          <w:lang w:val="en-GB"/>
        </w:rPr>
        <w:t>HL-60 and SKM-1 (black) were validated by flow cytometry. A representative result is shown (n=3).</w:t>
      </w:r>
      <w:r w:rsidRPr="00C2624A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</w:p>
    <w:p w14:paraId="214E3457" w14:textId="7330504D" w:rsidR="00C0028A" w:rsidRDefault="00C0028A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br w:type="page"/>
      </w:r>
    </w:p>
    <w:p w14:paraId="2161ED4B" w14:textId="53C2EEFA" w:rsidR="00C0028A" w:rsidRDefault="00C0028A" w:rsidP="00C0028A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 xml:space="preserve">Figure </w:t>
      </w:r>
      <w:r w:rsidR="002C7755">
        <w:rPr>
          <w:rFonts w:ascii="Times New Roman" w:hAnsi="Times New Roman" w:cs="Times New Roman"/>
          <w:b/>
          <w:bCs/>
          <w:sz w:val="24"/>
          <w:szCs w:val="24"/>
          <w:lang w:val="en-GB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5</w:t>
      </w:r>
    </w:p>
    <w:p w14:paraId="0D48D80D" w14:textId="77A653DD" w:rsidR="00C0028A" w:rsidRDefault="00C0028A" w:rsidP="00C0028A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42EC37ED" wp14:editId="7505ABB6">
            <wp:extent cx="5400040" cy="2905125"/>
            <wp:effectExtent l="0" t="0" r="0" b="9525"/>
            <wp:docPr id="5" name="Imagen 5" descr="Interfaz de usuario gráfic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Interfaz de usuario gráfica&#10;&#10;Descripción generada automáticamente con confianza media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AEADED" w14:textId="7856CDC6" w:rsidR="00C0028A" w:rsidRDefault="00C0028A" w:rsidP="00F35FF5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C2624A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Figure </w:t>
      </w:r>
      <w:r w:rsidR="00F35FF5">
        <w:rPr>
          <w:rFonts w:ascii="Times New Roman" w:hAnsi="Times New Roman" w:cs="Times New Roman"/>
          <w:b/>
          <w:bCs/>
          <w:sz w:val="24"/>
          <w:szCs w:val="24"/>
          <w:lang w:val="en-GB"/>
        </w:rPr>
        <w:t>S</w:t>
      </w:r>
      <w:r w:rsidRPr="00C2624A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5. PRLR overexpression does not affect AML proliferation capacity. A) </w:t>
      </w:r>
      <w:r w:rsidRPr="00C2624A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Proliferation </w:t>
      </w:r>
      <w:r w:rsidR="00B8633E">
        <w:rPr>
          <w:rFonts w:ascii="Times New Roman" w:hAnsi="Times New Roman" w:cs="Times New Roman"/>
          <w:noProof/>
          <w:sz w:val="24"/>
          <w:szCs w:val="24"/>
          <w:lang w:val="en-GB"/>
        </w:rPr>
        <w:t>(</w:t>
      </w:r>
      <w:r w:rsidRPr="00C2624A">
        <w:rPr>
          <w:rFonts w:ascii="Times New Roman" w:hAnsi="Times New Roman" w:cs="Times New Roman"/>
          <w:noProof/>
          <w:sz w:val="24"/>
          <w:szCs w:val="24"/>
          <w:lang w:val="en-GB"/>
        </w:rPr>
        <w:t>DiI mean fluorescence intensity</w:t>
      </w:r>
      <w:r w:rsidR="00B8633E">
        <w:rPr>
          <w:rFonts w:ascii="Times New Roman" w:hAnsi="Times New Roman" w:cs="Times New Roman"/>
          <w:noProof/>
          <w:sz w:val="24"/>
          <w:szCs w:val="24"/>
          <w:lang w:val="en-GB"/>
        </w:rPr>
        <w:t>)</w:t>
      </w:r>
      <w:r w:rsidRPr="00C2624A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was assessed in PRLR-transduced (orange) and parental control (black) HL-60 and SKM-1 cells by flow cytometry (paired t test, duplicates). </w:t>
      </w:r>
      <w:r w:rsidRPr="00C2624A">
        <w:rPr>
          <w:rFonts w:ascii="Times New Roman" w:hAnsi="Times New Roman" w:cs="Times New Roman"/>
          <w:b/>
          <w:bCs/>
          <w:noProof/>
          <w:sz w:val="24"/>
          <w:szCs w:val="24"/>
          <w:lang w:val="en-GB"/>
        </w:rPr>
        <w:t xml:space="preserve">B) </w:t>
      </w:r>
      <w:r w:rsidRPr="00C2624A">
        <w:rPr>
          <w:rFonts w:ascii="Times New Roman" w:hAnsi="Times New Roman" w:cs="Times New Roman"/>
          <w:noProof/>
          <w:sz w:val="24"/>
          <w:szCs w:val="24"/>
          <w:lang w:val="en-GB"/>
        </w:rPr>
        <w:t>p16 mRNA expression in PRLR-tranduced (orange) and parental control (grey) HL-60 and SKM-1 cells analysed by qPCR (Unpaired t test, triplicates</w:t>
      </w:r>
      <w:r w:rsidR="00EA03CE">
        <w:rPr>
          <w:rFonts w:ascii="Times New Roman" w:hAnsi="Times New Roman" w:cs="Times New Roman"/>
          <w:noProof/>
          <w:sz w:val="24"/>
          <w:szCs w:val="24"/>
          <w:lang w:val="en-GB"/>
        </w:rPr>
        <w:t>, bars represented 2</w:t>
      </w:r>
      <w:r w:rsidR="00EA03CE">
        <w:rPr>
          <w:rFonts w:ascii="Times New Roman" w:hAnsi="Times New Roman" w:cs="Times New Roman"/>
          <w:noProof/>
          <w:sz w:val="24"/>
          <w:szCs w:val="24"/>
          <w:vertAlign w:val="superscript"/>
          <w:lang w:val="en-GB"/>
        </w:rPr>
        <w:t>-ΔCt</w:t>
      </w:r>
      <w:r w:rsidR="00EA03CE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± SEM</w:t>
      </w:r>
      <w:r w:rsidRPr="00C2624A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). </w:t>
      </w:r>
      <w:r w:rsidRPr="00C2624A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C) </w:t>
      </w:r>
      <w:r w:rsidRPr="00C2624A">
        <w:rPr>
          <w:rFonts w:ascii="Times New Roman" w:hAnsi="Times New Roman" w:cs="Times New Roman"/>
          <w:noProof/>
          <w:sz w:val="24"/>
          <w:szCs w:val="24"/>
          <w:lang w:val="en-GB"/>
        </w:rPr>
        <w:t>Cell cycle analysis of PRLR-transduced and parental control HL-60 and SKM-1 analysed by flow cytometry. A representative histogram is shown (n=2).</w:t>
      </w:r>
    </w:p>
    <w:p w14:paraId="75094B28" w14:textId="77777777" w:rsidR="00B61841" w:rsidRDefault="00B61841" w:rsidP="00F35FF5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</w:p>
    <w:p w14:paraId="79233EF8" w14:textId="5833A056" w:rsidR="00B61841" w:rsidRDefault="00B61841">
      <w:pPr>
        <w:rPr>
          <w:rFonts w:ascii="Times New Roman" w:hAnsi="Times New Roman" w:cs="Times New Roman"/>
          <w:noProof/>
          <w:sz w:val="24"/>
          <w:szCs w:val="24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  <w:lang w:val="en-GB"/>
        </w:rPr>
        <w:br w:type="page"/>
      </w:r>
    </w:p>
    <w:p w14:paraId="4F9AEC5E" w14:textId="0B56A9C6" w:rsidR="00B61841" w:rsidRPr="00DA7A4C" w:rsidRDefault="00DA7A4C" w:rsidP="00F35FF5">
      <w:pPr>
        <w:spacing w:line="48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en-GB"/>
        </w:rPr>
      </w:pPr>
      <w:r w:rsidRPr="002C7755">
        <w:rPr>
          <w:rFonts w:ascii="Times New Roman" w:hAnsi="Times New Roman" w:cs="Times New Roman"/>
          <w:b/>
          <w:bCs/>
          <w:noProof/>
          <w:sz w:val="24"/>
          <w:szCs w:val="24"/>
          <w:lang w:val="en-GB"/>
        </w:rPr>
        <w:lastRenderedPageBreak/>
        <w:t xml:space="preserve">Figure </w:t>
      </w:r>
      <w:r w:rsidR="002C7755">
        <w:rPr>
          <w:rFonts w:ascii="Times New Roman" w:hAnsi="Times New Roman" w:cs="Times New Roman"/>
          <w:b/>
          <w:bCs/>
          <w:noProof/>
          <w:sz w:val="24"/>
          <w:szCs w:val="24"/>
          <w:lang w:val="en-GB"/>
        </w:rPr>
        <w:t>S</w:t>
      </w:r>
      <w:r w:rsidRPr="002C7755">
        <w:rPr>
          <w:rFonts w:ascii="Times New Roman" w:hAnsi="Times New Roman" w:cs="Times New Roman"/>
          <w:b/>
          <w:bCs/>
          <w:noProof/>
          <w:sz w:val="24"/>
          <w:szCs w:val="24"/>
          <w:lang w:val="en-GB"/>
        </w:rPr>
        <w:t>6</w:t>
      </w:r>
    </w:p>
    <w:p w14:paraId="0A615579" w14:textId="739EE9B5" w:rsidR="00C0028A" w:rsidRDefault="008E206B" w:rsidP="00C0028A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6F96B447" wp14:editId="574772DD">
            <wp:extent cx="5359361" cy="2769529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2055" cy="27864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F265FA" w14:textId="3A459428" w:rsidR="008E206B" w:rsidRPr="008E206B" w:rsidRDefault="008E206B" w:rsidP="008E206B">
      <w:pPr>
        <w:spacing w:line="480" w:lineRule="auto"/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2C7755">
        <w:rPr>
          <w:rFonts w:ascii="Times New Roman" w:hAnsi="Times New Roman" w:cs="Times New Roman"/>
          <w:b/>
          <w:bCs/>
          <w:noProof/>
          <w:sz w:val="24"/>
          <w:szCs w:val="24"/>
          <w:lang w:val="en-GB"/>
        </w:rPr>
        <w:t xml:space="preserve">Figure </w:t>
      </w:r>
      <w:r w:rsidR="002C7755">
        <w:rPr>
          <w:rFonts w:ascii="Times New Roman" w:hAnsi="Times New Roman" w:cs="Times New Roman"/>
          <w:b/>
          <w:bCs/>
          <w:noProof/>
          <w:sz w:val="24"/>
          <w:szCs w:val="24"/>
          <w:lang w:val="en-GB"/>
        </w:rPr>
        <w:t>S</w:t>
      </w:r>
      <w:bookmarkStart w:id="0" w:name="_GoBack"/>
      <w:bookmarkEnd w:id="0"/>
      <w:r w:rsidRPr="002C7755">
        <w:rPr>
          <w:rFonts w:ascii="Times New Roman" w:hAnsi="Times New Roman" w:cs="Times New Roman"/>
          <w:b/>
          <w:bCs/>
          <w:noProof/>
          <w:sz w:val="24"/>
          <w:szCs w:val="24"/>
          <w:lang w:val="en-GB"/>
        </w:rPr>
        <w:t xml:space="preserve">6. </w:t>
      </w:r>
      <w:r w:rsidRPr="002C7755">
        <w:rPr>
          <w:rFonts w:ascii="Times New Roman" w:hAnsi="Times New Roman" w:cs="Times New Roman"/>
          <w:noProof/>
          <w:sz w:val="24"/>
          <w:szCs w:val="24"/>
          <w:lang w:val="en-GB"/>
        </w:rPr>
        <w:t>A graphical summary of the role of PRLR-PRL signaling in AML.</w:t>
      </w:r>
      <w:r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</w:p>
    <w:p w14:paraId="1F859070" w14:textId="77777777" w:rsidR="00C0028A" w:rsidRPr="00E7002B" w:rsidRDefault="00C0028A" w:rsidP="00E7002B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sectPr w:rsidR="00C0028A" w:rsidRPr="00E7002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02B"/>
    <w:rsid w:val="002C7755"/>
    <w:rsid w:val="00363047"/>
    <w:rsid w:val="00494A89"/>
    <w:rsid w:val="007048B9"/>
    <w:rsid w:val="00752984"/>
    <w:rsid w:val="008935A1"/>
    <w:rsid w:val="008E206B"/>
    <w:rsid w:val="00996C03"/>
    <w:rsid w:val="00AF19DC"/>
    <w:rsid w:val="00B61841"/>
    <w:rsid w:val="00B8633E"/>
    <w:rsid w:val="00B96E95"/>
    <w:rsid w:val="00C0028A"/>
    <w:rsid w:val="00D97204"/>
    <w:rsid w:val="00DA7A4C"/>
    <w:rsid w:val="00DD7D9B"/>
    <w:rsid w:val="00E7002B"/>
    <w:rsid w:val="00EA03CE"/>
    <w:rsid w:val="00EE0ACC"/>
    <w:rsid w:val="00F35FF5"/>
    <w:rsid w:val="00F86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76EB8"/>
  <w15:chartTrackingRefBased/>
  <w15:docId w15:val="{7065C4DF-2B47-4CDB-8A0C-17E335960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n.wikipedia.org/wiki/%C5%A0id%C3%A1k_correction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6.png"/><Relationship Id="rId4" Type="http://schemas.openxmlformats.org/officeDocument/2006/relationships/image" Target="media/image1.pn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558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Laia Cuesta Casanovas</dc:creator>
  <cp:keywords/>
  <dc:description/>
  <cp:lastModifiedBy>Jini Mol</cp:lastModifiedBy>
  <cp:revision>7</cp:revision>
  <dcterms:created xsi:type="dcterms:W3CDTF">2023-04-03T09:13:00Z</dcterms:created>
  <dcterms:modified xsi:type="dcterms:W3CDTF">2023-05-11T17:40:00Z</dcterms:modified>
</cp:coreProperties>
</file>