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ADB" w:rsidRPr="00464186" w:rsidRDefault="00CF1ADB" w:rsidP="00CF1ADB">
      <w:pPr>
        <w:rPr>
          <w:rFonts w:ascii="Times New Roman" w:hAnsi="Times New Roman" w:cs="Times New Roman"/>
          <w:b/>
          <w:bCs/>
          <w:color w:val="000000" w:themeColor="text1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Cs w:val="20"/>
        </w:rPr>
        <w:t>Additional file 1</w:t>
      </w:r>
    </w:p>
    <w:p w:rsidR="00CF1ADB" w:rsidRPr="00464186" w:rsidRDefault="00CF1ADB" w:rsidP="00CF1ADB">
      <w:pPr>
        <w:rPr>
          <w:rFonts w:ascii="Times New Roman" w:hAnsi="Times New Roman" w:cs="Times New Roman"/>
          <w:b/>
          <w:bCs/>
          <w:color w:val="000000" w:themeColor="text1"/>
          <w:szCs w:val="20"/>
        </w:rPr>
      </w:pPr>
      <w:r>
        <w:rPr>
          <w:noProof/>
        </w:rPr>
        <w:drawing>
          <wp:inline distT="0" distB="0" distL="0" distR="0" wp14:anchorId="1DD7DD2F" wp14:editId="7D4D201F">
            <wp:extent cx="5727281" cy="2107096"/>
            <wp:effectExtent l="0" t="0" r="0" b="0"/>
            <wp:docPr id="27" name="그림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5" b="59492"/>
                    <a:stretch/>
                  </pic:blipFill>
                  <pic:spPr bwMode="auto">
                    <a:xfrm>
                      <a:off x="0" y="0"/>
                      <a:ext cx="5731510" cy="2108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1ADB" w:rsidRPr="00464186" w:rsidRDefault="00CF1ADB" w:rsidP="00CF1ADB">
      <w:pPr>
        <w:rPr>
          <w:rFonts w:ascii="Times New Roman" w:hAnsi="Times New Roman" w:cs="Times New Roman"/>
          <w:color w:val="000000" w:themeColor="text1"/>
        </w:rPr>
      </w:pPr>
      <w:r w:rsidRPr="00464186">
        <w:rPr>
          <w:rFonts w:ascii="Times New Roman" w:hAnsi="Times New Roman" w:cs="Times New Roman"/>
          <w:b/>
          <w:bCs/>
          <w:color w:val="000000" w:themeColor="text1"/>
          <w:szCs w:val="20"/>
        </w:rPr>
        <w:t>Fig. S1 Confirmation of autophagy induction through AMPK in HCT116 cells</w:t>
      </w:r>
      <w:r w:rsidRPr="00464186">
        <w:rPr>
          <w:rFonts w:ascii="Times New Roman" w:hAnsi="Times New Roman" w:cs="Times New Roman"/>
          <w:color w:val="000000" w:themeColor="text1"/>
          <w:szCs w:val="20"/>
        </w:rPr>
        <w:t xml:space="preserve"> HCT116 cells were transfected with the mCherry-EGFP-LC3 plasmid for 24 h and treated with metformin (25 </w:t>
      </w:r>
      <w:proofErr w:type="spellStart"/>
      <w:r w:rsidRPr="00464186">
        <w:rPr>
          <w:rFonts w:ascii="Times New Roman" w:hAnsi="Times New Roman" w:cs="Times New Roman"/>
          <w:color w:val="000000" w:themeColor="text1"/>
          <w:szCs w:val="20"/>
        </w:rPr>
        <w:t>mM</w:t>
      </w:r>
      <w:proofErr w:type="spellEnd"/>
      <w:r w:rsidRPr="00464186">
        <w:rPr>
          <w:rFonts w:ascii="Times New Roman" w:hAnsi="Times New Roman" w:cs="Times New Roman"/>
          <w:color w:val="000000" w:themeColor="text1"/>
          <w:szCs w:val="20"/>
        </w:rPr>
        <w:t xml:space="preserve">) for 48 h. The Compound C treated group was transfected with the plasmid and then pretreated with Compound C (20 </w:t>
      </w:r>
      <w:proofErr w:type="spellStart"/>
      <w:r w:rsidRPr="00464186">
        <w:rPr>
          <w:rFonts w:ascii="Times New Roman" w:hAnsi="Times New Roman" w:cs="Times New Roman"/>
          <w:color w:val="000000" w:themeColor="text1"/>
          <w:szCs w:val="20"/>
        </w:rPr>
        <w:t>μM</w:t>
      </w:r>
      <w:proofErr w:type="spellEnd"/>
      <w:r w:rsidRPr="00464186">
        <w:rPr>
          <w:rFonts w:ascii="Times New Roman" w:hAnsi="Times New Roman" w:cs="Times New Roman"/>
          <w:color w:val="000000" w:themeColor="text1"/>
          <w:szCs w:val="20"/>
        </w:rPr>
        <w:t xml:space="preserve">) for 1 h, followed by treatment with metformin (25 </w:t>
      </w:r>
      <w:proofErr w:type="spellStart"/>
      <w:r w:rsidRPr="00464186">
        <w:rPr>
          <w:rFonts w:ascii="Times New Roman" w:hAnsi="Times New Roman" w:cs="Times New Roman"/>
          <w:color w:val="000000" w:themeColor="text1"/>
          <w:szCs w:val="20"/>
        </w:rPr>
        <w:t>mM</w:t>
      </w:r>
      <w:proofErr w:type="spellEnd"/>
      <w:r w:rsidRPr="00464186">
        <w:rPr>
          <w:rFonts w:ascii="Times New Roman" w:hAnsi="Times New Roman" w:cs="Times New Roman"/>
          <w:color w:val="000000" w:themeColor="text1"/>
          <w:szCs w:val="20"/>
        </w:rPr>
        <w:t xml:space="preserve">) for 48 h. Immunofluorescence staining of LC3 was visualized using a confocal laser scanning microscope (original magnification ×1000, scale bar = 10 </w:t>
      </w:r>
      <w:proofErr w:type="spellStart"/>
      <w:r w:rsidRPr="00464186">
        <w:rPr>
          <w:rFonts w:ascii="Times New Roman" w:hAnsi="Times New Roman" w:cs="Times New Roman"/>
          <w:color w:val="000000" w:themeColor="text1"/>
          <w:szCs w:val="20"/>
        </w:rPr>
        <w:t>μm</w:t>
      </w:r>
      <w:proofErr w:type="spellEnd"/>
      <w:r w:rsidRPr="00464186">
        <w:rPr>
          <w:rFonts w:ascii="Times New Roman" w:hAnsi="Times New Roman" w:cs="Times New Roman"/>
          <w:color w:val="000000" w:themeColor="text1"/>
          <w:szCs w:val="20"/>
        </w:rPr>
        <w:t>).</w:t>
      </w:r>
    </w:p>
    <w:p w:rsidR="00CF1ADB" w:rsidRDefault="00CF1ADB" w:rsidP="00CF1ADB">
      <w:pPr>
        <w:rPr>
          <w:rFonts w:ascii="Times New Roman" w:hAnsi="Times New Roman" w:cs="Times New Roman"/>
          <w:b/>
          <w:bCs/>
          <w:color w:val="000000" w:themeColor="text1"/>
          <w:szCs w:val="20"/>
        </w:rPr>
      </w:pPr>
    </w:p>
    <w:p w:rsidR="00CF1ADB" w:rsidRDefault="00CF1ADB" w:rsidP="00CF1ADB">
      <w:pPr>
        <w:rPr>
          <w:rFonts w:ascii="Times New Roman" w:hAnsi="Times New Roman" w:cs="Times New Roman"/>
          <w:b/>
          <w:bCs/>
          <w:color w:val="000000" w:themeColor="text1"/>
          <w:szCs w:val="20"/>
        </w:rPr>
      </w:pPr>
    </w:p>
    <w:p w:rsidR="00CF1ADB" w:rsidRPr="00464186" w:rsidRDefault="00CF1ADB" w:rsidP="00CF1ADB">
      <w:pPr>
        <w:rPr>
          <w:rFonts w:ascii="Times New Roman" w:hAnsi="Times New Roman" w:cs="Times New Roman"/>
          <w:b/>
          <w:bCs/>
          <w:color w:val="000000" w:themeColor="text1"/>
          <w:szCs w:val="20"/>
        </w:rPr>
      </w:pPr>
    </w:p>
    <w:p w:rsidR="00CF1ADB" w:rsidRPr="00464186" w:rsidRDefault="00CF1ADB" w:rsidP="00CF1ADB">
      <w:pPr>
        <w:rPr>
          <w:rFonts w:ascii="Times New Roman" w:hAnsi="Times New Roman" w:cs="Times New Roman"/>
          <w:b/>
          <w:bCs/>
          <w:color w:val="000000" w:themeColor="text1"/>
          <w:szCs w:val="20"/>
        </w:rPr>
      </w:pPr>
      <w:r>
        <w:rPr>
          <w:noProof/>
        </w:rPr>
        <w:lastRenderedPageBreak/>
        <w:drawing>
          <wp:inline distT="0" distB="0" distL="0" distR="0" wp14:anchorId="12D6537B" wp14:editId="434D3FDE">
            <wp:extent cx="5728970" cy="4118239"/>
            <wp:effectExtent l="0" t="0" r="0" b="0"/>
            <wp:docPr id="28" name="그림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62" b="22245"/>
                    <a:stretch/>
                  </pic:blipFill>
                  <pic:spPr bwMode="auto">
                    <a:xfrm>
                      <a:off x="0" y="0"/>
                      <a:ext cx="5731510" cy="412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64186">
        <w:rPr>
          <w:rFonts w:ascii="Times New Roman" w:hAnsi="Times New Roman" w:cs="Times New Roman"/>
          <w:color w:val="000000" w:themeColor="text1"/>
          <w:szCs w:val="20"/>
        </w:rPr>
        <w:br/>
      </w:r>
      <w:r w:rsidRPr="00464186">
        <w:rPr>
          <w:rFonts w:ascii="Times New Roman" w:hAnsi="Times New Roman" w:cs="Times New Roman"/>
          <w:b/>
          <w:bCs/>
          <w:color w:val="000000" w:themeColor="text1"/>
          <w:szCs w:val="20"/>
        </w:rPr>
        <w:t xml:space="preserve">Fig. S2 and S3 Effect of cell death and </w:t>
      </w:r>
      <w:r w:rsidRPr="00464186">
        <w:rPr>
          <w:rFonts w:ascii="Times New Roman" w:hAnsi="Times New Roman" w:cs="Times New Roman"/>
          <w:b/>
          <w:bCs/>
          <w:i/>
          <w:iCs/>
          <w:color w:val="000000" w:themeColor="text1"/>
          <w:szCs w:val="20"/>
        </w:rPr>
        <w:t>O</w:t>
      </w:r>
      <w:r w:rsidRPr="00464186">
        <w:rPr>
          <w:rFonts w:ascii="Times New Roman" w:hAnsi="Times New Roman" w:cs="Times New Roman"/>
          <w:b/>
          <w:bCs/>
          <w:color w:val="000000" w:themeColor="text1"/>
          <w:szCs w:val="20"/>
        </w:rPr>
        <w:t>-GlcNAcylation on metformin-induced SW620 cells</w:t>
      </w:r>
      <w:r w:rsidRPr="00464186">
        <w:rPr>
          <w:rFonts w:ascii="Times New Roman" w:hAnsi="Times New Roman" w:cs="Times New Roman"/>
          <w:color w:val="000000" w:themeColor="text1"/>
          <w:szCs w:val="20"/>
        </w:rPr>
        <w:t xml:space="preserve"> (S2</w:t>
      </w:r>
      <w:r>
        <w:rPr>
          <w:rFonts w:ascii="Times New Roman" w:hAnsi="Times New Roman" w:cs="Times New Roman" w:hint="eastAsia"/>
          <w:color w:val="000000" w:themeColor="text1"/>
          <w:szCs w:val="20"/>
        </w:rPr>
        <w:t>A</w:t>
      </w:r>
      <w:r w:rsidRPr="00464186">
        <w:rPr>
          <w:rFonts w:ascii="Times New Roman" w:hAnsi="Times New Roman" w:cs="Times New Roman"/>
          <w:color w:val="000000" w:themeColor="text1"/>
          <w:szCs w:val="20"/>
        </w:rPr>
        <w:t>)</w:t>
      </w:r>
      <w:r w:rsidRPr="008117EB">
        <w:t xml:space="preserve"> </w:t>
      </w:r>
      <w:r w:rsidRPr="008117EB">
        <w:rPr>
          <w:rFonts w:ascii="Times New Roman" w:hAnsi="Times New Roman" w:cs="Times New Roman"/>
          <w:color w:val="000000" w:themeColor="text1"/>
          <w:szCs w:val="20"/>
        </w:rPr>
        <w:t xml:space="preserve">SW620 cells were incubated with metformin (1, 5, 10, 20, and 25 </w:t>
      </w:r>
      <w:proofErr w:type="spellStart"/>
      <w:r w:rsidRPr="008117EB">
        <w:rPr>
          <w:rFonts w:ascii="Times New Roman" w:hAnsi="Times New Roman" w:cs="Times New Roman"/>
          <w:color w:val="000000" w:themeColor="text1"/>
          <w:szCs w:val="20"/>
        </w:rPr>
        <w:t>mM</w:t>
      </w:r>
      <w:proofErr w:type="spellEnd"/>
      <w:r w:rsidRPr="008117EB">
        <w:rPr>
          <w:rFonts w:ascii="Times New Roman" w:hAnsi="Times New Roman" w:cs="Times New Roman"/>
          <w:color w:val="000000" w:themeColor="text1"/>
          <w:szCs w:val="20"/>
        </w:rPr>
        <w:t xml:space="preserve">) for 48 h. Cell viability was analyzed using the MTT assay. (S2B) HCT116 and SW620 cells were incubated with metformin (5, 10, 20, 25, and 50 </w:t>
      </w:r>
      <w:proofErr w:type="spellStart"/>
      <w:r w:rsidRPr="008117EB">
        <w:rPr>
          <w:rFonts w:ascii="Times New Roman" w:hAnsi="Times New Roman" w:cs="Times New Roman"/>
          <w:color w:val="000000" w:themeColor="text1"/>
          <w:szCs w:val="20"/>
        </w:rPr>
        <w:t>mM</w:t>
      </w:r>
      <w:proofErr w:type="spellEnd"/>
      <w:r w:rsidRPr="008117EB">
        <w:rPr>
          <w:rFonts w:ascii="Times New Roman" w:hAnsi="Times New Roman" w:cs="Times New Roman"/>
          <w:color w:val="000000" w:themeColor="text1"/>
          <w:szCs w:val="20"/>
        </w:rPr>
        <w:t>) for 72 h. Cell viability was determined by MTT assay and data shown are the measured IC50 value.</w:t>
      </w:r>
      <w:r w:rsidRPr="00464186">
        <w:rPr>
          <w:rFonts w:ascii="Times New Roman" w:hAnsi="Times New Roman" w:cs="Times New Roman"/>
          <w:color w:val="000000" w:themeColor="text1"/>
          <w:szCs w:val="20"/>
        </w:rPr>
        <w:t xml:space="preserve"> (S3) SW620 cells were treated with different concentrations of metformin (1, 5, and 25 </w:t>
      </w:r>
      <w:proofErr w:type="spellStart"/>
      <w:r w:rsidRPr="00464186">
        <w:rPr>
          <w:rFonts w:ascii="Times New Roman" w:hAnsi="Times New Roman" w:cs="Times New Roman"/>
          <w:color w:val="000000" w:themeColor="text1"/>
          <w:szCs w:val="20"/>
        </w:rPr>
        <w:t>mM</w:t>
      </w:r>
      <w:proofErr w:type="spellEnd"/>
      <w:r w:rsidRPr="00464186">
        <w:rPr>
          <w:rFonts w:ascii="Times New Roman" w:hAnsi="Times New Roman" w:cs="Times New Roman"/>
          <w:color w:val="000000" w:themeColor="text1"/>
          <w:szCs w:val="20"/>
        </w:rPr>
        <w:t xml:space="preserve">) for 48 h. The levels of </w:t>
      </w:r>
      <w:r w:rsidRPr="00464186">
        <w:rPr>
          <w:rFonts w:ascii="Times New Roman" w:hAnsi="Times New Roman" w:cs="Times New Roman"/>
          <w:i/>
          <w:iCs/>
          <w:color w:val="000000" w:themeColor="text1"/>
          <w:szCs w:val="20"/>
        </w:rPr>
        <w:t>O</w:t>
      </w:r>
      <w:r w:rsidRPr="00464186">
        <w:rPr>
          <w:rFonts w:ascii="Times New Roman" w:hAnsi="Times New Roman" w:cs="Times New Roman"/>
          <w:color w:val="000000" w:themeColor="text1"/>
          <w:szCs w:val="20"/>
        </w:rPr>
        <w:t>-</w:t>
      </w:r>
      <w:proofErr w:type="spellStart"/>
      <w:r w:rsidRPr="00464186">
        <w:rPr>
          <w:rFonts w:ascii="Times New Roman" w:hAnsi="Times New Roman" w:cs="Times New Roman"/>
          <w:color w:val="000000" w:themeColor="text1"/>
          <w:szCs w:val="20"/>
        </w:rPr>
        <w:t>GlcNAc</w:t>
      </w:r>
      <w:proofErr w:type="spellEnd"/>
      <w:r w:rsidRPr="00464186">
        <w:rPr>
          <w:rFonts w:ascii="Times New Roman" w:hAnsi="Times New Roman" w:cs="Times New Roman"/>
          <w:color w:val="000000" w:themeColor="text1"/>
          <w:szCs w:val="20"/>
        </w:rPr>
        <w:t xml:space="preserve"> and GFAT were examined by western blot analysis. β-actin was used as a loading control in western blot analyses.</w:t>
      </w:r>
    </w:p>
    <w:p w:rsidR="00CF1ADB" w:rsidRPr="00464186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</w:p>
    <w:p w:rsidR="00CF1ADB" w:rsidRPr="00464186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</w:p>
    <w:p w:rsidR="00CF1ADB" w:rsidRPr="00464186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</w:p>
    <w:p w:rsidR="00CF1ADB" w:rsidRPr="00464186" w:rsidRDefault="00CF1ADB" w:rsidP="00CF1ADB">
      <w:pPr>
        <w:rPr>
          <w:noProof/>
          <w:color w:val="000000" w:themeColor="text1"/>
        </w:rPr>
      </w:pPr>
      <w:r>
        <w:rPr>
          <w:noProof/>
        </w:rPr>
        <w:drawing>
          <wp:inline distT="0" distB="0" distL="0" distR="0" wp14:anchorId="05980B9B" wp14:editId="3501F8A0">
            <wp:extent cx="5731510" cy="1892410"/>
            <wp:effectExtent l="0" t="0" r="0" b="0"/>
            <wp:docPr id="29" name="그림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00" b="62895"/>
                    <a:stretch/>
                  </pic:blipFill>
                  <pic:spPr bwMode="auto">
                    <a:xfrm>
                      <a:off x="0" y="0"/>
                      <a:ext cx="5731510" cy="189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1ADB" w:rsidRPr="00464186" w:rsidRDefault="00CF1ADB" w:rsidP="00CF1ADB">
      <w:pPr>
        <w:rPr>
          <w:rFonts w:ascii="Times New Roman" w:hAnsi="Times New Roman" w:cs="Times New Roman"/>
          <w:b/>
          <w:bCs/>
          <w:color w:val="000000" w:themeColor="text1"/>
          <w:szCs w:val="20"/>
        </w:rPr>
      </w:pPr>
      <w:r w:rsidRPr="00464186">
        <w:rPr>
          <w:rFonts w:ascii="Times New Roman" w:hAnsi="Times New Roman" w:cs="Times New Roman"/>
          <w:b/>
          <w:bCs/>
          <w:color w:val="000000" w:themeColor="text1"/>
          <w:szCs w:val="20"/>
        </w:rPr>
        <w:lastRenderedPageBreak/>
        <w:t xml:space="preserve">Fig. S4 Effect of </w:t>
      </w:r>
      <w:r w:rsidRPr="00464186">
        <w:rPr>
          <w:rFonts w:ascii="Times New Roman" w:hAnsi="Times New Roman" w:cs="Times New Roman"/>
          <w:b/>
          <w:bCs/>
          <w:i/>
          <w:iCs/>
          <w:color w:val="000000" w:themeColor="text1"/>
          <w:szCs w:val="20"/>
        </w:rPr>
        <w:t>O</w:t>
      </w:r>
      <w:r w:rsidRPr="00464186">
        <w:rPr>
          <w:rFonts w:ascii="Times New Roman" w:hAnsi="Times New Roman" w:cs="Times New Roman"/>
          <w:b/>
          <w:bCs/>
          <w:color w:val="000000" w:themeColor="text1"/>
          <w:szCs w:val="20"/>
        </w:rPr>
        <w:t xml:space="preserve">-GlcNAcylation on OSMI-1-induced HCT116 cells </w:t>
      </w:r>
      <w:r w:rsidRPr="00464186">
        <w:rPr>
          <w:rFonts w:ascii="Times New Roman" w:hAnsi="Times New Roman" w:cs="Times New Roman"/>
          <w:color w:val="000000" w:themeColor="text1"/>
          <w:szCs w:val="20"/>
        </w:rPr>
        <w:t xml:space="preserve">HCT116 cells were treated with different concentrations of OSMI-1 (5, 10, and 20 </w:t>
      </w:r>
      <w:proofErr w:type="spellStart"/>
      <w:r w:rsidRPr="00464186">
        <w:rPr>
          <w:rFonts w:ascii="Palatino Linotype" w:hAnsi="Palatino Linotype" w:cs="Times New Roman"/>
          <w:color w:val="000000" w:themeColor="text1"/>
          <w:szCs w:val="20"/>
        </w:rPr>
        <w:t>μ</w:t>
      </w:r>
      <w:r w:rsidRPr="00464186">
        <w:rPr>
          <w:rFonts w:ascii="Times New Roman" w:hAnsi="Times New Roman" w:cs="Times New Roman"/>
          <w:color w:val="000000" w:themeColor="text1"/>
          <w:szCs w:val="20"/>
        </w:rPr>
        <w:t>M</w:t>
      </w:r>
      <w:proofErr w:type="spellEnd"/>
      <w:r w:rsidRPr="00464186">
        <w:rPr>
          <w:rFonts w:ascii="Times New Roman" w:hAnsi="Times New Roman" w:cs="Times New Roman"/>
          <w:color w:val="000000" w:themeColor="text1"/>
          <w:szCs w:val="20"/>
        </w:rPr>
        <w:t xml:space="preserve">) for 48 h. The level of </w:t>
      </w:r>
      <w:r w:rsidRPr="00464186">
        <w:rPr>
          <w:rFonts w:ascii="Times New Roman" w:hAnsi="Times New Roman" w:cs="Times New Roman"/>
          <w:i/>
          <w:iCs/>
          <w:color w:val="000000" w:themeColor="text1"/>
          <w:szCs w:val="20"/>
        </w:rPr>
        <w:t>O</w:t>
      </w:r>
      <w:r w:rsidRPr="00464186">
        <w:rPr>
          <w:rFonts w:ascii="Times New Roman" w:hAnsi="Times New Roman" w:cs="Times New Roman"/>
          <w:color w:val="000000" w:themeColor="text1"/>
          <w:szCs w:val="20"/>
        </w:rPr>
        <w:t>-</w:t>
      </w:r>
      <w:proofErr w:type="spellStart"/>
      <w:r w:rsidRPr="00464186">
        <w:rPr>
          <w:rFonts w:ascii="Times New Roman" w:hAnsi="Times New Roman" w:cs="Times New Roman"/>
          <w:color w:val="000000" w:themeColor="text1"/>
          <w:szCs w:val="20"/>
        </w:rPr>
        <w:t>GlcNAc</w:t>
      </w:r>
      <w:proofErr w:type="spellEnd"/>
      <w:r w:rsidRPr="00464186">
        <w:rPr>
          <w:rFonts w:ascii="Times New Roman" w:hAnsi="Times New Roman" w:cs="Times New Roman"/>
          <w:color w:val="000000" w:themeColor="text1"/>
          <w:szCs w:val="20"/>
        </w:rPr>
        <w:t xml:space="preserve"> was examined by western blot analysis. β-actin was used as a loading control in western blot analyses.</w:t>
      </w:r>
    </w:p>
    <w:p w:rsidR="00CF1ADB" w:rsidRPr="00464186" w:rsidRDefault="00CF1ADB" w:rsidP="00CF1ADB">
      <w:pPr>
        <w:rPr>
          <w:noProof/>
          <w:color w:val="000000" w:themeColor="text1"/>
        </w:rPr>
      </w:pPr>
    </w:p>
    <w:p w:rsidR="00CF1ADB" w:rsidRPr="00464186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</w:p>
    <w:p w:rsidR="00CF1ADB" w:rsidRPr="00464186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</w:p>
    <w:p w:rsidR="00CF1ADB" w:rsidRPr="00464186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  <w:r>
        <w:rPr>
          <w:noProof/>
        </w:rPr>
        <w:drawing>
          <wp:inline distT="0" distB="0" distL="0" distR="0" wp14:anchorId="27ABD842" wp14:editId="0694366B">
            <wp:extent cx="5731510" cy="938254"/>
            <wp:effectExtent l="0" t="0" r="0" b="0"/>
            <wp:docPr id="33" name="그림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995" b="37698"/>
                    <a:stretch/>
                  </pic:blipFill>
                  <pic:spPr bwMode="auto">
                    <a:xfrm>
                      <a:off x="0" y="0"/>
                      <a:ext cx="5731510" cy="938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1ADB" w:rsidRPr="00464186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  <w:r w:rsidRPr="00464186">
        <w:rPr>
          <w:rFonts w:ascii="Times New Roman" w:hAnsi="Times New Roman" w:cs="Times New Roman"/>
          <w:b/>
          <w:bCs/>
          <w:color w:val="000000" w:themeColor="text1"/>
          <w:szCs w:val="20"/>
        </w:rPr>
        <w:t xml:space="preserve">Fig. S5 IRE1α pathway by metformin </w:t>
      </w:r>
      <w:r w:rsidRPr="00464186">
        <w:rPr>
          <w:rFonts w:ascii="Times New Roman" w:hAnsi="Times New Roman" w:cs="Times New Roman"/>
          <w:color w:val="000000" w:themeColor="text1"/>
          <w:szCs w:val="20"/>
        </w:rPr>
        <w:t xml:space="preserve">HCT116 cells were treated with metformin (25 </w:t>
      </w:r>
      <w:proofErr w:type="spellStart"/>
      <w:r w:rsidRPr="00464186">
        <w:rPr>
          <w:rFonts w:ascii="Times New Roman" w:hAnsi="Times New Roman" w:cs="Times New Roman"/>
          <w:color w:val="000000" w:themeColor="text1"/>
          <w:szCs w:val="20"/>
        </w:rPr>
        <w:t>mM</w:t>
      </w:r>
      <w:proofErr w:type="spellEnd"/>
      <w:r w:rsidRPr="00464186">
        <w:rPr>
          <w:rFonts w:ascii="Times New Roman" w:hAnsi="Times New Roman" w:cs="Times New Roman"/>
          <w:color w:val="000000" w:themeColor="text1"/>
          <w:szCs w:val="20"/>
        </w:rPr>
        <w:t>) for 48 h. The levels of IRE1</w:t>
      </w:r>
      <w:r w:rsidRPr="00464186">
        <w:rPr>
          <w:rFonts w:ascii="Times New Roman" w:hAnsi="Times New Roman" w:cs="Times New Roman"/>
          <w:color w:val="000000" w:themeColor="text1"/>
          <w:szCs w:val="20"/>
          <w:lang w:val="el-GR"/>
        </w:rPr>
        <w:t>α</w:t>
      </w:r>
      <w:r w:rsidRPr="00464186">
        <w:rPr>
          <w:rFonts w:ascii="Times New Roman" w:hAnsi="Times New Roman" w:cs="Times New Roman"/>
          <w:color w:val="000000" w:themeColor="text1"/>
          <w:szCs w:val="20"/>
        </w:rPr>
        <w:t xml:space="preserve"> were examined by western blot. β-actin was used as a loading control in western blot analyses.</w:t>
      </w:r>
    </w:p>
    <w:p w:rsidR="00CF1ADB" w:rsidRPr="00464186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</w:p>
    <w:p w:rsidR="00CF1ADB" w:rsidRPr="00464186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</w:p>
    <w:p w:rsidR="00CF1ADB" w:rsidRPr="00464186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</w:p>
    <w:p w:rsidR="00CF1ADB" w:rsidRPr="00464186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  <w:r>
        <w:rPr>
          <w:noProof/>
        </w:rPr>
        <w:drawing>
          <wp:inline distT="0" distB="0" distL="0" distR="0" wp14:anchorId="7EF8638F" wp14:editId="1A106A19">
            <wp:extent cx="5731510" cy="803082"/>
            <wp:effectExtent l="0" t="0" r="0" b="0"/>
            <wp:docPr id="35" name="그림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735" b="13445"/>
                    <a:stretch/>
                  </pic:blipFill>
                  <pic:spPr bwMode="auto">
                    <a:xfrm>
                      <a:off x="0" y="0"/>
                      <a:ext cx="5731510" cy="803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1ADB" w:rsidRPr="00464186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  <w:r w:rsidRPr="00464186">
        <w:rPr>
          <w:rFonts w:ascii="Times New Roman" w:hAnsi="Times New Roman" w:cs="Times New Roman"/>
          <w:b/>
          <w:bCs/>
          <w:color w:val="000000" w:themeColor="text1"/>
          <w:szCs w:val="20"/>
        </w:rPr>
        <w:t>Fig. S6 JNK pathway by metformin</w:t>
      </w:r>
      <w:r w:rsidRPr="00464186">
        <w:rPr>
          <w:rFonts w:ascii="Times New Roman" w:hAnsi="Times New Roman" w:cs="Times New Roman"/>
          <w:color w:val="000000" w:themeColor="text1"/>
          <w:szCs w:val="20"/>
        </w:rPr>
        <w:t xml:space="preserve"> HCT116 cells were treated with metformin (25 </w:t>
      </w:r>
      <w:proofErr w:type="spellStart"/>
      <w:r w:rsidRPr="00464186">
        <w:rPr>
          <w:rFonts w:ascii="Times New Roman" w:hAnsi="Times New Roman" w:cs="Times New Roman"/>
          <w:color w:val="000000" w:themeColor="text1"/>
          <w:szCs w:val="20"/>
        </w:rPr>
        <w:t>mM</w:t>
      </w:r>
      <w:proofErr w:type="spellEnd"/>
      <w:r w:rsidRPr="00464186">
        <w:rPr>
          <w:rFonts w:ascii="Times New Roman" w:hAnsi="Times New Roman" w:cs="Times New Roman"/>
          <w:color w:val="000000" w:themeColor="text1"/>
          <w:szCs w:val="20"/>
        </w:rPr>
        <w:t xml:space="preserve">) for 48 h. The levels of XBP1 were analyzed by RT-PCR. 18s </w:t>
      </w:r>
      <w:proofErr w:type="spellStart"/>
      <w:r w:rsidRPr="00464186">
        <w:rPr>
          <w:rFonts w:ascii="Times New Roman" w:hAnsi="Times New Roman" w:cs="Times New Roman"/>
          <w:color w:val="000000" w:themeColor="text1"/>
          <w:szCs w:val="20"/>
        </w:rPr>
        <w:t>rRNA</w:t>
      </w:r>
      <w:proofErr w:type="spellEnd"/>
      <w:r w:rsidRPr="00464186">
        <w:rPr>
          <w:rFonts w:ascii="Times New Roman" w:hAnsi="Times New Roman" w:cs="Times New Roman"/>
          <w:color w:val="000000" w:themeColor="text1"/>
          <w:szCs w:val="20"/>
        </w:rPr>
        <w:t xml:space="preserve"> was used as a loading control in RT-PCR.</w:t>
      </w:r>
    </w:p>
    <w:p w:rsidR="00CF1ADB" w:rsidRPr="00464186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</w:p>
    <w:p w:rsidR="00CF1ADB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</w:p>
    <w:p w:rsidR="00CF1ADB" w:rsidRPr="00464186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</w:p>
    <w:p w:rsidR="00CF1ADB" w:rsidRPr="00464186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  <w:r>
        <w:rPr>
          <w:noProof/>
        </w:rPr>
        <w:drawing>
          <wp:inline distT="0" distB="0" distL="0" distR="0" wp14:anchorId="02C31262" wp14:editId="10A4F027">
            <wp:extent cx="5729451" cy="1279663"/>
            <wp:effectExtent l="0" t="0" r="0" b="0"/>
            <wp:docPr id="36" name="그림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8" b="74481"/>
                    <a:stretch/>
                  </pic:blipFill>
                  <pic:spPr bwMode="auto">
                    <a:xfrm>
                      <a:off x="0" y="0"/>
                      <a:ext cx="5731510" cy="1280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1ADB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  <w:r w:rsidRPr="00464186">
        <w:rPr>
          <w:rFonts w:ascii="Times New Roman" w:hAnsi="Times New Roman" w:cs="Times New Roman"/>
          <w:b/>
          <w:bCs/>
          <w:color w:val="000000" w:themeColor="text1"/>
          <w:szCs w:val="20"/>
        </w:rPr>
        <w:t xml:space="preserve">Fig. S7 Western blot analysis of ER stress markers </w:t>
      </w:r>
      <w:r w:rsidRPr="00464186">
        <w:rPr>
          <w:rFonts w:ascii="Times New Roman" w:hAnsi="Times New Roman" w:cs="Times New Roman"/>
          <w:color w:val="000000" w:themeColor="text1"/>
          <w:szCs w:val="20"/>
        </w:rPr>
        <w:t xml:space="preserve">HCT116 cells were treated with metformin (25 </w:t>
      </w:r>
      <w:proofErr w:type="spellStart"/>
      <w:r w:rsidRPr="00464186">
        <w:rPr>
          <w:rFonts w:ascii="Times New Roman" w:hAnsi="Times New Roman" w:cs="Times New Roman"/>
          <w:color w:val="000000" w:themeColor="text1"/>
          <w:szCs w:val="20"/>
        </w:rPr>
        <w:t>mM</w:t>
      </w:r>
      <w:proofErr w:type="spellEnd"/>
      <w:r w:rsidRPr="00464186">
        <w:rPr>
          <w:rFonts w:ascii="Times New Roman" w:hAnsi="Times New Roman" w:cs="Times New Roman"/>
          <w:color w:val="000000" w:themeColor="text1"/>
          <w:szCs w:val="20"/>
        </w:rPr>
        <w:t xml:space="preserve">) and OSMI-1 (20 </w:t>
      </w:r>
      <w:proofErr w:type="spellStart"/>
      <w:r w:rsidRPr="00464186">
        <w:rPr>
          <w:rFonts w:ascii="Times New Roman" w:hAnsi="Times New Roman" w:cs="Times New Roman"/>
          <w:color w:val="000000" w:themeColor="text1"/>
          <w:szCs w:val="20"/>
        </w:rPr>
        <w:t>μM</w:t>
      </w:r>
      <w:proofErr w:type="spellEnd"/>
      <w:r w:rsidRPr="00464186">
        <w:rPr>
          <w:rFonts w:ascii="Times New Roman" w:hAnsi="Times New Roman" w:cs="Times New Roman"/>
          <w:color w:val="000000" w:themeColor="text1"/>
          <w:szCs w:val="20"/>
        </w:rPr>
        <w:t>) alone or in combination for 48 h. The levels of IRE1</w:t>
      </w:r>
      <w:r w:rsidRPr="00464186">
        <w:rPr>
          <w:rFonts w:ascii="Times New Roman" w:hAnsi="Times New Roman" w:cs="Times New Roman"/>
          <w:color w:val="000000" w:themeColor="text1"/>
          <w:szCs w:val="20"/>
          <w:lang w:val="el-GR"/>
        </w:rPr>
        <w:t>α, PERK, and ATF6</w:t>
      </w:r>
      <w:r w:rsidRPr="00464186">
        <w:rPr>
          <w:rFonts w:ascii="Times New Roman" w:hAnsi="Times New Roman" w:cs="Times New Roman"/>
          <w:color w:val="000000" w:themeColor="text1"/>
          <w:szCs w:val="20"/>
        </w:rPr>
        <w:t xml:space="preserve"> were examined by western blot. β-actin was used as a loading control in western blot analyses.</w:t>
      </w:r>
    </w:p>
    <w:p w:rsidR="00CF1ADB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</w:p>
    <w:p w:rsidR="00CF1ADB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</w:p>
    <w:p w:rsidR="00CF1ADB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</w:p>
    <w:p w:rsidR="00CF1ADB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  <w:r>
        <w:rPr>
          <w:noProof/>
        </w:rPr>
        <w:drawing>
          <wp:inline distT="0" distB="0" distL="0" distR="0" wp14:anchorId="229DC4A4" wp14:editId="198D821A">
            <wp:extent cx="5731510" cy="1288112"/>
            <wp:effectExtent l="0" t="0" r="0" b="0"/>
            <wp:docPr id="37" name="그림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358" b="45883"/>
                    <a:stretch/>
                  </pic:blipFill>
                  <pic:spPr bwMode="auto">
                    <a:xfrm>
                      <a:off x="0" y="0"/>
                      <a:ext cx="5731510" cy="1288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1ADB" w:rsidRPr="00464186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  <w:r w:rsidRPr="008117EB">
        <w:rPr>
          <w:rFonts w:ascii="Times New Roman" w:hAnsi="Times New Roman" w:cs="Times New Roman"/>
          <w:b/>
          <w:bCs/>
          <w:color w:val="000000" w:themeColor="text1"/>
          <w:szCs w:val="20"/>
        </w:rPr>
        <w:t>Fig. S</w:t>
      </w:r>
      <w:r>
        <w:rPr>
          <w:rFonts w:ascii="Times New Roman" w:hAnsi="Times New Roman" w:cs="Times New Roman" w:hint="eastAsia"/>
          <w:b/>
          <w:bCs/>
          <w:color w:val="000000" w:themeColor="text1"/>
          <w:szCs w:val="20"/>
        </w:rPr>
        <w:t>8</w:t>
      </w:r>
      <w:r w:rsidRPr="008117EB">
        <w:rPr>
          <w:rFonts w:ascii="Times New Roman" w:hAnsi="Times New Roman" w:cs="Times New Roman"/>
          <w:b/>
          <w:bCs/>
          <w:color w:val="000000" w:themeColor="text1"/>
          <w:szCs w:val="20"/>
        </w:rPr>
        <w:t xml:space="preserve"> Effects of combined treatment with metformin and OSMI-1 in HCC cell lines HepG2 and Huh7 cells</w:t>
      </w:r>
      <w:r w:rsidRPr="008117EB">
        <w:rPr>
          <w:rFonts w:ascii="Times New Roman" w:hAnsi="Times New Roman" w:cs="Times New Roman"/>
          <w:color w:val="000000" w:themeColor="text1"/>
          <w:szCs w:val="20"/>
        </w:rPr>
        <w:t xml:space="preserve"> (A) HepG2 cells were treated with OSMI-1 (20 </w:t>
      </w:r>
      <w:proofErr w:type="spellStart"/>
      <w:r w:rsidRPr="008117EB">
        <w:rPr>
          <w:rFonts w:ascii="Times New Roman" w:hAnsi="Times New Roman" w:cs="Times New Roman"/>
          <w:color w:val="000000" w:themeColor="text1"/>
          <w:szCs w:val="20"/>
        </w:rPr>
        <w:t>μM</w:t>
      </w:r>
      <w:proofErr w:type="spellEnd"/>
      <w:r w:rsidRPr="008117EB">
        <w:rPr>
          <w:rFonts w:ascii="Times New Roman" w:hAnsi="Times New Roman" w:cs="Times New Roman"/>
          <w:color w:val="000000" w:themeColor="text1"/>
          <w:szCs w:val="20"/>
        </w:rPr>
        <w:t xml:space="preserve">) and metformin (25 </w:t>
      </w:r>
      <w:proofErr w:type="spellStart"/>
      <w:r w:rsidRPr="008117EB">
        <w:rPr>
          <w:rFonts w:ascii="Times New Roman" w:hAnsi="Times New Roman" w:cs="Times New Roman"/>
          <w:color w:val="000000" w:themeColor="text1"/>
          <w:szCs w:val="20"/>
        </w:rPr>
        <w:t>mM</w:t>
      </w:r>
      <w:proofErr w:type="spellEnd"/>
      <w:r w:rsidRPr="008117EB">
        <w:rPr>
          <w:rFonts w:ascii="Times New Roman" w:hAnsi="Times New Roman" w:cs="Times New Roman"/>
          <w:color w:val="000000" w:themeColor="text1"/>
          <w:szCs w:val="20"/>
        </w:rPr>
        <w:t xml:space="preserve">) alone or a combination thereof for 24 h. The level of cleaved caspase-3 was determined by western blot analysis. (B) Huh7 cells were treated with OSMI-1 (20 </w:t>
      </w:r>
      <w:proofErr w:type="spellStart"/>
      <w:r w:rsidRPr="008117EB">
        <w:rPr>
          <w:rFonts w:ascii="Times New Roman" w:hAnsi="Times New Roman" w:cs="Times New Roman"/>
          <w:color w:val="000000" w:themeColor="text1"/>
          <w:szCs w:val="20"/>
        </w:rPr>
        <w:t>μM</w:t>
      </w:r>
      <w:proofErr w:type="spellEnd"/>
      <w:r w:rsidRPr="008117EB">
        <w:rPr>
          <w:rFonts w:ascii="Times New Roman" w:hAnsi="Times New Roman" w:cs="Times New Roman"/>
          <w:color w:val="000000" w:themeColor="text1"/>
          <w:szCs w:val="20"/>
        </w:rPr>
        <w:t>) and metformin (</w:t>
      </w:r>
      <w:r>
        <w:rPr>
          <w:rFonts w:ascii="Times New Roman" w:hAnsi="Times New Roman" w:cs="Times New Roman"/>
          <w:color w:val="000000" w:themeColor="text1"/>
          <w:szCs w:val="20"/>
        </w:rPr>
        <w:t>10</w:t>
      </w:r>
      <w:r w:rsidRPr="008117EB">
        <w:rPr>
          <w:rFonts w:ascii="Times New Roman" w:hAnsi="Times New Roman" w:cs="Times New Roman"/>
          <w:color w:val="000000" w:themeColor="text1"/>
          <w:szCs w:val="20"/>
        </w:rPr>
        <w:t xml:space="preserve"> </w:t>
      </w:r>
      <w:proofErr w:type="spellStart"/>
      <w:r w:rsidRPr="008117EB">
        <w:rPr>
          <w:rFonts w:ascii="Times New Roman" w:hAnsi="Times New Roman" w:cs="Times New Roman"/>
          <w:color w:val="000000" w:themeColor="text1"/>
          <w:szCs w:val="20"/>
        </w:rPr>
        <w:t>mM</w:t>
      </w:r>
      <w:proofErr w:type="spellEnd"/>
      <w:r w:rsidRPr="008117EB">
        <w:rPr>
          <w:rFonts w:ascii="Times New Roman" w:hAnsi="Times New Roman" w:cs="Times New Roman"/>
          <w:color w:val="000000" w:themeColor="text1"/>
          <w:szCs w:val="20"/>
        </w:rPr>
        <w:t>) alone or a combination thereof for 24 h. The level of cleaved caspase-3 was determined by western blot analysis. β-actin was used as a loading control in all western blot analyses.</w:t>
      </w:r>
    </w:p>
    <w:p w:rsidR="00CF1ADB" w:rsidRPr="0071314A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</w:p>
    <w:p w:rsidR="00CF1ADB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</w:p>
    <w:p w:rsidR="00CF1ADB" w:rsidRPr="00464186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</w:p>
    <w:p w:rsidR="00CF1ADB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  <w:r>
        <w:rPr>
          <w:noProof/>
        </w:rPr>
        <w:drawing>
          <wp:inline distT="0" distB="0" distL="0" distR="0" wp14:anchorId="64C4CD99" wp14:editId="6D106296">
            <wp:extent cx="5729860" cy="1598958"/>
            <wp:effectExtent l="0" t="0" r="0" b="0"/>
            <wp:docPr id="38" name="그림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116" b="9384"/>
                    <a:stretch/>
                  </pic:blipFill>
                  <pic:spPr bwMode="auto">
                    <a:xfrm>
                      <a:off x="0" y="0"/>
                      <a:ext cx="5731510" cy="1599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1ADB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  <w:r w:rsidRPr="00464186">
        <w:rPr>
          <w:rFonts w:ascii="Times New Roman" w:hAnsi="Times New Roman" w:cs="Times New Roman"/>
          <w:b/>
          <w:bCs/>
          <w:color w:val="000000" w:themeColor="text1"/>
          <w:szCs w:val="20"/>
        </w:rPr>
        <w:t>Fig. S</w:t>
      </w:r>
      <w:r>
        <w:rPr>
          <w:rFonts w:ascii="Times New Roman" w:hAnsi="Times New Roman" w:cs="Times New Roman" w:hint="eastAsia"/>
          <w:b/>
          <w:bCs/>
          <w:color w:val="000000" w:themeColor="text1"/>
          <w:szCs w:val="20"/>
        </w:rPr>
        <w:t>9</w:t>
      </w:r>
      <w:r w:rsidRPr="00464186">
        <w:rPr>
          <w:rFonts w:ascii="Times New Roman" w:hAnsi="Times New Roman" w:cs="Times New Roman"/>
          <w:b/>
          <w:bCs/>
          <w:color w:val="000000" w:themeColor="text1"/>
          <w:szCs w:val="20"/>
        </w:rPr>
        <w:t xml:space="preserve"> </w:t>
      </w:r>
      <w:r w:rsidRPr="00D12A76">
        <w:rPr>
          <w:rFonts w:ascii="Times New Roman" w:hAnsi="Times New Roman" w:cs="Times New Roman"/>
          <w:b/>
          <w:bCs/>
          <w:color w:val="000000" w:themeColor="text1"/>
          <w:szCs w:val="20"/>
        </w:rPr>
        <w:t>Synergistic effects of combined treatment with metformin and OSMI-1 in HCT116 cells</w:t>
      </w:r>
      <w:r w:rsidRPr="00D12A76">
        <w:rPr>
          <w:rFonts w:ascii="Times New Roman" w:hAnsi="Times New Roman" w:cs="Times New Roman"/>
          <w:color w:val="000000" w:themeColor="text1"/>
          <w:szCs w:val="20"/>
        </w:rPr>
        <w:t xml:space="preserve"> HCT116 cells were treated with OSMI-1 (20 </w:t>
      </w:r>
      <w:proofErr w:type="spellStart"/>
      <w:r w:rsidRPr="00D12A76">
        <w:rPr>
          <w:rFonts w:ascii="Times New Roman" w:hAnsi="Times New Roman" w:cs="Times New Roman"/>
          <w:color w:val="000000" w:themeColor="text1"/>
          <w:szCs w:val="20"/>
        </w:rPr>
        <w:t>μM</w:t>
      </w:r>
      <w:proofErr w:type="spellEnd"/>
      <w:r w:rsidRPr="00D12A76">
        <w:rPr>
          <w:rFonts w:ascii="Times New Roman" w:hAnsi="Times New Roman" w:cs="Times New Roman"/>
          <w:color w:val="000000" w:themeColor="text1"/>
          <w:szCs w:val="20"/>
        </w:rPr>
        <w:t>) and metformin (</w:t>
      </w:r>
      <w:r>
        <w:rPr>
          <w:rFonts w:ascii="Times New Roman" w:hAnsi="Times New Roman" w:cs="Times New Roman"/>
          <w:color w:val="000000" w:themeColor="text1"/>
          <w:szCs w:val="20"/>
        </w:rPr>
        <w:t xml:space="preserve">5, 10, and </w:t>
      </w:r>
      <w:r w:rsidRPr="00D12A76">
        <w:rPr>
          <w:rFonts w:ascii="Times New Roman" w:hAnsi="Times New Roman" w:cs="Times New Roman"/>
          <w:color w:val="000000" w:themeColor="text1"/>
          <w:szCs w:val="20"/>
        </w:rPr>
        <w:t xml:space="preserve">25 </w:t>
      </w:r>
      <w:proofErr w:type="spellStart"/>
      <w:r w:rsidRPr="00D12A76">
        <w:rPr>
          <w:rFonts w:ascii="Times New Roman" w:hAnsi="Times New Roman" w:cs="Times New Roman"/>
          <w:color w:val="000000" w:themeColor="text1"/>
          <w:szCs w:val="20"/>
        </w:rPr>
        <w:t>mM</w:t>
      </w:r>
      <w:proofErr w:type="spellEnd"/>
      <w:r w:rsidRPr="00D12A76">
        <w:rPr>
          <w:rFonts w:ascii="Times New Roman" w:hAnsi="Times New Roman" w:cs="Times New Roman"/>
          <w:color w:val="000000" w:themeColor="text1"/>
          <w:szCs w:val="20"/>
        </w:rPr>
        <w:t xml:space="preserve">) for 48 h, and the cell viability was determined by MTT assay. Significance was determined by control and combination group Student’s t-test. </w:t>
      </w:r>
      <w:r w:rsidRPr="0045089A">
        <w:rPr>
          <w:rFonts w:ascii="Times New Roman" w:hAnsi="Times New Roman" w:cs="Times New Roman"/>
          <w:color w:val="000000" w:themeColor="text1"/>
          <w:szCs w:val="20"/>
        </w:rPr>
        <w:t xml:space="preserve">* </w:t>
      </w:r>
      <w:r w:rsidRPr="0045089A">
        <w:rPr>
          <w:rFonts w:ascii="Times New Roman" w:hAnsi="Times New Roman" w:cs="Times New Roman"/>
          <w:i/>
          <w:iCs/>
          <w:color w:val="000000" w:themeColor="text1"/>
          <w:szCs w:val="20"/>
        </w:rPr>
        <w:t>p</w:t>
      </w:r>
      <w:r w:rsidRPr="0045089A">
        <w:rPr>
          <w:rFonts w:ascii="Times New Roman" w:hAnsi="Times New Roman" w:cs="Times New Roman"/>
          <w:color w:val="000000" w:themeColor="text1"/>
          <w:szCs w:val="20"/>
        </w:rPr>
        <w:t xml:space="preserve"> &lt; 0.05, *** </w:t>
      </w:r>
      <w:r w:rsidRPr="0045089A">
        <w:rPr>
          <w:rFonts w:ascii="Times New Roman" w:hAnsi="Times New Roman" w:cs="Times New Roman"/>
          <w:i/>
          <w:iCs/>
          <w:color w:val="000000" w:themeColor="text1"/>
          <w:szCs w:val="20"/>
        </w:rPr>
        <w:t>p</w:t>
      </w:r>
      <w:r w:rsidRPr="0045089A">
        <w:rPr>
          <w:rFonts w:ascii="Times New Roman" w:hAnsi="Times New Roman" w:cs="Times New Roman"/>
          <w:color w:val="000000" w:themeColor="text1"/>
          <w:szCs w:val="20"/>
        </w:rPr>
        <w:t xml:space="preserve"> &lt; 0.001</w:t>
      </w:r>
      <w:r w:rsidRPr="00D12A76">
        <w:rPr>
          <w:rFonts w:ascii="Times New Roman" w:hAnsi="Times New Roman" w:cs="Times New Roman"/>
          <w:color w:val="000000" w:themeColor="text1"/>
          <w:szCs w:val="20"/>
        </w:rPr>
        <w:t xml:space="preserve">. </w:t>
      </w:r>
    </w:p>
    <w:p w:rsidR="00CF1ADB" w:rsidRPr="00311F1E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</w:p>
    <w:p w:rsidR="00CF1ADB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</w:p>
    <w:p w:rsidR="00CF1ADB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</w:p>
    <w:p w:rsidR="00CF1ADB" w:rsidRPr="00464186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  <w:r>
        <w:rPr>
          <w:noProof/>
        </w:rPr>
        <w:lastRenderedPageBreak/>
        <w:drawing>
          <wp:inline distT="0" distB="0" distL="0" distR="0" wp14:anchorId="28A305EF" wp14:editId="11277BF7">
            <wp:extent cx="5730640" cy="1772837"/>
            <wp:effectExtent l="0" t="0" r="0" b="0"/>
            <wp:docPr id="39" name="그림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53" b="63042"/>
                    <a:stretch/>
                  </pic:blipFill>
                  <pic:spPr bwMode="auto">
                    <a:xfrm>
                      <a:off x="0" y="0"/>
                      <a:ext cx="5731510" cy="1773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64186">
        <w:rPr>
          <w:rFonts w:ascii="Times New Roman" w:hAnsi="Times New Roman" w:cs="Times New Roman"/>
          <w:color w:val="000000" w:themeColor="text1"/>
          <w:szCs w:val="20"/>
        </w:rPr>
        <w:br/>
      </w:r>
      <w:r w:rsidRPr="00464186">
        <w:rPr>
          <w:rFonts w:ascii="Times New Roman" w:hAnsi="Times New Roman" w:cs="Times New Roman"/>
          <w:b/>
          <w:bCs/>
          <w:color w:val="000000" w:themeColor="text1"/>
          <w:szCs w:val="20"/>
        </w:rPr>
        <w:t>Fig. S</w:t>
      </w:r>
      <w:r>
        <w:rPr>
          <w:rFonts w:ascii="Times New Roman" w:hAnsi="Times New Roman" w:cs="Times New Roman"/>
          <w:b/>
          <w:bCs/>
          <w:color w:val="000000" w:themeColor="text1"/>
          <w:szCs w:val="20"/>
        </w:rPr>
        <w:t>10</w:t>
      </w:r>
      <w:r w:rsidRPr="00464186">
        <w:rPr>
          <w:rFonts w:ascii="Times New Roman" w:hAnsi="Times New Roman" w:cs="Times New Roman"/>
          <w:b/>
          <w:bCs/>
          <w:color w:val="000000" w:themeColor="text1"/>
          <w:szCs w:val="20"/>
        </w:rPr>
        <w:t xml:space="preserve"> Inhibition of growth and apoptosis of xenograft tumors by combination treatment of metformin and OSMI-1 in HCT116 p53</w:t>
      </w:r>
      <w:r w:rsidRPr="00464186">
        <w:rPr>
          <w:rFonts w:ascii="Times New Roman" w:hAnsi="Times New Roman" w:cs="Times New Roman"/>
          <w:b/>
          <w:bCs/>
          <w:color w:val="000000" w:themeColor="text1"/>
          <w:szCs w:val="20"/>
          <w:vertAlign w:val="superscript"/>
        </w:rPr>
        <w:t>+/+</w:t>
      </w:r>
      <w:r w:rsidRPr="00464186">
        <w:rPr>
          <w:rFonts w:ascii="Times New Roman" w:hAnsi="Times New Roman" w:cs="Times New Roman"/>
          <w:color w:val="000000" w:themeColor="text1"/>
          <w:szCs w:val="20"/>
        </w:rPr>
        <w:t xml:space="preserve"> (A) BALB/c nude female mice were inoculated subcutaneously with HCT116 p53</w:t>
      </w:r>
      <w:r w:rsidRPr="00464186">
        <w:rPr>
          <w:rFonts w:ascii="Times New Roman" w:hAnsi="Times New Roman" w:cs="Times New Roman"/>
          <w:color w:val="000000" w:themeColor="text1"/>
          <w:szCs w:val="20"/>
          <w:vertAlign w:val="superscript"/>
        </w:rPr>
        <w:t>+/+</w:t>
      </w:r>
      <w:r w:rsidRPr="00464186">
        <w:rPr>
          <w:rFonts w:ascii="Times New Roman" w:hAnsi="Times New Roman" w:cs="Times New Roman"/>
          <w:color w:val="000000" w:themeColor="text1"/>
          <w:szCs w:val="20"/>
        </w:rPr>
        <w:t xml:space="preserve"> cell administration vehicle (DMSO), metformin, OSMI-1 or a combination and tumor growth was monitored for 28 days. Representative images of subcutaneous xenograft tumors in nude mice treated with metformin, OSMI-1, or a combination. (B) Expression levels of cleaved caspase-3 involved in apoptosis were also determined by western blot, and </w:t>
      </w:r>
      <w:bookmarkStart w:id="0" w:name="_Hlk130911586"/>
      <w:r w:rsidRPr="00464186">
        <w:rPr>
          <w:rFonts w:ascii="Times New Roman" w:hAnsi="Times New Roman" w:cs="Times New Roman"/>
          <w:color w:val="000000" w:themeColor="text1"/>
        </w:rPr>
        <w:t>β-actin</w:t>
      </w:r>
      <w:r w:rsidRPr="00464186">
        <w:rPr>
          <w:rFonts w:ascii="Times New Roman" w:hAnsi="Times New Roman" w:cs="Times New Roman"/>
          <w:color w:val="000000" w:themeColor="text1"/>
          <w:szCs w:val="20"/>
        </w:rPr>
        <w:t xml:space="preserve"> </w:t>
      </w:r>
      <w:bookmarkEnd w:id="0"/>
      <w:r w:rsidRPr="00464186">
        <w:rPr>
          <w:rFonts w:ascii="Times New Roman" w:hAnsi="Times New Roman" w:cs="Times New Roman"/>
          <w:color w:val="000000" w:themeColor="text1"/>
          <w:szCs w:val="20"/>
        </w:rPr>
        <w:t>was used as the loading control.</w:t>
      </w:r>
    </w:p>
    <w:p w:rsidR="00CF1ADB" w:rsidRPr="00464186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</w:p>
    <w:p w:rsidR="00CF1ADB" w:rsidRPr="00464186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</w:p>
    <w:p w:rsidR="00CF1ADB" w:rsidRPr="00464186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</w:p>
    <w:p w:rsidR="00CF1ADB" w:rsidRPr="00464186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</w:p>
    <w:p w:rsidR="00CF1ADB" w:rsidRPr="00464186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</w:p>
    <w:p w:rsidR="00CF1ADB" w:rsidRPr="00464186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  <w:r w:rsidRPr="00464186">
        <w:rPr>
          <w:rFonts w:ascii="Times New Roman" w:hAnsi="Times New Roman" w:cs="Times New Roman"/>
          <w:color w:val="000000" w:themeColor="text1"/>
          <w:szCs w:val="20"/>
        </w:rPr>
        <w:br/>
      </w:r>
      <w:r w:rsidRPr="00464186">
        <w:rPr>
          <w:rFonts w:ascii="Times New Roman" w:hAnsi="Times New Roman" w:cs="Times New Roman"/>
          <w:color w:val="000000" w:themeColor="text1"/>
          <w:szCs w:val="20"/>
        </w:rPr>
        <w:br/>
      </w:r>
    </w:p>
    <w:p w:rsidR="00CF1ADB" w:rsidRPr="00464186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</w:p>
    <w:p w:rsidR="00CF1ADB" w:rsidRPr="00464186" w:rsidRDefault="00CF1ADB" w:rsidP="00CF1ADB">
      <w:pPr>
        <w:rPr>
          <w:rFonts w:ascii="Times New Roman" w:hAnsi="Times New Roman" w:cs="Times New Roman"/>
          <w:color w:val="000000" w:themeColor="text1"/>
          <w:szCs w:val="20"/>
        </w:rPr>
      </w:pPr>
      <w:r>
        <w:rPr>
          <w:noProof/>
        </w:rPr>
        <w:lastRenderedPageBreak/>
        <w:drawing>
          <wp:inline distT="0" distB="0" distL="0" distR="0" wp14:anchorId="32CB79EA" wp14:editId="4310CEEA">
            <wp:extent cx="5731225" cy="3164620"/>
            <wp:effectExtent l="0" t="0" r="0" b="0"/>
            <wp:docPr id="40" name="그림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718" b="2909"/>
                    <a:stretch/>
                  </pic:blipFill>
                  <pic:spPr bwMode="auto">
                    <a:xfrm>
                      <a:off x="0" y="0"/>
                      <a:ext cx="5731510" cy="3164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64186">
        <w:rPr>
          <w:rFonts w:ascii="Times New Roman" w:hAnsi="Times New Roman" w:cs="Times New Roman"/>
          <w:color w:val="000000" w:themeColor="text1"/>
          <w:szCs w:val="20"/>
        </w:rPr>
        <w:br/>
      </w:r>
      <w:r w:rsidRPr="00464186">
        <w:rPr>
          <w:rFonts w:ascii="Times New Roman" w:hAnsi="Times New Roman" w:cs="Times New Roman"/>
          <w:b/>
          <w:bCs/>
          <w:color w:val="000000" w:themeColor="text1"/>
          <w:szCs w:val="20"/>
        </w:rPr>
        <w:t>Fig. S</w:t>
      </w:r>
      <w:r>
        <w:rPr>
          <w:rFonts w:ascii="Times New Roman" w:hAnsi="Times New Roman" w:cs="Times New Roman" w:hint="eastAsia"/>
          <w:b/>
          <w:bCs/>
          <w:color w:val="000000" w:themeColor="text1"/>
          <w:szCs w:val="20"/>
        </w:rPr>
        <w:t>1</w:t>
      </w:r>
      <w:r>
        <w:rPr>
          <w:rFonts w:ascii="Times New Roman" w:hAnsi="Times New Roman" w:cs="Times New Roman"/>
          <w:b/>
          <w:bCs/>
          <w:color w:val="000000" w:themeColor="text1"/>
          <w:szCs w:val="20"/>
        </w:rPr>
        <w:t>1</w:t>
      </w:r>
      <w:r w:rsidRPr="00464186">
        <w:rPr>
          <w:rFonts w:ascii="Times New Roman" w:hAnsi="Times New Roman" w:cs="Times New Roman"/>
          <w:b/>
          <w:bCs/>
          <w:color w:val="000000" w:themeColor="text1"/>
          <w:szCs w:val="20"/>
        </w:rPr>
        <w:t xml:space="preserve"> Inhibition of growth and apoptosis of xenograft tumors by combination treatment of metformin and OSMI-1 in HCT116 p53</w:t>
      </w:r>
      <w:r w:rsidRPr="00464186">
        <w:rPr>
          <w:rFonts w:ascii="Times New Roman" w:hAnsi="Times New Roman" w:cs="Times New Roman"/>
          <w:b/>
          <w:bCs/>
          <w:color w:val="000000" w:themeColor="text1"/>
          <w:szCs w:val="20"/>
          <w:vertAlign w:val="superscript"/>
        </w:rPr>
        <w:t>-/-</w:t>
      </w:r>
      <w:r w:rsidRPr="00464186">
        <w:rPr>
          <w:rFonts w:ascii="Times New Roman" w:hAnsi="Times New Roman" w:cs="Times New Roman"/>
          <w:color w:val="000000" w:themeColor="text1"/>
          <w:szCs w:val="20"/>
        </w:rPr>
        <w:t xml:space="preserve"> (A) BALB/c nude female mice were inoculated subcutaneously with HCT116 p53</w:t>
      </w:r>
      <w:r w:rsidRPr="00464186">
        <w:rPr>
          <w:rFonts w:ascii="Times New Roman" w:hAnsi="Times New Roman" w:cs="Times New Roman"/>
          <w:color w:val="000000" w:themeColor="text1"/>
          <w:szCs w:val="20"/>
          <w:vertAlign w:val="superscript"/>
        </w:rPr>
        <w:t>-/-</w:t>
      </w:r>
      <w:r w:rsidRPr="00464186">
        <w:rPr>
          <w:rFonts w:ascii="Times New Roman" w:hAnsi="Times New Roman" w:cs="Times New Roman"/>
          <w:color w:val="000000" w:themeColor="text1"/>
          <w:szCs w:val="20"/>
        </w:rPr>
        <w:t xml:space="preserve"> cell administration vehicle (DMSO), metformin, OSMI-1 or a combination and tumor growth was monitored for 28 days. Representative images of subcutaneous xenograft tumors in nude mice treated with metformin, OSMI-1, or a combination (right). Volumes of xenograft tumors in metformin, OSMI-1, and combination treatment groups at the indicated time points were measured and growth profiles were expressed as mean ± SEM (middle). Histograms are the results of tumor weight measurements at endpoints and are presented as mean ± SEM (right). (B) Expression levels of cleaved caspase-3 involved in apoptosis were also determined by western blot, and </w:t>
      </w:r>
      <w:r w:rsidRPr="00464186">
        <w:rPr>
          <w:rFonts w:ascii="Times New Roman" w:hAnsi="Times New Roman" w:cs="Times New Roman"/>
          <w:color w:val="000000" w:themeColor="text1"/>
        </w:rPr>
        <w:t>β-actin</w:t>
      </w:r>
      <w:r w:rsidRPr="00464186">
        <w:rPr>
          <w:rFonts w:ascii="Times New Roman" w:hAnsi="Times New Roman" w:cs="Times New Roman"/>
          <w:color w:val="000000" w:themeColor="text1"/>
          <w:szCs w:val="20"/>
        </w:rPr>
        <w:t xml:space="preserve"> was used as the loading control. (A, B) </w:t>
      </w:r>
      <w:r w:rsidRPr="00464186">
        <w:rPr>
          <w:rFonts w:ascii="Times New Roman" w:hAnsi="Times New Roman" w:cs="Times New Roman"/>
          <w:color w:val="000000" w:themeColor="text1"/>
        </w:rPr>
        <w:t xml:space="preserve">Significance was determined by control and combination group Student’s t-test. * </w:t>
      </w:r>
      <w:r w:rsidRPr="00464186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464186">
        <w:rPr>
          <w:rFonts w:ascii="Times New Roman" w:hAnsi="Times New Roman" w:cs="Times New Roman"/>
          <w:color w:val="000000" w:themeColor="text1"/>
        </w:rPr>
        <w:t xml:space="preserve"> &lt; 0.05, *** </w:t>
      </w:r>
      <w:r w:rsidRPr="00464186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464186">
        <w:rPr>
          <w:rFonts w:ascii="Times New Roman" w:hAnsi="Times New Roman" w:cs="Times New Roman"/>
          <w:color w:val="000000" w:themeColor="text1"/>
        </w:rPr>
        <w:t xml:space="preserve"> &lt; 0.001.</w:t>
      </w:r>
    </w:p>
    <w:p w:rsidR="00842580" w:rsidRDefault="00842580">
      <w:bookmarkStart w:id="1" w:name="_GoBack"/>
      <w:bookmarkEnd w:id="1"/>
    </w:p>
    <w:sectPr w:rsidR="00842580" w:rsidSect="00DA35BC">
      <w:footerReference w:type="default" r:id="rId11"/>
      <w:pgSz w:w="11906" w:h="16838"/>
      <w:pgMar w:top="1701" w:right="1440" w:bottom="1440" w:left="1440" w:header="851" w:footer="992" w:gutter="0"/>
      <w:pgNumType w:chapStyle="1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0333397"/>
      <w:docPartObj>
        <w:docPartGallery w:val="Page Numbers (Bottom of Page)"/>
        <w:docPartUnique/>
      </w:docPartObj>
    </w:sdtPr>
    <w:sdtEndPr/>
    <w:sdtContent>
      <w:p w:rsidR="001C5D2D" w:rsidRDefault="00CF1AD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F1ADB">
          <w:rPr>
            <w:noProof/>
            <w:lang w:val="ko-KR"/>
          </w:rPr>
          <w:t>6</w:t>
        </w:r>
        <w:r>
          <w:fldChar w:fldCharType="end"/>
        </w:r>
      </w:p>
    </w:sdtContent>
  </w:sdt>
  <w:p w:rsidR="001C5D2D" w:rsidRDefault="00CF1ADB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ADB"/>
    <w:rsid w:val="00045D6F"/>
    <w:rsid w:val="00075136"/>
    <w:rsid w:val="000964FE"/>
    <w:rsid w:val="000A5330"/>
    <w:rsid w:val="000C4714"/>
    <w:rsid w:val="000C6D31"/>
    <w:rsid w:val="000D5275"/>
    <w:rsid w:val="000E21A3"/>
    <w:rsid w:val="000F491F"/>
    <w:rsid w:val="001069F0"/>
    <w:rsid w:val="00107D58"/>
    <w:rsid w:val="00120F3F"/>
    <w:rsid w:val="00131BED"/>
    <w:rsid w:val="00136406"/>
    <w:rsid w:val="001504EC"/>
    <w:rsid w:val="001604D8"/>
    <w:rsid w:val="001804AE"/>
    <w:rsid w:val="00184DF0"/>
    <w:rsid w:val="00186E8F"/>
    <w:rsid w:val="0019039C"/>
    <w:rsid w:val="0019170C"/>
    <w:rsid w:val="001979C8"/>
    <w:rsid w:val="001A23A6"/>
    <w:rsid w:val="001A7344"/>
    <w:rsid w:val="001D4BB3"/>
    <w:rsid w:val="001E1286"/>
    <w:rsid w:val="001E72FC"/>
    <w:rsid w:val="001F3808"/>
    <w:rsid w:val="001F6C45"/>
    <w:rsid w:val="0020224A"/>
    <w:rsid w:val="00213610"/>
    <w:rsid w:val="002148F8"/>
    <w:rsid w:val="0023287B"/>
    <w:rsid w:val="002373A2"/>
    <w:rsid w:val="002432EC"/>
    <w:rsid w:val="00261F15"/>
    <w:rsid w:val="00266092"/>
    <w:rsid w:val="002660C9"/>
    <w:rsid w:val="00271C92"/>
    <w:rsid w:val="002744D3"/>
    <w:rsid w:val="002A39BD"/>
    <w:rsid w:val="002C6FE5"/>
    <w:rsid w:val="002E6745"/>
    <w:rsid w:val="002E6C10"/>
    <w:rsid w:val="002F3CA6"/>
    <w:rsid w:val="002F4C3D"/>
    <w:rsid w:val="002F6C3D"/>
    <w:rsid w:val="003031CF"/>
    <w:rsid w:val="00303655"/>
    <w:rsid w:val="003042E6"/>
    <w:rsid w:val="0031251B"/>
    <w:rsid w:val="00314394"/>
    <w:rsid w:val="003476C3"/>
    <w:rsid w:val="00353FAE"/>
    <w:rsid w:val="0037757D"/>
    <w:rsid w:val="00382763"/>
    <w:rsid w:val="00392744"/>
    <w:rsid w:val="003A0DC2"/>
    <w:rsid w:val="003A6C28"/>
    <w:rsid w:val="003C3C89"/>
    <w:rsid w:val="003C6DC5"/>
    <w:rsid w:val="003D3934"/>
    <w:rsid w:val="003E2C53"/>
    <w:rsid w:val="003F23C8"/>
    <w:rsid w:val="003F6E23"/>
    <w:rsid w:val="00401821"/>
    <w:rsid w:val="00402681"/>
    <w:rsid w:val="00410EE1"/>
    <w:rsid w:val="004143A2"/>
    <w:rsid w:val="00415E9E"/>
    <w:rsid w:val="00425CED"/>
    <w:rsid w:val="00427220"/>
    <w:rsid w:val="00435929"/>
    <w:rsid w:val="00453015"/>
    <w:rsid w:val="00464641"/>
    <w:rsid w:val="00467576"/>
    <w:rsid w:val="00471163"/>
    <w:rsid w:val="004752D6"/>
    <w:rsid w:val="00483019"/>
    <w:rsid w:val="004A0D9A"/>
    <w:rsid w:val="004A0EAA"/>
    <w:rsid w:val="004A66B8"/>
    <w:rsid w:val="004B6A48"/>
    <w:rsid w:val="004C753F"/>
    <w:rsid w:val="004E6BD8"/>
    <w:rsid w:val="004E6E1E"/>
    <w:rsid w:val="004F1B84"/>
    <w:rsid w:val="004F4C45"/>
    <w:rsid w:val="00504A7E"/>
    <w:rsid w:val="00520ED2"/>
    <w:rsid w:val="00524D43"/>
    <w:rsid w:val="00525952"/>
    <w:rsid w:val="005363F9"/>
    <w:rsid w:val="00545589"/>
    <w:rsid w:val="00550E12"/>
    <w:rsid w:val="00566C7B"/>
    <w:rsid w:val="005802AB"/>
    <w:rsid w:val="005907D1"/>
    <w:rsid w:val="00591F77"/>
    <w:rsid w:val="00593D47"/>
    <w:rsid w:val="00594BE7"/>
    <w:rsid w:val="005A114D"/>
    <w:rsid w:val="005A5668"/>
    <w:rsid w:val="005C5816"/>
    <w:rsid w:val="005D234A"/>
    <w:rsid w:val="005E208F"/>
    <w:rsid w:val="006161EB"/>
    <w:rsid w:val="00627455"/>
    <w:rsid w:val="00637A45"/>
    <w:rsid w:val="00637C7C"/>
    <w:rsid w:val="00642B4F"/>
    <w:rsid w:val="006455BB"/>
    <w:rsid w:val="00646E23"/>
    <w:rsid w:val="00677D4C"/>
    <w:rsid w:val="00696939"/>
    <w:rsid w:val="006A35F2"/>
    <w:rsid w:val="006B311F"/>
    <w:rsid w:val="006B5A91"/>
    <w:rsid w:val="006E3705"/>
    <w:rsid w:val="006E7408"/>
    <w:rsid w:val="006F1F21"/>
    <w:rsid w:val="006F2765"/>
    <w:rsid w:val="00701DB2"/>
    <w:rsid w:val="00715BE8"/>
    <w:rsid w:val="0072124C"/>
    <w:rsid w:val="00731262"/>
    <w:rsid w:val="00735CBC"/>
    <w:rsid w:val="00746435"/>
    <w:rsid w:val="00746AFD"/>
    <w:rsid w:val="007533F6"/>
    <w:rsid w:val="00754C10"/>
    <w:rsid w:val="007559B9"/>
    <w:rsid w:val="00770CA5"/>
    <w:rsid w:val="0079135A"/>
    <w:rsid w:val="00796A4E"/>
    <w:rsid w:val="00797072"/>
    <w:rsid w:val="007A0CEB"/>
    <w:rsid w:val="007A31B2"/>
    <w:rsid w:val="007B1947"/>
    <w:rsid w:val="007B62D8"/>
    <w:rsid w:val="007C03A9"/>
    <w:rsid w:val="007C5891"/>
    <w:rsid w:val="007D2284"/>
    <w:rsid w:val="007E5CBA"/>
    <w:rsid w:val="007E649B"/>
    <w:rsid w:val="0080065E"/>
    <w:rsid w:val="00801946"/>
    <w:rsid w:val="00807A9A"/>
    <w:rsid w:val="008209F5"/>
    <w:rsid w:val="00824278"/>
    <w:rsid w:val="00832FD5"/>
    <w:rsid w:val="00842580"/>
    <w:rsid w:val="00843A96"/>
    <w:rsid w:val="00843DDF"/>
    <w:rsid w:val="008601D0"/>
    <w:rsid w:val="0086106F"/>
    <w:rsid w:val="008801E2"/>
    <w:rsid w:val="00881E87"/>
    <w:rsid w:val="008A221B"/>
    <w:rsid w:val="008B4C6E"/>
    <w:rsid w:val="008C354B"/>
    <w:rsid w:val="008C546D"/>
    <w:rsid w:val="008C6676"/>
    <w:rsid w:val="008E7B2D"/>
    <w:rsid w:val="00901784"/>
    <w:rsid w:val="00902F20"/>
    <w:rsid w:val="009047B9"/>
    <w:rsid w:val="00906C2F"/>
    <w:rsid w:val="00920D01"/>
    <w:rsid w:val="00935BAC"/>
    <w:rsid w:val="00937824"/>
    <w:rsid w:val="00991F66"/>
    <w:rsid w:val="00992E98"/>
    <w:rsid w:val="009A057E"/>
    <w:rsid w:val="00A032BF"/>
    <w:rsid w:val="00A459D8"/>
    <w:rsid w:val="00A824D6"/>
    <w:rsid w:val="00A83C2C"/>
    <w:rsid w:val="00AA00D3"/>
    <w:rsid w:val="00AC4A42"/>
    <w:rsid w:val="00AD7060"/>
    <w:rsid w:val="00AD7A77"/>
    <w:rsid w:val="00AE0E9A"/>
    <w:rsid w:val="00B020FD"/>
    <w:rsid w:val="00B03418"/>
    <w:rsid w:val="00B056E8"/>
    <w:rsid w:val="00B17D4B"/>
    <w:rsid w:val="00B23D40"/>
    <w:rsid w:val="00B615A1"/>
    <w:rsid w:val="00B71CCF"/>
    <w:rsid w:val="00B879B5"/>
    <w:rsid w:val="00BA3033"/>
    <w:rsid w:val="00BB2BB1"/>
    <w:rsid w:val="00BB3EC8"/>
    <w:rsid w:val="00BC3883"/>
    <w:rsid w:val="00BC629B"/>
    <w:rsid w:val="00BD6BE9"/>
    <w:rsid w:val="00BE2EB3"/>
    <w:rsid w:val="00BE4418"/>
    <w:rsid w:val="00BF6896"/>
    <w:rsid w:val="00C170F6"/>
    <w:rsid w:val="00C238D7"/>
    <w:rsid w:val="00C42AE9"/>
    <w:rsid w:val="00C57995"/>
    <w:rsid w:val="00C77D93"/>
    <w:rsid w:val="00C85694"/>
    <w:rsid w:val="00CB394F"/>
    <w:rsid w:val="00CD2A81"/>
    <w:rsid w:val="00CF1ADB"/>
    <w:rsid w:val="00CF470D"/>
    <w:rsid w:val="00CF5E54"/>
    <w:rsid w:val="00D01138"/>
    <w:rsid w:val="00D033D8"/>
    <w:rsid w:val="00D079E4"/>
    <w:rsid w:val="00D1157F"/>
    <w:rsid w:val="00D2064A"/>
    <w:rsid w:val="00D24C74"/>
    <w:rsid w:val="00D30067"/>
    <w:rsid w:val="00D331A3"/>
    <w:rsid w:val="00D37886"/>
    <w:rsid w:val="00D448D6"/>
    <w:rsid w:val="00D5517F"/>
    <w:rsid w:val="00D61618"/>
    <w:rsid w:val="00D67A98"/>
    <w:rsid w:val="00D77D1E"/>
    <w:rsid w:val="00D83EBD"/>
    <w:rsid w:val="00D90ADD"/>
    <w:rsid w:val="00D95370"/>
    <w:rsid w:val="00DB4AC2"/>
    <w:rsid w:val="00DB6799"/>
    <w:rsid w:val="00DC5166"/>
    <w:rsid w:val="00DE34E3"/>
    <w:rsid w:val="00E0306E"/>
    <w:rsid w:val="00E04E36"/>
    <w:rsid w:val="00E12C92"/>
    <w:rsid w:val="00E446D6"/>
    <w:rsid w:val="00E8349E"/>
    <w:rsid w:val="00E83CAF"/>
    <w:rsid w:val="00EA0E4A"/>
    <w:rsid w:val="00EA3B89"/>
    <w:rsid w:val="00EA3BCF"/>
    <w:rsid w:val="00EA7D4E"/>
    <w:rsid w:val="00ED2606"/>
    <w:rsid w:val="00ED74EA"/>
    <w:rsid w:val="00EE50D4"/>
    <w:rsid w:val="00EE55A7"/>
    <w:rsid w:val="00F1186B"/>
    <w:rsid w:val="00F167E9"/>
    <w:rsid w:val="00F207D7"/>
    <w:rsid w:val="00F26D06"/>
    <w:rsid w:val="00F33CA5"/>
    <w:rsid w:val="00F44E5C"/>
    <w:rsid w:val="00F63E33"/>
    <w:rsid w:val="00F64DE3"/>
    <w:rsid w:val="00F66AF7"/>
    <w:rsid w:val="00F73B6C"/>
    <w:rsid w:val="00F85DE3"/>
    <w:rsid w:val="00FA1832"/>
    <w:rsid w:val="00FB1A58"/>
    <w:rsid w:val="00FB484B"/>
    <w:rsid w:val="00FB633E"/>
    <w:rsid w:val="00FE04F2"/>
    <w:rsid w:val="00FF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B6F2DA-B6E0-4241-80DC-FF80F330E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F1ADB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jc w:val="both"/>
    </w:pPr>
    <w:rPr>
      <w:rFonts w:eastAsiaTheme="minorEastAsia"/>
      <w:kern w:val="2"/>
      <w:sz w:val="20"/>
      <w:lang w:eastAsia="ko-KR"/>
    </w:rPr>
  </w:style>
  <w:style w:type="character" w:customStyle="1" w:styleId="FooterChar">
    <w:name w:val="Footer Char"/>
    <w:basedOn w:val="DefaultParagraphFont"/>
    <w:link w:val="Footer"/>
    <w:uiPriority w:val="99"/>
    <w:rsid w:val="00CF1ADB"/>
    <w:rPr>
      <w:rFonts w:eastAsiaTheme="minorEastAsia"/>
      <w:kern w:val="2"/>
      <w:sz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oter" Target="footer1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694</Words>
  <Characters>3961</Characters>
  <Application>Microsoft Office Word</Application>
  <DocSecurity>0</DocSecurity>
  <Lines>33</Lines>
  <Paragraphs>9</Paragraphs>
  <ScaleCrop>false</ScaleCrop>
  <Company/>
  <LinksUpToDate>false</LinksUpToDate>
  <CharactersWithSpaces>4646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Jini Mol</dc:creator>
  <cp:keywords/>
  <dc:description/>
  <cp:lastModifiedBy>Jini Mol</cp:lastModifiedBy>
  <cp:revision>1</cp:revision>
  <dcterms:created xsi:type="dcterms:W3CDTF">2023-05-27T13:20:00Z</dcterms:created>
  <dcterms:modified xsi:type="dcterms:W3CDTF">2023-05-27T13:20:00Z</dcterms:modified>
</cp:coreProperties>
</file>