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</w:pP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Additional file 2</w:t>
      </w:r>
    </w:p>
    <w:p>
      <w:pPr>
        <w:spacing w:line="480" w:lineRule="auto"/>
        <w:rPr>
          <w:rFonts w:ascii="Times New Roman Regular" w:hAnsi="Times New Roman Regular" w:cs="Times New Roman Regular"/>
          <w:b/>
          <w:sz w:val="24"/>
        </w:rPr>
      </w:pPr>
      <w:r>
        <w:rPr>
          <w:rFonts w:ascii="Times New Roman Regular" w:hAnsi="Times New Roman Regular" w:cs="Times New Roman Regular"/>
          <w:b/>
          <w:sz w:val="24"/>
        </w:rPr>
        <w:t>This file includes:</w:t>
      </w:r>
    </w:p>
    <w:p>
      <w:pPr>
        <w:pStyle w:val="5"/>
        <w:spacing w:line="480" w:lineRule="auto"/>
        <w:ind w:left="888" w:firstLineChars="0"/>
        <w:jc w:val="left"/>
        <w:rPr>
          <w:rFonts w:ascii="Times New Roman Regular" w:hAnsi="Times New Roman Regular" w:cs="Times New Roman Regular"/>
          <w:b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sz w:val="24"/>
        </w:rPr>
        <w:t>F</w:t>
      </w:r>
      <w:r>
        <w:rPr>
          <w:rFonts w:ascii="Times New Roman Regular" w:hAnsi="Times New Roman Regular" w:cs="Times New Roman Regular"/>
          <w:b/>
          <w:sz w:val="24"/>
          <w:lang w:eastAsia="zh-Hans"/>
        </w:rPr>
        <w:t>igure S1</w:t>
      </w:r>
    </w:p>
    <w:p>
      <w:pPr>
        <w:pStyle w:val="5"/>
        <w:spacing w:line="480" w:lineRule="auto"/>
        <w:ind w:left="888" w:firstLineChars="0"/>
        <w:jc w:val="left"/>
        <w:rPr>
          <w:rFonts w:ascii="Times New Roman Regular" w:hAnsi="Times New Roman Regular" w:cs="Times New Roman Regular"/>
          <w:b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sz w:val="24"/>
        </w:rPr>
        <w:t>F</w:t>
      </w:r>
      <w:r>
        <w:rPr>
          <w:rFonts w:ascii="Times New Roman Regular" w:hAnsi="Times New Roman Regular" w:cs="Times New Roman Regular"/>
          <w:b/>
          <w:sz w:val="24"/>
          <w:lang w:eastAsia="zh-Hans"/>
        </w:rPr>
        <w:t>igure S2</w:t>
      </w:r>
    </w:p>
    <w:p>
      <w:pPr>
        <w:rPr>
          <w:rFonts w:ascii="Times New Roman Regular" w:hAnsi="Times New Roman Regular" w:cs="Times New Roman Regular"/>
        </w:rPr>
      </w:pPr>
    </w:p>
    <w:p>
      <w:pPr>
        <w:rPr>
          <w:rFonts w:ascii="Times New Roman Regular" w:hAnsi="Times New Roman Regular" w:cs="Times New Roman Regular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hint="default" w:ascii="Times New Roman Regular" w:hAnsi="Times New Roman Regular" w:cs="Times New Roman Regular"/>
          <w:b/>
          <w:sz w:val="22"/>
          <w:szCs w:val="28"/>
        </w:rPr>
      </w:pPr>
      <w:r>
        <w:rPr>
          <w:rFonts w:hint="default" w:ascii="Times New Roman Regular" w:hAnsi="Times New Roman Regular" w:cs="Times New Roman Regular"/>
          <w:b/>
          <w:sz w:val="22"/>
          <w:szCs w:val="28"/>
        </w:rPr>
        <w:drawing>
          <wp:inline distT="0" distB="0" distL="114300" distR="114300">
            <wp:extent cx="5273675" cy="6981190"/>
            <wp:effectExtent l="0" t="0" r="9525" b="381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hint="default"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  <w:r>
        <w:rPr>
          <w:rFonts w:ascii="Times New Roman Regular" w:hAnsi="Times New Roman Regular" w:cs="Times New Roman Regular"/>
          <w:b/>
          <w:sz w:val="22"/>
          <w:szCs w:val="28"/>
        </w:rPr>
        <w:t>F</w:t>
      </w:r>
      <w:r>
        <w:rPr>
          <w:rFonts w:ascii="Times New Roman Regular" w:hAnsi="Times New Roman Regular" w:cs="Times New Roman Regular"/>
          <w:b/>
          <w:sz w:val="22"/>
          <w:szCs w:val="28"/>
          <w:lang w:eastAsia="zh-Hans"/>
        </w:rPr>
        <w:t xml:space="preserve">igure S1 </w:t>
      </w:r>
      <w:r>
        <w:rPr>
          <w:rFonts w:ascii="Times New Roman Regular" w:hAnsi="Times New Roman Regular" w:cs="Times New Roman Regular"/>
          <w:b/>
          <w:sz w:val="22"/>
          <w:szCs w:val="28"/>
        </w:rPr>
        <w:t>A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sz w:val="22"/>
          <w:szCs w:val="28"/>
        </w:rPr>
        <w:t>B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siRNA knockdown efficiency were determined by qRT-PCR in four NSCLC cell lines. </w:t>
      </w:r>
      <w:r>
        <w:rPr>
          <w:rFonts w:ascii="Times New Roman Regular" w:hAnsi="Times New Roman Regular" w:cs="Times New Roman Regular"/>
          <w:b/>
          <w:sz w:val="22"/>
          <w:szCs w:val="28"/>
        </w:rPr>
        <w:t>C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>and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/>
          <w:sz w:val="22"/>
          <w:szCs w:val="28"/>
        </w:rPr>
        <w:t>D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overexpression efficiency was determined by qRT-PCR in four NSCLC cell lines.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E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sz w:val="22"/>
          <w:szCs w:val="28"/>
        </w:rPr>
        <w:t>F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miR-615-3p overexpression and knockdown efficiency was determined by qRT-PCR in PC9GR.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G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,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H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,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I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, and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J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MEF2A overexpression and knockdown efficiency was determined by qRT-PCR and western blot in PC9GR.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K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Gefitinib IC50 </w:t>
      </w:r>
      <w:r>
        <w:rPr>
          <w:rFonts w:ascii="Times New Roman Regular" w:hAnsi="Times New Roman Regular" w:cs="Times New Roman Regular"/>
          <w:sz w:val="22"/>
          <w:szCs w:val="28"/>
        </w:rPr>
        <w:t xml:space="preserve">values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of PC9GR transfected with miR-615-3p mimics or inhibitors.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 xml:space="preserve">L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Gefitinib IC50 </w:t>
      </w:r>
      <w:r>
        <w:rPr>
          <w:rFonts w:ascii="Times New Roman Regular" w:hAnsi="Times New Roman Regular" w:cs="Times New Roman Regular"/>
          <w:sz w:val="22"/>
          <w:szCs w:val="28"/>
        </w:rPr>
        <w:t xml:space="preserve">values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of PC9GR cells transfected with siRNA1-MEF2A or pEX3-MEF2A. </w:t>
      </w:r>
      <w:r>
        <w:rPr>
          <w:rFonts w:hint="default" w:ascii="Times New Roman Regular" w:hAnsi="Times New Roman Regular" w:cs="Times New Roman Regular"/>
          <w:b/>
          <w:bCs/>
          <w:sz w:val="22"/>
          <w:szCs w:val="28"/>
          <w:lang w:eastAsia="zh-Hans"/>
        </w:rPr>
        <w:t xml:space="preserve">M </w:t>
      </w: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  <w:t xml:space="preserve">The relative expression of circKIF20B in a tumor stage-specific manner. </w:t>
      </w: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hint="default"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hint="default" w:ascii="Times New Roman Regular" w:hAnsi="Times New Roman Regular" w:cs="Times New Roman Regular"/>
          <w:b/>
          <w:bCs/>
          <w:sz w:val="24"/>
          <w:szCs w:val="32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32"/>
        </w:rPr>
        <w:drawing>
          <wp:inline distT="0" distB="0" distL="114300" distR="114300">
            <wp:extent cx="5267325" cy="6974205"/>
            <wp:effectExtent l="0" t="0" r="15875" b="1079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9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  <w:bookmarkStart w:id="0" w:name="_GoBack"/>
    </w:p>
    <w:bookmarkEnd w:id="0"/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rPr>
          <w:rFonts w:ascii="Times New Roman Regular" w:hAnsi="Times New Roman Regular" w:cs="Times New Roman Regular"/>
          <w:b/>
          <w:bCs/>
          <w:sz w:val="22"/>
          <w:szCs w:val="28"/>
        </w:rPr>
      </w:pPr>
    </w:p>
    <w:p>
      <w:pPr>
        <w:rPr>
          <w:rFonts w:hint="default" w:ascii="Times New Roman Bold" w:hAnsi="Times New Roman Bold" w:cs="Times New Roman Bold"/>
          <w:b/>
          <w:bCs/>
          <w:sz w:val="22"/>
          <w:szCs w:val="28"/>
          <w:highlight w:val="yellow"/>
          <w:lang w:eastAsia="zh-Hans"/>
        </w:rPr>
      </w:pPr>
      <w:r>
        <w:rPr>
          <w:rFonts w:ascii="Times New Roman Regular" w:hAnsi="Times New Roman Regular" w:cs="Times New Roman Regular"/>
          <w:b/>
          <w:bCs/>
          <w:sz w:val="22"/>
          <w:szCs w:val="28"/>
        </w:rPr>
        <w:t>F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 xml:space="preserve">igure S2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A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B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expression of miR-615-3p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C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D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ROC curves of miR-615-3p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E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F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Survival analysis of miR-615-3p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the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G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Binding sites of circKIF20B and miR-615-3p predicted by Circinteratome.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H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I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expressions of MEF2A and PSMD11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J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K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ROC curves of MEF2A and PSMD11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L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M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Correlation analysis of the expression of miR-615-3p with the expression of MEF2A, and PSMD11, respectively,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N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Circinteratome predicted n Binding sites of miR-615-3p and MEF2A. </w:t>
      </w:r>
      <w:r>
        <w:rPr>
          <w:rFonts w:hint="default" w:ascii="Times New Roman Bold" w:hAnsi="Times New Roman Bold" w:cs="Times New Roman Bold"/>
          <w:b/>
          <w:bCs/>
          <w:sz w:val="22"/>
          <w:szCs w:val="28"/>
          <w:highlight w:val="yellow"/>
          <w:lang w:eastAsia="zh-Hans"/>
        </w:rPr>
        <w:t xml:space="preserve">O DSS analysis of MEF2A in Lung cancer project from the TCGA. P PFI analysis of MEF2A in Lung cancer project from the TCGA. </w:t>
      </w: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D883C"/>
    <w:rsid w:val="38764395"/>
    <w:rsid w:val="399A6F60"/>
    <w:rsid w:val="3F8D883C"/>
    <w:rsid w:val="4FDFE791"/>
    <w:rsid w:val="7579A216"/>
    <w:rsid w:val="75EF575A"/>
    <w:rsid w:val="7B97511F"/>
    <w:rsid w:val="7BFFC6DA"/>
    <w:rsid w:val="7FDF7402"/>
    <w:rsid w:val="7FF6D39D"/>
    <w:rsid w:val="7FFB6FCE"/>
    <w:rsid w:val="7FFE6455"/>
    <w:rsid w:val="9EF39CA7"/>
    <w:rsid w:val="B7F4F287"/>
    <w:rsid w:val="DDED0C4E"/>
    <w:rsid w:val="DF8691C2"/>
    <w:rsid w:val="DFEFE7DE"/>
    <w:rsid w:val="EBDDEF19"/>
    <w:rsid w:val="FABD3BAC"/>
    <w:rsid w:val="FDFB2346"/>
    <w:rsid w:val="FE3A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2022-05-03T23:40:00Z</dcterms:created>
  <dc:creator>weisiliang</dc:creator>
  <cp:lastModifiedBy>admin</cp:lastModifiedBy>
  <dcterms:modified xsi:type="dcterms:W3CDTF">2023-05-26T11:35:26Z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AE2697F3CE4A204ACA276F648DF1E0A0_43</vt:lpwstr>
  </property>
</Properties>
</file>